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B11" w:rsidRDefault="002C7B11">
      <w:pPr>
        <w:spacing w:line="360" w:lineRule="auto"/>
        <w:ind w:rightChars="98" w:right="206"/>
        <w:jc w:val="center"/>
        <w:rPr>
          <w:rFonts w:ascii="宋体" w:hAnsi="宋体"/>
          <w:b/>
          <w:color w:val="000000"/>
          <w:sz w:val="24"/>
        </w:rPr>
      </w:pPr>
      <w:bookmarkStart w:id="0" w:name="_GoBack"/>
      <w:bookmarkEnd w:id="0"/>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jc w:val="center"/>
        <w:rPr>
          <w:b/>
          <w:sz w:val="52"/>
          <w:szCs w:val="20"/>
        </w:rPr>
      </w:pPr>
    </w:p>
    <w:p w:rsidR="002C7B11" w:rsidRDefault="0089278D" w:rsidP="0089278D">
      <w:pPr>
        <w:spacing w:beforeLines="50" w:before="120"/>
        <w:jc w:val="center"/>
        <w:rPr>
          <w:rFonts w:ascii="宋体" w:hAnsi="宋体" w:cs="宋体"/>
          <w:b/>
          <w:sz w:val="52"/>
          <w:szCs w:val="52"/>
        </w:rPr>
      </w:pPr>
      <w:bookmarkStart w:id="1" w:name="_Toc88969212"/>
      <w:r w:rsidRPr="0089278D">
        <w:rPr>
          <w:rFonts w:ascii="宋体" w:hAnsi="宋体" w:cs="宋体" w:hint="eastAsia"/>
          <w:b/>
          <w:sz w:val="52"/>
          <w:szCs w:val="52"/>
        </w:rPr>
        <w:t>富荣富祥纯债债券型证券投资基金</w:t>
      </w:r>
      <w:r>
        <w:rPr>
          <w:rFonts w:ascii="宋体" w:hAnsi="宋体" w:cs="宋体" w:hint="eastAsia"/>
          <w:b/>
          <w:sz w:val="52"/>
          <w:szCs w:val="52"/>
        </w:rPr>
        <w:t>更新的招募说明书摘要</w:t>
      </w:r>
    </w:p>
    <w:p w:rsidR="002C7B11" w:rsidRDefault="0089278D" w:rsidP="0089278D">
      <w:pPr>
        <w:spacing w:beforeLines="50" w:before="120"/>
        <w:jc w:val="center"/>
        <w:rPr>
          <w:rFonts w:ascii="宋体" w:hAnsi="宋体" w:cs="宋体"/>
          <w:b/>
          <w:sz w:val="48"/>
          <w:szCs w:val="48"/>
        </w:rPr>
      </w:pPr>
      <w:r>
        <w:rPr>
          <w:rFonts w:ascii="宋体" w:hAnsi="宋体" w:cs="宋体" w:hint="eastAsia"/>
          <w:b/>
          <w:sz w:val="48"/>
          <w:szCs w:val="48"/>
        </w:rPr>
        <w:t>（201</w:t>
      </w:r>
      <w:r w:rsidR="001656C8">
        <w:rPr>
          <w:rFonts w:ascii="宋体" w:hAnsi="宋体" w:cs="宋体" w:hint="eastAsia"/>
          <w:b/>
          <w:sz w:val="48"/>
          <w:szCs w:val="48"/>
        </w:rPr>
        <w:t>8</w:t>
      </w:r>
      <w:r>
        <w:rPr>
          <w:rFonts w:ascii="宋体" w:hAnsi="宋体" w:cs="宋体" w:hint="eastAsia"/>
          <w:b/>
          <w:sz w:val="48"/>
          <w:szCs w:val="48"/>
        </w:rPr>
        <w:t>年第1号）</w:t>
      </w:r>
    </w:p>
    <w:p w:rsidR="002C7B11" w:rsidRDefault="002C7B11">
      <w:pPr>
        <w:spacing w:line="360" w:lineRule="auto"/>
        <w:jc w:val="center"/>
        <w:rPr>
          <w:rFonts w:ascii="宋体" w:hAnsi="宋体"/>
          <w:b/>
          <w:color w:val="000000"/>
          <w:sz w:val="24"/>
        </w:rPr>
      </w:pPr>
    </w:p>
    <w:bookmarkEnd w:id="1"/>
    <w:p w:rsidR="002C7B11" w:rsidRDefault="002C7B11">
      <w:pPr>
        <w:spacing w:line="360" w:lineRule="auto"/>
        <w:jc w:val="center"/>
        <w:rPr>
          <w:rFonts w:ascii="宋体" w:hAnsi="宋体"/>
          <w:b/>
          <w:color w:val="000000"/>
          <w:sz w:val="24"/>
        </w:rPr>
      </w:pPr>
    </w:p>
    <w:p w:rsidR="002C7B11" w:rsidRDefault="002C7B11">
      <w:pPr>
        <w:spacing w:line="360" w:lineRule="auto"/>
        <w:rPr>
          <w:rFonts w:ascii="宋体" w:hAnsi="宋体"/>
          <w:color w:val="000000"/>
          <w:sz w:val="24"/>
        </w:rPr>
      </w:pPr>
    </w:p>
    <w:p w:rsidR="002C7B11" w:rsidRDefault="002C7B11">
      <w:pPr>
        <w:spacing w:line="360" w:lineRule="auto"/>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jc w:val="center"/>
        <w:rPr>
          <w:rFonts w:ascii="宋体" w:hAnsi="宋体"/>
          <w:b/>
          <w:color w:val="000000"/>
          <w:sz w:val="24"/>
        </w:rPr>
      </w:pPr>
    </w:p>
    <w:p w:rsidR="002C7B11" w:rsidRDefault="002C7B11">
      <w:pPr>
        <w:spacing w:line="360" w:lineRule="auto"/>
        <w:rPr>
          <w:rFonts w:ascii="宋体" w:hAnsi="宋体"/>
          <w:b/>
          <w:color w:val="000000"/>
          <w:sz w:val="24"/>
        </w:rPr>
      </w:pPr>
    </w:p>
    <w:p w:rsidR="002C7B11" w:rsidRDefault="002C7B11">
      <w:pPr>
        <w:spacing w:line="360" w:lineRule="auto"/>
        <w:rPr>
          <w:rFonts w:ascii="宋体" w:hAnsi="宋体"/>
          <w:b/>
          <w:color w:val="000000"/>
          <w:sz w:val="24"/>
        </w:rPr>
      </w:pPr>
    </w:p>
    <w:p w:rsidR="002C7B11" w:rsidRDefault="0089278D" w:rsidP="0089278D">
      <w:pPr>
        <w:spacing w:beforeLines="50" w:before="120"/>
        <w:jc w:val="center"/>
        <w:rPr>
          <w:b/>
          <w:sz w:val="36"/>
          <w:szCs w:val="20"/>
        </w:rPr>
      </w:pPr>
      <w:r>
        <w:rPr>
          <w:rFonts w:hint="eastAsia"/>
          <w:b/>
          <w:sz w:val="36"/>
          <w:szCs w:val="20"/>
        </w:rPr>
        <w:t>基金管理人：富荣基金管理有限公司</w:t>
      </w:r>
    </w:p>
    <w:p w:rsidR="002C7B11" w:rsidRDefault="0089278D" w:rsidP="0089278D">
      <w:pPr>
        <w:spacing w:beforeLines="50" w:before="120"/>
        <w:jc w:val="center"/>
        <w:rPr>
          <w:b/>
          <w:sz w:val="36"/>
          <w:szCs w:val="20"/>
        </w:rPr>
      </w:pPr>
      <w:r>
        <w:rPr>
          <w:rFonts w:hint="eastAsia"/>
          <w:b/>
          <w:sz w:val="36"/>
          <w:szCs w:val="20"/>
        </w:rPr>
        <w:t>基金托管人：中国光大银行股份有限公司</w:t>
      </w:r>
    </w:p>
    <w:p w:rsidR="002C7B11" w:rsidRDefault="0089278D" w:rsidP="0089278D">
      <w:pPr>
        <w:spacing w:beforeLines="50" w:before="120" w:line="360" w:lineRule="auto"/>
        <w:jc w:val="center"/>
        <w:rPr>
          <w:b/>
          <w:sz w:val="36"/>
          <w:szCs w:val="20"/>
        </w:rPr>
      </w:pPr>
      <w:r>
        <w:rPr>
          <w:rFonts w:hint="eastAsia"/>
          <w:b/>
          <w:sz w:val="36"/>
          <w:szCs w:val="20"/>
        </w:rPr>
        <w:t>二零一</w:t>
      </w:r>
      <w:r w:rsidR="001656C8">
        <w:rPr>
          <w:rFonts w:hint="eastAsia"/>
          <w:b/>
          <w:sz w:val="36"/>
          <w:szCs w:val="20"/>
        </w:rPr>
        <w:t>八</w:t>
      </w:r>
      <w:r>
        <w:rPr>
          <w:rFonts w:hint="eastAsia"/>
          <w:b/>
          <w:sz w:val="36"/>
          <w:szCs w:val="20"/>
        </w:rPr>
        <w:t>年</w:t>
      </w:r>
      <w:r w:rsidR="0014179C">
        <w:rPr>
          <w:rFonts w:hint="eastAsia"/>
          <w:b/>
          <w:sz w:val="36"/>
          <w:szCs w:val="20"/>
        </w:rPr>
        <w:t>四</w:t>
      </w:r>
      <w:r>
        <w:rPr>
          <w:rFonts w:hint="eastAsia"/>
          <w:b/>
          <w:sz w:val="36"/>
          <w:szCs w:val="20"/>
        </w:rPr>
        <w:t>月</w:t>
      </w:r>
    </w:p>
    <w:p w:rsidR="002C7B11" w:rsidRDefault="002C7B11">
      <w:pPr>
        <w:spacing w:line="360" w:lineRule="auto"/>
        <w:rPr>
          <w:rFonts w:ascii="宋体" w:hAnsi="宋体"/>
          <w:color w:val="000000"/>
          <w:sz w:val="24"/>
        </w:rPr>
      </w:pPr>
    </w:p>
    <w:p w:rsidR="002C7B11" w:rsidRDefault="0089278D">
      <w:pPr>
        <w:autoSpaceDE w:val="0"/>
        <w:autoSpaceDN w:val="0"/>
        <w:adjustRightInd w:val="0"/>
        <w:spacing w:line="360" w:lineRule="auto"/>
        <w:jc w:val="center"/>
        <w:rPr>
          <w:rFonts w:ascii="宋体" w:hAnsi="宋体"/>
          <w:color w:val="000000"/>
          <w:kern w:val="0"/>
          <w:sz w:val="24"/>
        </w:rPr>
      </w:pPr>
      <w:r>
        <w:rPr>
          <w:rFonts w:ascii="宋体" w:hAnsi="宋体" w:hint="eastAsia"/>
          <w:b/>
          <w:bCs/>
          <w:color w:val="000000"/>
          <w:kern w:val="0"/>
          <w:sz w:val="24"/>
        </w:rPr>
        <w:lastRenderedPageBreak/>
        <w:t>【重要提示】</w:t>
      </w:r>
    </w:p>
    <w:p w:rsidR="0089278D" w:rsidRPr="0089278D" w:rsidRDefault="0089278D" w:rsidP="0089278D">
      <w:pPr>
        <w:spacing w:line="360" w:lineRule="auto"/>
        <w:ind w:firstLineChars="202" w:firstLine="485"/>
        <w:rPr>
          <w:rFonts w:ascii="宋体" w:hAnsi="宋体"/>
          <w:sz w:val="24"/>
        </w:rPr>
      </w:pP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1、本基金根据2016年10月12日中国证券监督管理委员会（以下简称“中国证监会”）《关于核准富荣富祥纯债债券型证券投资基金募集的批复》（证监许可【2016】2331号）进行募集。本基金于2017年3月9日正式生效。</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2、基金管理人保证招募说明书的内容真实、准确、完整。本招募说明书经中国证监会注册，但中国证监会对本基金募集的注册，并不表明其对本基金的投资价值和市场前景</w:t>
      </w:r>
      <w:proofErr w:type="gramStart"/>
      <w:r w:rsidRPr="00703DF3">
        <w:rPr>
          <w:rFonts w:ascii="宋体" w:hAnsi="宋体" w:hint="eastAsia"/>
          <w:szCs w:val="21"/>
        </w:rPr>
        <w:t>作出</w:t>
      </w:r>
      <w:proofErr w:type="gramEnd"/>
      <w:r w:rsidRPr="00703DF3">
        <w:rPr>
          <w:rFonts w:ascii="宋体" w:hAnsi="宋体" w:hint="eastAsia"/>
          <w:szCs w:val="21"/>
        </w:rPr>
        <w:t>实质性判断或保证，也不表明投资于本基金没有风险。</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03DF3">
        <w:rPr>
          <w:rFonts w:ascii="宋体" w:hAnsi="宋体" w:hint="eastAsia"/>
          <w:szCs w:val="21"/>
        </w:rPr>
        <w:t>作出</w:t>
      </w:r>
      <w:proofErr w:type="gramEnd"/>
      <w:r w:rsidRPr="00703DF3">
        <w:rPr>
          <w:rFonts w:ascii="宋体" w:hAnsi="宋体" w:hint="eastAsia"/>
          <w:szCs w:val="21"/>
        </w:rPr>
        <w:t>独立决策。基金管理人提醒投资者基金投资的“买者自负”原则，在投资者</w:t>
      </w:r>
      <w:proofErr w:type="gramStart"/>
      <w:r w:rsidRPr="00703DF3">
        <w:rPr>
          <w:rFonts w:ascii="宋体" w:hAnsi="宋体" w:hint="eastAsia"/>
          <w:szCs w:val="21"/>
        </w:rPr>
        <w:t>作出</w:t>
      </w:r>
      <w:proofErr w:type="gramEnd"/>
      <w:r w:rsidRPr="00703DF3">
        <w:rPr>
          <w:rFonts w:ascii="宋体" w:hAnsi="宋体" w:hint="eastAsia"/>
          <w:szCs w:val="21"/>
        </w:rPr>
        <w:t>投资决策后，基金运营状况与基金净值变化导致的投资风险，由投资者自行负担。</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5、本基金为债券型基金，预期收益和预期风险高于货币市场基金，但低于混合型基金、股票型基金，属于中低预期风险/预期收益的产品。</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6、本基金的投资范围主要为具有良好流动性的金融工具，包括国债、金融债、企业债、公司债、央行票据、中期票据、短期融资</w:t>
      </w:r>
      <w:proofErr w:type="gramStart"/>
      <w:r w:rsidRPr="00703DF3">
        <w:rPr>
          <w:rFonts w:ascii="宋体" w:hAnsi="宋体" w:hint="eastAsia"/>
          <w:szCs w:val="21"/>
        </w:rPr>
        <w:t>券</w:t>
      </w:r>
      <w:proofErr w:type="gramEnd"/>
      <w:r w:rsidRPr="00703DF3">
        <w:rPr>
          <w:rFonts w:ascii="宋体" w:hAnsi="宋体" w:hint="eastAsia"/>
          <w:szCs w:val="21"/>
        </w:rPr>
        <w:t>、中小企业私募债券、资产支持证券、次级债、可分离交易可转债</w:t>
      </w:r>
      <w:proofErr w:type="gramStart"/>
      <w:r w:rsidRPr="00703DF3">
        <w:rPr>
          <w:rFonts w:ascii="宋体" w:hAnsi="宋体" w:hint="eastAsia"/>
          <w:szCs w:val="21"/>
        </w:rPr>
        <w:t>的纯债部分</w:t>
      </w:r>
      <w:proofErr w:type="gramEnd"/>
      <w:r w:rsidRPr="00703DF3">
        <w:rPr>
          <w:rFonts w:ascii="宋体" w:hAnsi="宋体" w:hint="eastAsia"/>
          <w:szCs w:val="21"/>
        </w:rPr>
        <w:t>、债券回购、银行存款等法律法规或中国证监会允许基金投资的其他金融工具（但须符合中国证监会的相关规定）。</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本基金不投资于股票或权证，也不投资于可转换债券（可分离交易可转债的</w:t>
      </w:r>
      <w:proofErr w:type="gramStart"/>
      <w:r w:rsidRPr="00703DF3">
        <w:rPr>
          <w:rFonts w:ascii="宋体" w:hAnsi="宋体" w:hint="eastAsia"/>
          <w:szCs w:val="21"/>
        </w:rPr>
        <w:t>纯债部分</w:t>
      </w:r>
      <w:proofErr w:type="gramEnd"/>
      <w:r w:rsidRPr="00703DF3">
        <w:rPr>
          <w:rFonts w:ascii="宋体" w:hAnsi="宋体" w:hint="eastAsia"/>
          <w:szCs w:val="21"/>
        </w:rPr>
        <w:t>除外）、可交换债券。</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如法律法规或监管机构以后允许基金投资其他品种，基金管理人在履行适当程序后，可以</w:t>
      </w:r>
      <w:r w:rsidRPr="00703DF3">
        <w:rPr>
          <w:rFonts w:ascii="宋体" w:hAnsi="宋体" w:hint="eastAsia"/>
          <w:szCs w:val="21"/>
        </w:rPr>
        <w:lastRenderedPageBreak/>
        <w:t>将其纳入投资范围。</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7、基金的投资组合比例为：本基金对债券的投资比例不低于基金资产的80％；本基金持有现金或者到期日在一年以内的政府债券投资比例不低于基金资产净值的5%</w:t>
      </w:r>
      <w:r w:rsidR="001656C8" w:rsidRPr="00703DF3">
        <w:rPr>
          <w:rFonts w:ascii="宋体" w:hAnsi="宋体" w:hint="eastAsia"/>
          <w:szCs w:val="21"/>
        </w:rPr>
        <w:t>，其中，现金不包括结算备付金、存出保证金、应收申购款。</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8、本基金初始募集面值为人民币1.00 元。在市场波动因素影响下，本基金净值可能低于初始面值，本基金投资者有可能出现亏损。</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9、基金的过往业绩并不预示其未来表现，基金管理人管理的其他基金的业绩也不构成对本基金业绩表现的保证。</w:t>
      </w:r>
    </w:p>
    <w:p w:rsidR="0089278D"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10、基金管理人依照恪尽职守、诚实信用、谨慎勤勉的原则管理和运用基金财产，但不保证基金一定盈利，也不保证最低收益。</w:t>
      </w:r>
    </w:p>
    <w:p w:rsidR="0089278D" w:rsidRPr="00703DF3" w:rsidRDefault="00703DF3" w:rsidP="00703DF3">
      <w:pPr>
        <w:spacing w:line="360" w:lineRule="auto"/>
        <w:ind w:firstLineChars="202" w:firstLine="424"/>
        <w:rPr>
          <w:rFonts w:ascii="宋体" w:hAnsi="宋体"/>
          <w:color w:val="FF0000"/>
          <w:szCs w:val="21"/>
        </w:rPr>
      </w:pPr>
      <w:r>
        <w:t>11</w:t>
      </w:r>
      <w:r>
        <w:rPr>
          <w:rFonts w:hint="eastAsia"/>
        </w:rPr>
        <w:t>、本招募说明书所载内容截止日为</w:t>
      </w:r>
      <w:r>
        <w:t>2018</w:t>
      </w:r>
      <w:r>
        <w:rPr>
          <w:rFonts w:hint="eastAsia"/>
        </w:rPr>
        <w:t>年</w:t>
      </w:r>
      <w:r>
        <w:t>3</w:t>
      </w:r>
      <w:r>
        <w:rPr>
          <w:rFonts w:hint="eastAsia"/>
        </w:rPr>
        <w:t>月</w:t>
      </w:r>
      <w:r>
        <w:t>9</w:t>
      </w:r>
      <w:r>
        <w:rPr>
          <w:rFonts w:hint="eastAsia"/>
        </w:rPr>
        <w:t>日，有关财务数据截止日为</w:t>
      </w:r>
      <w:r>
        <w:t>2017</w:t>
      </w:r>
      <w:r>
        <w:rPr>
          <w:rFonts w:hint="eastAsia"/>
        </w:rPr>
        <w:t>年</w:t>
      </w:r>
      <w:r>
        <w:t>12</w:t>
      </w:r>
      <w:r>
        <w:rPr>
          <w:rFonts w:hint="eastAsia"/>
        </w:rPr>
        <w:t>月</w:t>
      </w:r>
      <w:r>
        <w:t>31</w:t>
      </w:r>
      <w:r>
        <w:rPr>
          <w:rFonts w:hint="eastAsia"/>
        </w:rPr>
        <w:t>日，净值表现截止日为</w:t>
      </w:r>
      <w:r>
        <w:t>2017</w:t>
      </w:r>
      <w:r>
        <w:rPr>
          <w:rFonts w:hint="eastAsia"/>
        </w:rPr>
        <w:t>年</w:t>
      </w:r>
      <w:r>
        <w:t>6</w:t>
      </w:r>
      <w:r>
        <w:rPr>
          <w:rFonts w:hint="eastAsia"/>
        </w:rPr>
        <w:t>月</w:t>
      </w:r>
      <w:r>
        <w:t>30</w:t>
      </w:r>
      <w:r>
        <w:rPr>
          <w:rFonts w:hint="eastAsia"/>
        </w:rPr>
        <w:t>日，本报告中所列财务数据未经审计。</w:t>
      </w:r>
      <w:r w:rsidR="0089278D" w:rsidRPr="006A35CC">
        <w:rPr>
          <w:rFonts w:ascii="宋体" w:hAnsi="宋体" w:hint="eastAsia"/>
          <w:szCs w:val="21"/>
        </w:rPr>
        <w:t>本基金托管人中国光大银行股份有限公司已</w:t>
      </w:r>
      <w:r w:rsidR="0089278D" w:rsidRPr="00BC7D92">
        <w:rPr>
          <w:rFonts w:hint="eastAsia"/>
        </w:rPr>
        <w:t>于</w:t>
      </w:r>
      <w:r w:rsidR="0006154F" w:rsidRPr="00BC7D92">
        <w:rPr>
          <w:rFonts w:hint="eastAsia"/>
        </w:rPr>
        <w:t>201</w:t>
      </w:r>
      <w:r w:rsidR="006A35CC" w:rsidRPr="00BC7D92">
        <w:rPr>
          <w:rFonts w:hint="eastAsia"/>
        </w:rPr>
        <w:t>8</w:t>
      </w:r>
      <w:r w:rsidR="0089278D" w:rsidRPr="00BC7D92">
        <w:rPr>
          <w:rFonts w:hint="eastAsia"/>
        </w:rPr>
        <w:t>年</w:t>
      </w:r>
      <w:r w:rsidR="00BC7D92" w:rsidRPr="00BC7D92">
        <w:rPr>
          <w:rFonts w:hint="eastAsia"/>
        </w:rPr>
        <w:t>4</w:t>
      </w:r>
      <w:r w:rsidR="0089278D" w:rsidRPr="00BC7D92">
        <w:rPr>
          <w:rFonts w:hint="eastAsia"/>
        </w:rPr>
        <w:t>月</w:t>
      </w:r>
      <w:r w:rsidR="00BC7D92" w:rsidRPr="00BC7D92">
        <w:rPr>
          <w:rFonts w:hint="eastAsia"/>
        </w:rPr>
        <w:t>2</w:t>
      </w:r>
      <w:r w:rsidR="0089278D" w:rsidRPr="00BC7D92">
        <w:rPr>
          <w:rFonts w:hint="eastAsia"/>
        </w:rPr>
        <w:t>日</w:t>
      </w:r>
      <w:r w:rsidR="0089278D" w:rsidRPr="006A35CC">
        <w:rPr>
          <w:rFonts w:ascii="宋体" w:hAnsi="宋体" w:hint="eastAsia"/>
          <w:szCs w:val="21"/>
        </w:rPr>
        <w:t>复核了本次更新的招募说明书。</w:t>
      </w:r>
    </w:p>
    <w:p w:rsidR="002C7B11" w:rsidRPr="00703DF3" w:rsidRDefault="0089278D" w:rsidP="00703DF3">
      <w:pPr>
        <w:spacing w:line="360" w:lineRule="auto"/>
        <w:ind w:firstLineChars="202" w:firstLine="424"/>
        <w:rPr>
          <w:rFonts w:ascii="宋体" w:hAnsi="宋体"/>
          <w:szCs w:val="21"/>
        </w:rPr>
      </w:pPr>
      <w:r w:rsidRPr="00703DF3">
        <w:rPr>
          <w:rFonts w:ascii="宋体" w:hAnsi="宋体" w:hint="eastAsia"/>
          <w:szCs w:val="21"/>
        </w:rPr>
        <w:t>本摘要根据基金合同和基金招募说明书编写，并经中国证监会核准。基金合同是约定基金当事人之间权利、义务的法律文件。基金</w:t>
      </w:r>
      <w:proofErr w:type="gramStart"/>
      <w:r w:rsidRPr="00703DF3">
        <w:rPr>
          <w:rFonts w:ascii="宋体" w:hAnsi="宋体" w:hint="eastAsia"/>
          <w:szCs w:val="21"/>
        </w:rPr>
        <w:t>投资人自依基金</w:t>
      </w:r>
      <w:proofErr w:type="gramEnd"/>
      <w:r w:rsidRPr="00703DF3">
        <w:rPr>
          <w:rFonts w:ascii="宋体" w:hAnsi="宋体" w:hint="eastAsia"/>
          <w:szCs w:val="21"/>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2C7B11" w:rsidRDefault="002C7B11" w:rsidP="0089278D">
      <w:pPr>
        <w:spacing w:line="360" w:lineRule="auto"/>
        <w:ind w:firstLineChars="202" w:firstLine="485"/>
        <w:rPr>
          <w:rFonts w:ascii="宋体" w:hAnsi="宋体"/>
          <w:color w:val="000000"/>
          <w:kern w:val="0"/>
          <w:sz w:val="24"/>
        </w:rPr>
      </w:pPr>
    </w:p>
    <w:p w:rsidR="002C7B11" w:rsidRDefault="0089278D">
      <w:pPr>
        <w:pStyle w:val="1"/>
        <w:pageBreakBefore/>
        <w:spacing w:beforeLines="50" w:before="120" w:afterLines="50" w:after="120"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lastRenderedPageBreak/>
        <w:t>一、基金管理人</w:t>
      </w:r>
      <w:bookmarkEnd w:id="2"/>
      <w:bookmarkEnd w:id="3"/>
      <w:bookmarkEnd w:id="4"/>
      <w:bookmarkEnd w:id="5"/>
    </w:p>
    <w:p w:rsidR="0089278D" w:rsidRPr="00703DF3" w:rsidRDefault="0089278D" w:rsidP="00703DF3">
      <w:pPr>
        <w:spacing w:line="360" w:lineRule="auto"/>
        <w:ind w:firstLineChars="200" w:firstLine="420"/>
        <w:rPr>
          <w:rFonts w:ascii="宋体" w:hAnsi="宋体"/>
          <w:color w:val="000000"/>
          <w:kern w:val="0"/>
          <w:szCs w:val="21"/>
        </w:rPr>
      </w:pPr>
      <w:bookmarkStart w:id="6" w:name="_Toc88969216"/>
      <w:r w:rsidRPr="00703DF3">
        <w:rPr>
          <w:rFonts w:ascii="宋体" w:hAnsi="宋体" w:hint="eastAsia"/>
          <w:color w:val="000000"/>
          <w:kern w:val="0"/>
          <w:szCs w:val="21"/>
        </w:rPr>
        <w:t>（一）基金管理人概况</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名称：富荣基金管理有限公司</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住所：广州市南沙区海滨路171号南沙金融大厦11楼1101之一J20室</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办公地址：深圳市福田区深南大道2012号深圳证券交易所广场3501室</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法定代表人：刘志军</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成立时间：2016年1月25日</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注册资本：2亿元人民币</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存续期间：永续经营</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联系人：</w:t>
      </w:r>
      <w:r w:rsidR="001656C8" w:rsidRPr="00703DF3">
        <w:rPr>
          <w:rFonts w:ascii="宋体" w:hAnsi="宋体" w:hint="eastAsia"/>
          <w:color w:val="000000"/>
          <w:kern w:val="0"/>
          <w:szCs w:val="21"/>
        </w:rPr>
        <w:t>毛志华</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联系电话：0755-84356633</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B30C8" w:rsidRPr="00703DF3"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出资比例</w:t>
            </w:r>
          </w:p>
        </w:tc>
      </w:tr>
      <w:tr w:rsidR="000B30C8" w:rsidRPr="00703DF3"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50%</w:t>
            </w:r>
          </w:p>
        </w:tc>
      </w:tr>
      <w:tr w:rsidR="000B30C8" w:rsidRPr="00703DF3"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45.1%</w:t>
            </w:r>
          </w:p>
        </w:tc>
      </w:tr>
      <w:tr w:rsidR="000B30C8" w:rsidRPr="00703DF3" w:rsidTr="000B30C8">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0B30C8" w:rsidRPr="00703DF3" w:rsidRDefault="000B30C8">
            <w:pPr>
              <w:spacing w:line="360" w:lineRule="auto"/>
              <w:jc w:val="center"/>
              <w:rPr>
                <w:rFonts w:ascii="Arial Unicode MS" w:hAnsi="Arial Unicode MS" w:cs="Arial"/>
                <w:kern w:val="0"/>
                <w:szCs w:val="21"/>
              </w:rPr>
            </w:pPr>
            <w:r w:rsidRPr="00703DF3">
              <w:rPr>
                <w:rFonts w:ascii="Arial Unicode MS" w:hAnsi="Arial Unicode MS" w:cs="Arial" w:hint="eastAsia"/>
                <w:kern w:val="0"/>
                <w:szCs w:val="21"/>
              </w:rPr>
              <w:t>4.9%</w:t>
            </w:r>
          </w:p>
        </w:tc>
      </w:tr>
    </w:tbl>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（二）主要成员情况</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1、董事会成员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1656C8" w:rsidRDefault="001656C8" w:rsidP="001656C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Pr>
          <w:rFonts w:ascii="Arial Unicode MS" w:hAnsi="Arial Unicode MS" w:cs="Arial" w:hint="eastAsia"/>
          <w:kern w:val="0"/>
          <w:szCs w:val="21"/>
        </w:rPr>
        <w:t>垠</w:t>
      </w:r>
      <w:r>
        <w:rPr>
          <w:rFonts w:ascii="宋体" w:hAnsi="宋体" w:hint="eastAsia"/>
          <w:color w:val="000000"/>
          <w:szCs w:val="21"/>
        </w:rPr>
        <w:t>澳丰</w:t>
      </w:r>
      <w:proofErr w:type="gramEnd"/>
      <w:r>
        <w:rPr>
          <w:rFonts w:ascii="宋体" w:hAnsi="宋体" w:hint="eastAsia"/>
          <w:color w:val="000000"/>
        </w:rPr>
        <w:t>股权投资基金管理有限公司</w:t>
      </w:r>
      <w:r>
        <w:rPr>
          <w:rFonts w:ascii="宋体" w:hAnsi="宋体" w:hint="eastAsia"/>
          <w:color w:val="000000"/>
          <w:szCs w:val="21"/>
        </w:rPr>
        <w:t>常务</w:t>
      </w:r>
      <w:r>
        <w:rPr>
          <w:rFonts w:ascii="宋体" w:hAnsi="宋体" w:hint="eastAsia"/>
          <w:color w:val="000000"/>
        </w:rPr>
        <w:t>副总经理</w:t>
      </w:r>
      <w:r>
        <w:rPr>
          <w:rFonts w:ascii="宋体" w:hAnsi="宋体" w:hint="eastAsia"/>
          <w:color w:val="000000"/>
          <w:szCs w:val="21"/>
        </w:rPr>
        <w:t>、四川汇源光通信股份有限公司董事长</w:t>
      </w:r>
      <w:r>
        <w:rPr>
          <w:rFonts w:ascii="Arial Unicode MS" w:hAnsi="Arial Unicode MS" w:cs="Arial" w:hint="eastAsia"/>
          <w:kern w:val="0"/>
          <w:szCs w:val="21"/>
        </w:rPr>
        <w:t>、富荣基金管理有限公司董事。</w:t>
      </w:r>
    </w:p>
    <w:p w:rsidR="001656C8" w:rsidRDefault="001656C8" w:rsidP="001656C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郭涛先生，董事，上海高级金融学院研究生（在读）。曾任深圳嘉年实业股份有限公司董事、深圳市莱英达集团有限责任公司董事、深圳市前海富荣资产管理有限公司总经理，现任</w:t>
      </w:r>
      <w:proofErr w:type="gramStart"/>
      <w:r>
        <w:rPr>
          <w:rFonts w:ascii="宋体" w:hAnsi="宋体" w:hint="eastAsia"/>
          <w:color w:val="000000"/>
        </w:rPr>
        <w:t>深</w:t>
      </w:r>
      <w:r>
        <w:rPr>
          <w:rFonts w:ascii="宋体" w:hAnsi="宋体" w:hint="eastAsia"/>
          <w:color w:val="000000"/>
        </w:rPr>
        <w:lastRenderedPageBreak/>
        <w:t>圳市</w:t>
      </w:r>
      <w:r>
        <w:rPr>
          <w:rFonts w:ascii="宋体" w:hAnsi="宋体" w:hint="eastAsia"/>
          <w:color w:val="000000"/>
          <w:szCs w:val="21"/>
        </w:rPr>
        <w:t>亿尔德</w:t>
      </w:r>
      <w:proofErr w:type="gramEnd"/>
      <w:r>
        <w:rPr>
          <w:rFonts w:ascii="宋体" w:hAnsi="宋体" w:hint="eastAsia"/>
          <w:color w:val="000000"/>
        </w:rPr>
        <w:t>投资有限公司</w:t>
      </w:r>
      <w:r>
        <w:rPr>
          <w:rFonts w:ascii="宋体" w:hAnsi="宋体" w:hint="eastAsia"/>
          <w:color w:val="000000"/>
          <w:szCs w:val="21"/>
        </w:rPr>
        <w:t>法人、深圳市天汇</w:t>
      </w:r>
      <w:proofErr w:type="gramStart"/>
      <w:r>
        <w:rPr>
          <w:rFonts w:ascii="宋体" w:hAnsi="宋体" w:hint="eastAsia"/>
          <w:color w:val="000000"/>
          <w:szCs w:val="21"/>
        </w:rPr>
        <w:t>鑫</w:t>
      </w:r>
      <w:proofErr w:type="gramEnd"/>
      <w:r>
        <w:rPr>
          <w:rFonts w:ascii="宋体" w:hAnsi="宋体" w:hint="eastAsia"/>
          <w:color w:val="000000"/>
          <w:szCs w:val="21"/>
        </w:rPr>
        <w:t>达担保有限公司法人、深圳福元德租赁有限公司法人、</w:t>
      </w:r>
      <w:proofErr w:type="gramStart"/>
      <w:r>
        <w:rPr>
          <w:rFonts w:ascii="宋体" w:hAnsi="宋体" w:hint="eastAsia"/>
          <w:color w:val="000000"/>
          <w:szCs w:val="21"/>
        </w:rPr>
        <w:t>深圳市融博融资租赁</w:t>
      </w:r>
      <w:proofErr w:type="gramEnd"/>
      <w:r>
        <w:rPr>
          <w:rFonts w:ascii="宋体" w:hAnsi="宋体" w:hint="eastAsia"/>
          <w:color w:val="000000"/>
          <w:szCs w:val="21"/>
        </w:rPr>
        <w:t>有限公司法人、深圳市益德置业有限公司总经理</w:t>
      </w:r>
      <w:r>
        <w:rPr>
          <w:rFonts w:ascii="Arial Unicode MS" w:hAnsi="Arial Unicode MS" w:cs="Arial" w:hint="eastAsia"/>
          <w:kern w:val="0"/>
          <w:szCs w:val="21"/>
        </w:rPr>
        <w:t>、富荣基金管理有限公司董事。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林斌先生，独立董事，厦门大学经济学博士。现任中山大学管理学院会计学系教授、富荣基金管理有限公司独立董事。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余</w:t>
      </w:r>
      <w:proofErr w:type="gramStart"/>
      <w:r w:rsidRPr="00703DF3">
        <w:rPr>
          <w:rFonts w:ascii="宋体" w:hAnsi="宋体" w:hint="eastAsia"/>
          <w:color w:val="000000"/>
          <w:kern w:val="0"/>
          <w:szCs w:val="21"/>
        </w:rPr>
        <w:t>关健</w:t>
      </w:r>
      <w:proofErr w:type="gramEnd"/>
      <w:r w:rsidRPr="00703DF3">
        <w:rPr>
          <w:rFonts w:ascii="宋体" w:hAnsi="宋体" w:hint="eastAsia"/>
          <w:color w:val="000000"/>
          <w:kern w:val="0"/>
          <w:szCs w:val="21"/>
        </w:rPr>
        <w:t>先生，独立董事，西南财经大学工业经济硕士研究生。曾任中国银行深圳分行信贷处处长、中国银行深圳分行风险管理处处长、深圳赛格、深圳特发集团董事、</w:t>
      </w:r>
      <w:proofErr w:type="gramStart"/>
      <w:r w:rsidRPr="00703DF3">
        <w:rPr>
          <w:rFonts w:ascii="宋体" w:hAnsi="宋体" w:hint="eastAsia"/>
          <w:color w:val="000000"/>
          <w:kern w:val="0"/>
          <w:szCs w:val="21"/>
        </w:rPr>
        <w:t>邦</w:t>
      </w:r>
      <w:proofErr w:type="gramEnd"/>
      <w:r w:rsidRPr="00703DF3">
        <w:rPr>
          <w:rFonts w:ascii="宋体" w:hAnsi="宋体" w:hint="eastAsia"/>
          <w:color w:val="000000"/>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2、监事会成员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基金管理人不设监事会，设监事两名，其中一名为职工监事。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卢伟女士，监事，大专。</w:t>
      </w:r>
      <w:proofErr w:type="gramStart"/>
      <w:r w:rsidRPr="00703DF3">
        <w:rPr>
          <w:rFonts w:ascii="宋体" w:hAnsi="宋体" w:hint="eastAsia"/>
          <w:color w:val="000000"/>
          <w:kern w:val="0"/>
          <w:szCs w:val="21"/>
        </w:rPr>
        <w:t>现任盈投控股</w:t>
      </w:r>
      <w:proofErr w:type="gramEnd"/>
      <w:r w:rsidRPr="00703DF3">
        <w:rPr>
          <w:rFonts w:ascii="宋体" w:hAnsi="宋体" w:hint="eastAsia"/>
          <w:color w:val="000000"/>
          <w:kern w:val="0"/>
          <w:szCs w:val="21"/>
        </w:rPr>
        <w:t>有限公司总裁助理兼投资运营部部门经理、四川天一科技股份有限公司监事、富荣基金管理有限公司监事。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毛志华先生，职工监事，本科。现任富荣基金管理有限公司监事。</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3、高级管理人员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滕大江先生，督察长，中南大学工学学士，先后供职于平安证券、</w:t>
      </w:r>
      <w:proofErr w:type="gramStart"/>
      <w:r w:rsidRPr="00703DF3">
        <w:rPr>
          <w:rFonts w:ascii="宋体" w:hAnsi="宋体" w:hint="eastAsia"/>
          <w:color w:val="000000"/>
          <w:kern w:val="0"/>
          <w:szCs w:val="21"/>
        </w:rPr>
        <w:t>平安大</w:t>
      </w:r>
      <w:proofErr w:type="gramEnd"/>
      <w:r w:rsidRPr="00703DF3">
        <w:rPr>
          <w:rFonts w:ascii="宋体" w:hAnsi="宋体" w:hint="eastAsia"/>
          <w:color w:val="000000"/>
          <w:kern w:val="0"/>
          <w:szCs w:val="21"/>
        </w:rPr>
        <w:t>华基金管理有限公司、前海开源基金管理有限公司监察稽核部门。现任富荣基金管理有限公司督察长。</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胡长虹先生，副总经理，北京工商大学经济学学士，北大光华管理学院MBA，曾任湖北省粮食局财务副科长、中国远东国际贸易公司财务经理、深圳市飞亚达（集团）股份有限公司</w:t>
      </w:r>
      <w:proofErr w:type="gramStart"/>
      <w:r w:rsidRPr="00703DF3">
        <w:rPr>
          <w:rFonts w:ascii="宋体" w:hAnsi="宋体" w:hint="eastAsia"/>
          <w:color w:val="000000"/>
          <w:kern w:val="0"/>
          <w:szCs w:val="21"/>
        </w:rPr>
        <w:t>亨</w:t>
      </w:r>
      <w:proofErr w:type="gramEnd"/>
      <w:r w:rsidRPr="00703DF3">
        <w:rPr>
          <w:rFonts w:ascii="宋体" w:hAnsi="宋体" w:hint="eastAsia"/>
          <w:color w:val="000000"/>
          <w:kern w:val="0"/>
          <w:szCs w:val="21"/>
        </w:rPr>
        <w:t>吉利公司财务经理、深圳市北大高科技股份有限公司副总经理、太平财产保险有限公司投资管理部总经理，现任富荣基金管理有限公司副总经理。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lastRenderedPageBreak/>
        <w:t>于涛先生，副总经理，中国人民大学财务学博士，曾任中国农业银行山东省分行信贷部高级经理、大公国际资信评估有限公司工商</w:t>
      </w:r>
      <w:proofErr w:type="gramStart"/>
      <w:r w:rsidRPr="00703DF3">
        <w:rPr>
          <w:rFonts w:ascii="宋体" w:hAnsi="宋体" w:hint="eastAsia"/>
          <w:color w:val="000000"/>
          <w:kern w:val="0"/>
          <w:szCs w:val="21"/>
        </w:rPr>
        <w:t>评级部</w:t>
      </w:r>
      <w:proofErr w:type="gramEnd"/>
      <w:r w:rsidRPr="00703DF3">
        <w:rPr>
          <w:rFonts w:ascii="宋体" w:hAnsi="宋体" w:hint="eastAsia"/>
          <w:color w:val="000000"/>
          <w:kern w:val="0"/>
          <w:szCs w:val="21"/>
        </w:rPr>
        <w:t>总经理、中债资信评估有限公司研究部副总经理、银河基金管理有限公司债券高级研究员、融通基金管理有限公司信用债研究员、安信证券股份有限公司高级债券投资经理、嘉</w:t>
      </w:r>
      <w:proofErr w:type="gramStart"/>
      <w:r w:rsidRPr="00703DF3">
        <w:rPr>
          <w:rFonts w:ascii="宋体" w:hAnsi="宋体" w:hint="eastAsia"/>
          <w:color w:val="000000"/>
          <w:kern w:val="0"/>
          <w:szCs w:val="21"/>
        </w:rPr>
        <w:t>实基金</w:t>
      </w:r>
      <w:proofErr w:type="gramEnd"/>
      <w:r w:rsidRPr="00703DF3">
        <w:rPr>
          <w:rFonts w:ascii="宋体" w:hAnsi="宋体" w:hint="eastAsia"/>
          <w:color w:val="000000"/>
          <w:kern w:val="0"/>
          <w:szCs w:val="21"/>
        </w:rPr>
        <w:t>管理有限公司高级债券投资经理，现任富荣基金管理有限公司副总经理。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孙万龙先生，副总经理，北京大学金融学硕士，曾任平安养老保险股份有限公司云南分公司年金部经理、博时基金机构南方客户总监、华安基金华南机构业务负责人，现任富荣基金管理有限公司副总经理。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4、本</w:t>
      </w:r>
      <w:proofErr w:type="gramStart"/>
      <w:r w:rsidRPr="00703DF3">
        <w:rPr>
          <w:rFonts w:ascii="宋体" w:hAnsi="宋体" w:hint="eastAsia"/>
          <w:color w:val="000000"/>
          <w:kern w:val="0"/>
          <w:szCs w:val="21"/>
        </w:rPr>
        <w:t>基金基金</w:t>
      </w:r>
      <w:proofErr w:type="gramEnd"/>
      <w:r w:rsidRPr="00703DF3">
        <w:rPr>
          <w:rFonts w:ascii="宋体" w:hAnsi="宋体" w:hint="eastAsia"/>
          <w:color w:val="000000"/>
          <w:kern w:val="0"/>
          <w:szCs w:val="21"/>
        </w:rPr>
        <w:t>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吕晓蓉女士，清华大学工商管理硕士，曾任普华永道中天会计师事务所审计师、嘉</w:t>
      </w:r>
      <w:proofErr w:type="gramStart"/>
      <w:r w:rsidRPr="00703DF3">
        <w:rPr>
          <w:rFonts w:ascii="宋体" w:hAnsi="宋体" w:hint="eastAsia"/>
          <w:color w:val="000000"/>
          <w:kern w:val="0"/>
          <w:szCs w:val="21"/>
        </w:rPr>
        <w:t>实基金</w:t>
      </w:r>
      <w:proofErr w:type="gramEnd"/>
      <w:r w:rsidRPr="00703DF3">
        <w:rPr>
          <w:rFonts w:ascii="宋体" w:hAnsi="宋体" w:hint="eastAsia"/>
          <w:color w:val="000000"/>
          <w:kern w:val="0"/>
          <w:szCs w:val="21"/>
        </w:rPr>
        <w:t>管理有限公司组合头寸管理、新股、信用债、转债研究员，现任富荣基金管理有限公司基金经理。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5、投资决策委员会成员的姓名、职务</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郭容辰女士，投资决策委员会召集人，公司董事、总经理。</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胡长虹先生，投资决策委员会成员。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于涛先生，投资决策委员会成员。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吕晓蓉女士，投资决策委员会成员。</w:t>
      </w:r>
    </w:p>
    <w:p w:rsidR="0089278D" w:rsidRPr="00703DF3" w:rsidRDefault="0089278D" w:rsidP="00703DF3">
      <w:pPr>
        <w:spacing w:line="360" w:lineRule="auto"/>
        <w:ind w:firstLineChars="200" w:firstLine="420"/>
        <w:rPr>
          <w:rFonts w:ascii="宋体" w:hAnsi="宋体"/>
          <w:color w:val="000000"/>
          <w:kern w:val="0"/>
          <w:szCs w:val="21"/>
        </w:rPr>
      </w:pPr>
      <w:r w:rsidRPr="00703DF3">
        <w:rPr>
          <w:rFonts w:ascii="宋体" w:hAnsi="宋体" w:hint="eastAsia"/>
          <w:color w:val="000000"/>
          <w:kern w:val="0"/>
          <w:szCs w:val="21"/>
        </w:rPr>
        <w:t>6、上述人员之间不存在近亲属关系。</w:t>
      </w:r>
    </w:p>
    <w:p w:rsidR="002C7B11" w:rsidRDefault="0089278D" w:rsidP="0089278D">
      <w:pPr>
        <w:pStyle w:val="1"/>
        <w:spacing w:beforeLines="50" w:before="120" w:afterLines="50" w:after="120"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t>二、基金托管人</w:t>
      </w:r>
      <w:bookmarkEnd w:id="7"/>
      <w:bookmarkEnd w:id="8"/>
    </w:p>
    <w:p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（一）基本情况</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名称：中国光大银行股份有限公司</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住所及办公地址：北京市西城区太平桥大街</w:t>
      </w:r>
      <w:r w:rsidRPr="00876068">
        <w:rPr>
          <w:rFonts w:ascii="宋体" w:hAnsi="宋体" w:cs="宋体"/>
          <w:szCs w:val="21"/>
        </w:rPr>
        <w:t xml:space="preserve">25 </w:t>
      </w:r>
      <w:r w:rsidRPr="00876068">
        <w:rPr>
          <w:rFonts w:ascii="宋体" w:hAnsi="宋体" w:cs="宋体" w:hint="eastAsia"/>
          <w:szCs w:val="21"/>
        </w:rPr>
        <w:t>号、甲</w:t>
      </w:r>
      <w:r w:rsidRPr="00876068">
        <w:rPr>
          <w:rFonts w:ascii="宋体" w:hAnsi="宋体" w:cs="宋体"/>
          <w:szCs w:val="21"/>
        </w:rPr>
        <w:t xml:space="preserve">25 </w:t>
      </w:r>
      <w:r w:rsidRPr="00876068">
        <w:rPr>
          <w:rFonts w:ascii="宋体" w:hAnsi="宋体" w:cs="宋体" w:hint="eastAsia"/>
          <w:szCs w:val="21"/>
        </w:rPr>
        <w:t>号中国光大中心</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成立日期：</w:t>
      </w:r>
      <w:r w:rsidRPr="00876068">
        <w:rPr>
          <w:rFonts w:ascii="宋体" w:hAnsi="宋体" w:cs="宋体"/>
          <w:szCs w:val="21"/>
        </w:rPr>
        <w:t>1992</w:t>
      </w:r>
      <w:r w:rsidRPr="00876068">
        <w:rPr>
          <w:rFonts w:ascii="宋体" w:hAnsi="宋体" w:cs="宋体" w:hint="eastAsia"/>
          <w:szCs w:val="21"/>
        </w:rPr>
        <w:t>年</w:t>
      </w:r>
      <w:r w:rsidRPr="00876068">
        <w:rPr>
          <w:rFonts w:ascii="宋体" w:hAnsi="宋体" w:cs="宋体"/>
          <w:szCs w:val="21"/>
        </w:rPr>
        <w:t>6月18</w:t>
      </w:r>
      <w:r w:rsidRPr="00876068">
        <w:rPr>
          <w:rFonts w:ascii="宋体" w:hAnsi="宋体" w:cs="宋体" w:hint="eastAsia"/>
          <w:szCs w:val="21"/>
        </w:rPr>
        <w:t>日</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批准设立机关和批准设立文号：国务院、国函</w:t>
      </w:r>
      <w:r w:rsidRPr="00876068">
        <w:rPr>
          <w:rFonts w:ascii="宋体" w:hAnsi="宋体" w:cs="宋体"/>
          <w:szCs w:val="21"/>
        </w:rPr>
        <w:t>[1992]7号</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组织形式：股份有限公司</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注册资本：</w:t>
      </w:r>
      <w:r w:rsidRPr="00876068">
        <w:rPr>
          <w:rFonts w:ascii="宋体" w:hAnsi="宋体" w:cs="宋体"/>
          <w:szCs w:val="21"/>
        </w:rPr>
        <w:t>466.79095亿元人民币</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法定代表人：李晓鹏</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基金托管业务批准文号：中国证监会</w:t>
      </w:r>
      <w:proofErr w:type="gramStart"/>
      <w:r w:rsidRPr="00876068">
        <w:rPr>
          <w:rFonts w:ascii="宋体" w:hAnsi="宋体" w:cs="宋体" w:hint="eastAsia"/>
          <w:szCs w:val="21"/>
        </w:rPr>
        <w:t>证监基字</w:t>
      </w:r>
      <w:proofErr w:type="gramEnd"/>
      <w:r w:rsidRPr="00876068">
        <w:rPr>
          <w:rFonts w:ascii="宋体" w:hAnsi="宋体" w:cs="宋体" w:hint="eastAsia"/>
          <w:szCs w:val="21"/>
        </w:rPr>
        <w:t>【</w:t>
      </w:r>
      <w:r w:rsidRPr="00876068">
        <w:rPr>
          <w:rFonts w:ascii="宋体" w:hAnsi="宋体" w:cs="宋体"/>
          <w:szCs w:val="21"/>
        </w:rPr>
        <w:t>2002</w:t>
      </w:r>
      <w:r w:rsidRPr="00876068">
        <w:rPr>
          <w:rFonts w:ascii="宋体" w:hAnsi="宋体" w:cs="宋体" w:hint="eastAsia"/>
          <w:szCs w:val="21"/>
        </w:rPr>
        <w:t>】</w:t>
      </w:r>
      <w:r w:rsidRPr="00876068">
        <w:rPr>
          <w:rFonts w:ascii="宋体" w:hAnsi="宋体" w:cs="宋体"/>
          <w:szCs w:val="21"/>
        </w:rPr>
        <w:t>75</w:t>
      </w:r>
      <w:r w:rsidRPr="00876068">
        <w:rPr>
          <w:rFonts w:ascii="宋体" w:hAnsi="宋体" w:cs="宋体" w:hint="eastAsia"/>
          <w:szCs w:val="21"/>
        </w:rPr>
        <w:t>号</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投资与托管业务部总经理：曾闻学</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电话：（</w:t>
      </w:r>
      <w:r w:rsidRPr="00876068">
        <w:rPr>
          <w:rFonts w:ascii="宋体" w:hAnsi="宋体" w:cs="宋体"/>
          <w:szCs w:val="21"/>
        </w:rPr>
        <w:t>010</w:t>
      </w:r>
      <w:r w:rsidRPr="00876068">
        <w:rPr>
          <w:rFonts w:ascii="宋体" w:hAnsi="宋体" w:cs="宋体" w:hint="eastAsia"/>
          <w:szCs w:val="21"/>
        </w:rPr>
        <w:t>）</w:t>
      </w:r>
      <w:r w:rsidRPr="00876068">
        <w:rPr>
          <w:rFonts w:ascii="宋体" w:hAnsi="宋体" w:cs="宋体"/>
          <w:szCs w:val="21"/>
        </w:rPr>
        <w:t xml:space="preserve"> 63636363</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t>传真：（</w:t>
      </w:r>
      <w:r w:rsidRPr="00876068">
        <w:rPr>
          <w:rFonts w:ascii="宋体" w:hAnsi="宋体" w:cs="宋体"/>
          <w:szCs w:val="21"/>
        </w:rPr>
        <w:t>010</w:t>
      </w:r>
      <w:r w:rsidRPr="00876068">
        <w:rPr>
          <w:rFonts w:ascii="宋体" w:hAnsi="宋体" w:cs="宋体" w:hint="eastAsia"/>
          <w:szCs w:val="21"/>
        </w:rPr>
        <w:t>）</w:t>
      </w:r>
      <w:r w:rsidRPr="00876068">
        <w:rPr>
          <w:rFonts w:ascii="宋体" w:hAnsi="宋体" w:cs="宋体"/>
          <w:szCs w:val="21"/>
        </w:rPr>
        <w:t xml:space="preserve"> 63639132</w:t>
      </w:r>
    </w:p>
    <w:p w:rsidR="0014179C" w:rsidRPr="00876068" w:rsidRDefault="0014179C" w:rsidP="0014179C">
      <w:pPr>
        <w:spacing w:line="360" w:lineRule="auto"/>
        <w:ind w:firstLine="420"/>
        <w:rPr>
          <w:rFonts w:ascii="宋体" w:cs="宋体"/>
          <w:szCs w:val="21"/>
        </w:rPr>
      </w:pPr>
      <w:r w:rsidRPr="00876068">
        <w:rPr>
          <w:rFonts w:ascii="宋体" w:hAnsi="宋体" w:cs="宋体" w:hint="eastAsia"/>
          <w:szCs w:val="21"/>
        </w:rPr>
        <w:lastRenderedPageBreak/>
        <w:t>网址：</w:t>
      </w:r>
      <w:r w:rsidRPr="00876068">
        <w:rPr>
          <w:rFonts w:ascii="宋体" w:hAnsi="宋体" w:cs="宋体"/>
          <w:szCs w:val="21"/>
        </w:rPr>
        <w:t>www.cebbank.com</w:t>
      </w:r>
    </w:p>
    <w:p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（二）投资与托管业务部部门及主要人员情况</w:t>
      </w:r>
    </w:p>
    <w:p w:rsidR="0014179C" w:rsidRPr="00876068" w:rsidRDefault="0014179C" w:rsidP="0014179C">
      <w:pPr>
        <w:spacing w:line="360" w:lineRule="auto"/>
        <w:ind w:firstLine="420"/>
        <w:rPr>
          <w:rFonts w:ascii="宋体" w:hAnsi="宋体" w:cs="宋体"/>
          <w:szCs w:val="21"/>
        </w:rPr>
      </w:pPr>
      <w:r w:rsidRPr="00876068">
        <w:rPr>
          <w:rFonts w:ascii="宋体" w:hAnsi="宋体" w:cs="宋体" w:hint="eastAsia"/>
          <w:szCs w:val="21"/>
        </w:rPr>
        <w:t>法定代表人李晓鹏先生</w:t>
      </w:r>
      <w:r w:rsidRPr="00876068">
        <w:rPr>
          <w:rFonts w:ascii="宋体" w:hAnsi="宋体" w:cs="宋体"/>
          <w:szCs w:val="21"/>
        </w:rPr>
        <w:t>,</w:t>
      </w:r>
      <w:r w:rsidRPr="00876068">
        <w:rPr>
          <w:rFonts w:ascii="宋体" w:hAnsi="宋体" w:cs="宋体" w:hint="eastAsia"/>
          <w:szCs w:val="21"/>
        </w:rPr>
        <w:t>曾任中国工商银行河南省分行党组成员、副行长，中国工商银行总行营业部总经理，中国工商银行四川省分行党委书记、行长，中国华融资</w:t>
      </w:r>
      <w:proofErr w:type="gramStart"/>
      <w:r w:rsidRPr="00876068">
        <w:rPr>
          <w:rFonts w:ascii="宋体" w:hAnsi="宋体" w:cs="宋体" w:hint="eastAsia"/>
          <w:szCs w:val="21"/>
        </w:rPr>
        <w:t>产管理</w:t>
      </w:r>
      <w:proofErr w:type="gramEnd"/>
      <w:r w:rsidRPr="00876068">
        <w:rPr>
          <w:rFonts w:ascii="宋体" w:hAnsi="宋体" w:cs="宋体" w:hint="eastAsia"/>
          <w:szCs w:val="21"/>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876068">
        <w:rPr>
          <w:rFonts w:ascii="宋体" w:hAnsi="宋体" w:cs="宋体" w:hint="eastAsia"/>
          <w:szCs w:val="21"/>
        </w:rPr>
        <w:t>工银瑞信</w:t>
      </w:r>
      <w:proofErr w:type="gramEnd"/>
      <w:r w:rsidRPr="00876068">
        <w:rPr>
          <w:rFonts w:ascii="宋体" w:hAnsi="宋体" w:cs="宋体" w:hint="eastAsia"/>
          <w:szCs w:val="21"/>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rsidR="0014179C" w:rsidRPr="00876068" w:rsidRDefault="0014179C" w:rsidP="0014179C">
      <w:pPr>
        <w:spacing w:line="360" w:lineRule="auto"/>
        <w:ind w:firstLine="420"/>
        <w:rPr>
          <w:rFonts w:ascii="宋体" w:hAnsi="宋体" w:cs="宋体"/>
          <w:szCs w:val="21"/>
        </w:rPr>
      </w:pPr>
      <w:r w:rsidRPr="00876068">
        <w:rPr>
          <w:rFonts w:ascii="宋体" w:hAnsi="宋体" w:cs="宋体" w:hint="eastAsia"/>
          <w:szCs w:val="21"/>
          <w:lang w:val="zh-CN"/>
        </w:rPr>
        <w:t>行长张金良先生，</w:t>
      </w:r>
      <w:r w:rsidRPr="00876068">
        <w:rPr>
          <w:rFonts w:ascii="宋体" w:hAnsi="宋体" w:cs="宋体" w:hint="eastAsia"/>
          <w:szCs w:val="21"/>
        </w:rPr>
        <w:t>曾任中国银行财会部会计制度处副处长、处长、副总经理兼任</w:t>
      </w:r>
      <w:r w:rsidRPr="00876068">
        <w:rPr>
          <w:rFonts w:ascii="宋体" w:hAnsi="宋体" w:cs="宋体"/>
          <w:szCs w:val="21"/>
        </w:rPr>
        <w:t>IT蓝图实施办公室主任、总经理，中国银行北京市分行行长、党委书记，中国银行副行长、党委委员。现任中国光大集团股份公司执行董事、党委委员，兼任中国光大银行执行董事、行长、党委副书记。</w:t>
      </w:r>
    </w:p>
    <w:p w:rsidR="0014179C" w:rsidRPr="00876068" w:rsidRDefault="0014179C" w:rsidP="0014179C">
      <w:pPr>
        <w:spacing w:line="360" w:lineRule="auto"/>
        <w:ind w:firstLine="420"/>
        <w:rPr>
          <w:rFonts w:ascii="宋体" w:hAnsi="宋体" w:cs="宋体"/>
          <w:szCs w:val="21"/>
        </w:rPr>
      </w:pPr>
      <w:r w:rsidRPr="00876068">
        <w:rPr>
          <w:rFonts w:ascii="宋体" w:hAnsi="宋体" w:cs="宋体" w:hint="eastAsia"/>
          <w:szCs w:val="21"/>
          <w:lang w:val="zh-CN"/>
        </w:rPr>
        <w:t>曾闻学先生，曾任中国光大银行办公室副总经理，中国光大银行北京分行副行长。现任中国光大银行股份有限公司投资与托管业务部总经理。</w:t>
      </w:r>
    </w:p>
    <w:p w:rsidR="0089278D" w:rsidRPr="00703DF3" w:rsidRDefault="0089278D" w:rsidP="0089278D">
      <w:pPr>
        <w:spacing w:line="360" w:lineRule="auto"/>
        <w:ind w:firstLine="420"/>
        <w:rPr>
          <w:rFonts w:ascii="宋体" w:hAnsi="宋体"/>
          <w:color w:val="000000"/>
          <w:kern w:val="0"/>
          <w:szCs w:val="21"/>
        </w:rPr>
      </w:pPr>
      <w:r w:rsidRPr="00703DF3">
        <w:rPr>
          <w:rFonts w:ascii="宋体" w:hAnsi="宋体" w:hint="eastAsia"/>
          <w:color w:val="000000"/>
          <w:kern w:val="0"/>
          <w:szCs w:val="21"/>
        </w:rPr>
        <w:t>（三）证券投资基金托管情况</w:t>
      </w:r>
    </w:p>
    <w:p w:rsidR="0014179C" w:rsidRPr="00876068" w:rsidRDefault="0014179C" w:rsidP="0014179C">
      <w:pPr>
        <w:spacing w:line="360" w:lineRule="auto"/>
        <w:ind w:firstLine="420"/>
        <w:rPr>
          <w:rFonts w:ascii="宋体" w:hAnsi="宋体" w:cs="宋体"/>
          <w:szCs w:val="21"/>
          <w:lang w:val="zh-CN"/>
        </w:rPr>
      </w:pPr>
      <w:bookmarkStart w:id="9" w:name="_Toc256666786"/>
      <w:bookmarkStart w:id="10" w:name="_Toc256666914"/>
      <w:bookmarkStart w:id="11" w:name="_Toc6210"/>
      <w:bookmarkStart w:id="12" w:name="_Toc482624793"/>
      <w:r w:rsidRPr="00876068">
        <w:rPr>
          <w:rFonts w:ascii="宋体" w:hAnsi="宋体" w:cs="宋体" w:hint="eastAsia"/>
          <w:szCs w:val="21"/>
          <w:lang w:val="zh-CN"/>
        </w:rPr>
        <w:t>截至</w:t>
      </w:r>
      <w:r w:rsidRPr="00876068">
        <w:rPr>
          <w:rFonts w:ascii="宋体" w:hAnsi="宋体" w:cs="宋体"/>
          <w:szCs w:val="21"/>
          <w:lang w:val="zh-CN"/>
        </w:rPr>
        <w:t>2017年</w:t>
      </w:r>
      <w:r w:rsidRPr="00876068">
        <w:rPr>
          <w:rFonts w:ascii="宋体" w:hAnsi="宋体" w:cs="宋体"/>
          <w:szCs w:val="21"/>
        </w:rPr>
        <w:t>12</w:t>
      </w:r>
      <w:r w:rsidRPr="00876068">
        <w:rPr>
          <w:rFonts w:ascii="宋体" w:hAnsi="宋体" w:cs="宋体" w:hint="eastAsia"/>
          <w:szCs w:val="21"/>
          <w:lang w:val="zh-CN"/>
        </w:rPr>
        <w:t>月</w:t>
      </w:r>
      <w:r w:rsidRPr="00876068">
        <w:rPr>
          <w:rFonts w:ascii="宋体" w:hAnsi="宋体" w:cs="宋体"/>
          <w:szCs w:val="21"/>
          <w:lang w:val="zh-CN"/>
        </w:rPr>
        <w:t>31日，中国光大银行股份有限公司托管华夏</w:t>
      </w:r>
      <w:proofErr w:type="gramStart"/>
      <w:r w:rsidRPr="00876068">
        <w:rPr>
          <w:rFonts w:ascii="宋体" w:hAnsi="宋体" w:cs="宋体"/>
          <w:szCs w:val="21"/>
          <w:lang w:val="zh-CN"/>
        </w:rPr>
        <w:t>睿磐</w:t>
      </w:r>
      <w:proofErr w:type="gramEnd"/>
      <w:r w:rsidRPr="00876068">
        <w:rPr>
          <w:rFonts w:ascii="宋体" w:hAnsi="宋体" w:cs="宋体"/>
          <w:szCs w:val="21"/>
          <w:lang w:val="zh-CN"/>
        </w:rPr>
        <w:t>泰利六个月定期开放混合型证券投资基金、</w:t>
      </w:r>
      <w:proofErr w:type="gramStart"/>
      <w:r w:rsidRPr="00876068">
        <w:rPr>
          <w:rFonts w:ascii="宋体" w:hAnsi="宋体" w:cs="宋体"/>
          <w:szCs w:val="21"/>
          <w:lang w:val="zh-CN"/>
        </w:rPr>
        <w:t>天弘尊享</w:t>
      </w:r>
      <w:proofErr w:type="gramEnd"/>
      <w:r w:rsidRPr="00876068">
        <w:rPr>
          <w:rFonts w:ascii="宋体" w:hAnsi="宋体" w:cs="宋体"/>
          <w:szCs w:val="21"/>
          <w:lang w:val="zh-CN"/>
        </w:rPr>
        <w:t>定期开放债券型发起式证券投资基金、汇安多策略灵活配置混合型证券投资基金</w:t>
      </w:r>
      <w:r w:rsidRPr="00876068">
        <w:rPr>
          <w:rFonts w:ascii="宋体" w:hAnsi="宋体" w:cs="Arial" w:hint="eastAsia"/>
          <w:kern w:val="0"/>
          <w:szCs w:val="21"/>
        </w:rPr>
        <w:t>等共</w:t>
      </w:r>
      <w:r w:rsidRPr="00876068">
        <w:rPr>
          <w:rFonts w:ascii="宋体" w:hAnsi="宋体" w:cs="Arial"/>
          <w:kern w:val="0"/>
          <w:szCs w:val="21"/>
        </w:rPr>
        <w:t>93</w:t>
      </w:r>
      <w:r w:rsidRPr="00876068">
        <w:rPr>
          <w:rFonts w:ascii="宋体" w:hAnsi="宋体" w:cs="宋体" w:hint="eastAsia"/>
          <w:szCs w:val="21"/>
          <w:lang w:val="zh-CN"/>
        </w:rPr>
        <w:t>只证券投资基金，托管基金资产规模</w:t>
      </w:r>
      <w:r w:rsidRPr="00876068">
        <w:rPr>
          <w:rFonts w:ascii="宋体" w:hAnsi="宋体" w:cs="宋体"/>
          <w:szCs w:val="21"/>
          <w:lang w:val="zh-CN"/>
        </w:rPr>
        <w:t>2014.52亿元。同时，开展了证券公司资产管理计划、专户理财、企业年金基金、QDII、银行理财、保险债权投资计划等资产的托管及信托公司资金信托计划、产业投资基金、股权基金等产品的保管业务。</w:t>
      </w:r>
    </w:p>
    <w:p w:rsidR="002C7B11" w:rsidRDefault="0089278D">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（一）基金份额发售机构</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1、直销机构：富荣基金管理有限公司直销中心</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注册地址：广州市南沙区海滨路171号南沙金融大厦11楼1101之一J20室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办公地址：深圳市福田区深南大道2012号深圳证券交易所广场3501室</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lastRenderedPageBreak/>
        <w:t>法定代表人： 刘志军</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电话：0755-84356629</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传真：0755-83230902</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客服电话：4006855600</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网址：www.furamc.com.cn</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2、其他销售机构：具体名单详见本基金份额发售公告以及基金管理人届时发布的调整销售机构的相关公告。</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（二）登记机构</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名称：富荣基金管理有限公司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住所：广东省广州市南沙区海滨路171号南沙金融大厦11楼1101之一J20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办公地址：深圳市福田区深南大道2012号深圳证券交易所广场3501室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 xml:space="preserve">法定代表人：刘志军 </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联系人：黄文飞</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 0755-84356604</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 0755-83230787</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（三）出具法律意见书的律师事务所</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名称：上海市通力律师事务所</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住所：上海市银城中路68号时代金融中心19楼</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办公地址：上海市银城中路68号时代金融中心19楼</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负责人：俞卫锋</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电话：021-31358666</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传真：021-31358600</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经办律师：安冬 陆奇</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联系人： 安冬</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（四）审计基金财产的会计师事务所</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名称：普华永道中天会计师事务所（特殊普通合伙）</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住所：上海市浦东新区陆家嘴环路1318号</w:t>
      </w:r>
      <w:proofErr w:type="gramStart"/>
      <w:r w:rsidRPr="00703DF3">
        <w:rPr>
          <w:rFonts w:ascii="宋体" w:hAnsi="宋体" w:hint="eastAsia"/>
          <w:color w:val="000000"/>
          <w:kern w:val="0"/>
          <w:szCs w:val="21"/>
        </w:rPr>
        <w:t>星展银行</w:t>
      </w:r>
      <w:proofErr w:type="gramEnd"/>
      <w:r w:rsidRPr="00703DF3">
        <w:rPr>
          <w:rFonts w:ascii="宋体" w:hAnsi="宋体" w:hint="eastAsia"/>
          <w:color w:val="000000"/>
          <w:kern w:val="0"/>
          <w:szCs w:val="21"/>
        </w:rPr>
        <w:t>大厦6楼</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办公地址：上海市黄浦区湖滨路202号普华永道中心11楼</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法定代表人：李丹</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电话：（021）2323 8888</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传真：（021）2323 8800</w:t>
      </w:r>
    </w:p>
    <w:p w:rsidR="0089278D" w:rsidRPr="00703DF3" w:rsidRDefault="0089278D" w:rsidP="00703DF3">
      <w:pPr>
        <w:adjustRightInd w:val="0"/>
        <w:snapToGrid w:val="0"/>
        <w:spacing w:line="360" w:lineRule="auto"/>
        <w:ind w:firstLineChars="177" w:firstLine="372"/>
        <w:rPr>
          <w:rFonts w:ascii="宋体" w:hAnsi="宋体"/>
          <w:color w:val="000000"/>
          <w:kern w:val="0"/>
          <w:szCs w:val="21"/>
        </w:rPr>
      </w:pPr>
      <w:r w:rsidRPr="00703DF3">
        <w:rPr>
          <w:rFonts w:ascii="宋体" w:hAnsi="宋体" w:hint="eastAsia"/>
          <w:color w:val="000000"/>
          <w:kern w:val="0"/>
          <w:szCs w:val="21"/>
        </w:rPr>
        <w:t>签字注册会计师：曹翠丽、</w:t>
      </w:r>
      <w:proofErr w:type="gramStart"/>
      <w:r w:rsidRPr="00703DF3">
        <w:rPr>
          <w:rFonts w:ascii="宋体" w:hAnsi="宋体" w:hint="eastAsia"/>
          <w:color w:val="000000"/>
          <w:kern w:val="0"/>
          <w:szCs w:val="21"/>
        </w:rPr>
        <w:t>边晓红</w:t>
      </w:r>
      <w:proofErr w:type="gramEnd"/>
    </w:p>
    <w:p w:rsidR="0089278D" w:rsidRPr="00703DF3" w:rsidRDefault="0089278D" w:rsidP="00703DF3">
      <w:pPr>
        <w:adjustRightInd w:val="0"/>
        <w:snapToGrid w:val="0"/>
        <w:spacing w:line="360" w:lineRule="auto"/>
        <w:ind w:firstLineChars="177" w:firstLine="372"/>
        <w:rPr>
          <w:rFonts w:ascii="宋体" w:hAnsi="宋体"/>
          <w:color w:val="000000"/>
          <w:szCs w:val="21"/>
        </w:rPr>
      </w:pPr>
      <w:r w:rsidRPr="00703DF3">
        <w:rPr>
          <w:rFonts w:ascii="宋体" w:hAnsi="宋体" w:hint="eastAsia"/>
          <w:color w:val="000000"/>
          <w:kern w:val="0"/>
          <w:szCs w:val="21"/>
        </w:rPr>
        <w:lastRenderedPageBreak/>
        <w:t>联系人：</w:t>
      </w:r>
      <w:proofErr w:type="gramStart"/>
      <w:r w:rsidRPr="00703DF3">
        <w:rPr>
          <w:rFonts w:ascii="宋体" w:hAnsi="宋体" w:hint="eastAsia"/>
          <w:color w:val="000000"/>
          <w:kern w:val="0"/>
          <w:szCs w:val="21"/>
        </w:rPr>
        <w:t>边晓红</w:t>
      </w:r>
      <w:proofErr w:type="gramEnd"/>
    </w:p>
    <w:p w:rsidR="002C7B11" w:rsidRDefault="0089278D">
      <w:pPr>
        <w:pStyle w:val="1"/>
        <w:numPr>
          <w:ilvl w:val="0"/>
          <w:numId w:val="3"/>
        </w:numPr>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r>
        <w:rPr>
          <w:rFonts w:ascii="宋体" w:hAnsi="宋体" w:hint="eastAsia"/>
          <w:color w:val="000000"/>
          <w:kern w:val="0"/>
          <w:sz w:val="24"/>
          <w:szCs w:val="24"/>
        </w:rPr>
        <w:t>基金的名称</w:t>
      </w:r>
    </w:p>
    <w:p w:rsidR="002C7B11" w:rsidRPr="00703DF3" w:rsidRDefault="0089278D" w:rsidP="00703DF3">
      <w:pPr>
        <w:ind w:firstLineChars="200" w:firstLine="420"/>
        <w:rPr>
          <w:rFonts w:ascii="宋体" w:hAnsi="宋体"/>
          <w:color w:val="000000"/>
          <w:kern w:val="0"/>
          <w:szCs w:val="21"/>
        </w:rPr>
      </w:pPr>
      <w:r w:rsidRPr="00703DF3">
        <w:rPr>
          <w:rFonts w:ascii="宋体" w:hAnsi="宋体" w:hint="eastAsia"/>
          <w:color w:val="000000"/>
          <w:kern w:val="0"/>
          <w:szCs w:val="21"/>
        </w:rPr>
        <w:t>基金的名称：富荣富祥纯债债券型证券投资基金。</w:t>
      </w:r>
    </w:p>
    <w:p w:rsidR="002C7B11" w:rsidRDefault="002C7B11">
      <w:pPr>
        <w:ind w:firstLineChars="200" w:firstLine="480"/>
        <w:rPr>
          <w:rFonts w:ascii="宋体" w:hAnsi="宋体"/>
          <w:color w:val="000000"/>
          <w:kern w:val="0"/>
          <w:sz w:val="24"/>
        </w:rPr>
      </w:pPr>
    </w:p>
    <w:p w:rsidR="002C7B11" w:rsidRDefault="002C7B11"/>
    <w:p w:rsidR="002C7B11" w:rsidRDefault="0089278D">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rsidR="002C7B11" w:rsidRPr="00703DF3" w:rsidRDefault="0089278D" w:rsidP="00703DF3">
      <w:pPr>
        <w:ind w:firstLineChars="200" w:firstLine="420"/>
        <w:rPr>
          <w:rFonts w:ascii="宋体" w:hAnsi="宋体"/>
          <w:color w:val="000000"/>
          <w:kern w:val="0"/>
          <w:szCs w:val="21"/>
        </w:rPr>
      </w:pPr>
      <w:r w:rsidRPr="00703DF3">
        <w:rPr>
          <w:rFonts w:ascii="宋体" w:hAnsi="宋体" w:hint="eastAsia"/>
          <w:color w:val="000000"/>
          <w:kern w:val="0"/>
          <w:szCs w:val="21"/>
        </w:rPr>
        <w:t>基金的类型：</w:t>
      </w:r>
      <w:r w:rsidR="00C566A1" w:rsidRPr="00703DF3">
        <w:rPr>
          <w:rFonts w:ascii="宋体" w:hAnsi="宋体" w:hint="eastAsia"/>
          <w:color w:val="000000"/>
          <w:kern w:val="0"/>
          <w:szCs w:val="21"/>
        </w:rPr>
        <w:t>债券型证券投资基金</w:t>
      </w:r>
      <w:r w:rsidRPr="00703DF3">
        <w:rPr>
          <w:rFonts w:ascii="宋体" w:hAnsi="宋体" w:hint="eastAsia"/>
          <w:color w:val="000000"/>
          <w:kern w:val="0"/>
          <w:szCs w:val="21"/>
        </w:rPr>
        <w:t>。</w:t>
      </w:r>
    </w:p>
    <w:p w:rsidR="002C7B11" w:rsidRPr="00C566A1" w:rsidRDefault="002C7B11">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rsidR="002C7B11" w:rsidRDefault="0089278D">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rsidR="0089278D" w:rsidRPr="00703DF3" w:rsidRDefault="00963E6A" w:rsidP="00703DF3">
      <w:pPr>
        <w:spacing w:line="360" w:lineRule="auto"/>
        <w:ind w:firstLineChars="200" w:firstLine="420"/>
        <w:rPr>
          <w:rFonts w:ascii="Arial Unicode MS" w:hAnsi="Arial Unicode MS" w:cs="Arial"/>
          <w:bCs/>
          <w:szCs w:val="21"/>
        </w:rPr>
      </w:pPr>
      <w:bookmarkStart w:id="23" w:name="_Toc88969271"/>
      <w:bookmarkStart w:id="24" w:name="_Toc256666799"/>
      <w:bookmarkStart w:id="25" w:name="_Toc256666919"/>
      <w:bookmarkEnd w:id="17"/>
      <w:bookmarkEnd w:id="18"/>
      <w:bookmarkEnd w:id="19"/>
      <w:bookmarkEnd w:id="20"/>
      <w:r w:rsidRPr="00703DF3">
        <w:rPr>
          <w:rFonts w:ascii="Arial Unicode MS" w:hAnsi="Arial Unicode MS" w:cs="Arial" w:hint="eastAsia"/>
          <w:bCs/>
          <w:szCs w:val="21"/>
        </w:rPr>
        <w:t>（一）</w:t>
      </w:r>
      <w:r w:rsidR="0089278D" w:rsidRPr="00703DF3">
        <w:rPr>
          <w:rFonts w:ascii="Arial Unicode MS" w:hAnsi="Arial Unicode MS" w:cs="Arial"/>
          <w:bCs/>
          <w:szCs w:val="21"/>
        </w:rPr>
        <w:t>投资目标</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在一定程度上控制组合净值波动率的前提下，力争长期内实现超越业绩比较基准的投资回报。</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（二）</w:t>
      </w:r>
      <w:r w:rsidR="0089278D" w:rsidRPr="00703DF3">
        <w:rPr>
          <w:rFonts w:ascii="Arial Unicode MS" w:hAnsi="Arial Unicode MS" w:cs="Arial"/>
          <w:bCs/>
          <w:szCs w:val="21"/>
        </w:rPr>
        <w:t>投资范围</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本基金的投资范围主要为具有良好流动性的金融工具，包括国债、金融债、企业债、公司债、央行票据、中期票据、短期融资</w:t>
      </w:r>
      <w:proofErr w:type="gramStart"/>
      <w:r w:rsidRPr="00703DF3">
        <w:rPr>
          <w:rFonts w:ascii="Arial Unicode MS" w:hAnsi="Arial Unicode MS" w:cs="Arial" w:hint="eastAsia"/>
          <w:bCs/>
          <w:szCs w:val="21"/>
        </w:rPr>
        <w:t>券</w:t>
      </w:r>
      <w:proofErr w:type="gramEnd"/>
      <w:r w:rsidRPr="00703DF3">
        <w:rPr>
          <w:rFonts w:ascii="Arial Unicode MS" w:hAnsi="Arial Unicode MS" w:cs="Arial" w:hint="eastAsia"/>
          <w:bCs/>
          <w:szCs w:val="21"/>
        </w:rPr>
        <w:t>、中小企业私募债券、资产支持证券、次级债、可分离交易可转债</w:t>
      </w:r>
      <w:proofErr w:type="gramStart"/>
      <w:r w:rsidRPr="00703DF3">
        <w:rPr>
          <w:rFonts w:ascii="Arial Unicode MS" w:hAnsi="Arial Unicode MS" w:cs="Arial" w:hint="eastAsia"/>
          <w:bCs/>
          <w:szCs w:val="21"/>
        </w:rPr>
        <w:t>的纯债部分</w:t>
      </w:r>
      <w:proofErr w:type="gramEnd"/>
      <w:r w:rsidRPr="00703DF3">
        <w:rPr>
          <w:rFonts w:ascii="Arial Unicode MS" w:hAnsi="Arial Unicode MS" w:cs="Arial" w:hint="eastAsia"/>
          <w:bCs/>
          <w:szCs w:val="21"/>
        </w:rPr>
        <w:t>、债券回购、银行存款等法律法规或中国证监会允许基金投资的其他金融工具（但须符合中国证监会的相关规定）。</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本基金不投资于股票或权证，也不投资于可转换债券（可分离交易可转债的</w:t>
      </w:r>
      <w:proofErr w:type="gramStart"/>
      <w:r w:rsidRPr="00703DF3">
        <w:rPr>
          <w:rFonts w:ascii="Arial Unicode MS" w:hAnsi="Arial Unicode MS" w:cs="Arial" w:hint="eastAsia"/>
          <w:bCs/>
          <w:szCs w:val="21"/>
        </w:rPr>
        <w:t>纯债部分</w:t>
      </w:r>
      <w:proofErr w:type="gramEnd"/>
      <w:r w:rsidRPr="00703DF3">
        <w:rPr>
          <w:rFonts w:ascii="Arial Unicode MS" w:hAnsi="Arial Unicode MS" w:cs="Arial" w:hint="eastAsia"/>
          <w:bCs/>
          <w:szCs w:val="21"/>
        </w:rPr>
        <w:t>除外）、可交换债券。</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基金的投资组合比例为：本基金对债券的投资比例不低于基金资产的</w:t>
      </w:r>
      <w:r w:rsidRPr="00703DF3">
        <w:rPr>
          <w:rFonts w:ascii="Arial Unicode MS" w:hAnsi="Arial Unicode MS" w:cs="Arial" w:hint="eastAsia"/>
          <w:bCs/>
          <w:szCs w:val="21"/>
        </w:rPr>
        <w:t>80</w:t>
      </w:r>
      <w:r w:rsidRPr="00703DF3">
        <w:rPr>
          <w:rFonts w:ascii="Arial Unicode MS" w:hAnsi="Arial Unicode MS" w:cs="Arial" w:hint="eastAsia"/>
          <w:bCs/>
          <w:szCs w:val="21"/>
        </w:rPr>
        <w:t>％；本基金持有现金或者到期日在一年以内的政府债券投资比例不低于基金资产净值的</w:t>
      </w:r>
      <w:r w:rsidRPr="00703DF3">
        <w:rPr>
          <w:rFonts w:ascii="Arial Unicode MS" w:hAnsi="Arial Unicode MS" w:cs="Arial" w:hint="eastAsia"/>
          <w:bCs/>
          <w:szCs w:val="21"/>
        </w:rPr>
        <w:t>5%</w:t>
      </w:r>
      <w:r w:rsidR="00703DF3">
        <w:rPr>
          <w:rFonts w:ascii="Arial Unicode MS" w:hAnsi="Arial Unicode MS" w:cs="Arial" w:hint="eastAsia"/>
          <w:bCs/>
          <w:szCs w:val="21"/>
        </w:rPr>
        <w:t>，其中，现金不包括结算备付金、存出保证金、应收申购款。</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如法律法规或监管机构以后允许基金投资的其他品种，基金管理人在履行适当程序后，可以将其纳入投资范围。</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（三）</w:t>
      </w:r>
      <w:r w:rsidR="0089278D" w:rsidRPr="00703DF3">
        <w:rPr>
          <w:rFonts w:ascii="Arial Unicode MS" w:hAnsi="Arial Unicode MS" w:cs="Arial"/>
          <w:bCs/>
          <w:szCs w:val="21"/>
        </w:rPr>
        <w:t>投资策略</w:t>
      </w:r>
    </w:p>
    <w:p w:rsidR="0089278D" w:rsidRPr="00703DF3" w:rsidRDefault="0089278D" w:rsidP="00703DF3">
      <w:pPr>
        <w:spacing w:line="360" w:lineRule="auto"/>
        <w:ind w:firstLineChars="200" w:firstLine="420"/>
        <w:rPr>
          <w:rFonts w:ascii="Arial Unicode MS" w:hAnsi="Arial Unicode MS" w:cs="Arial"/>
          <w:bCs/>
          <w:szCs w:val="21"/>
        </w:rPr>
      </w:pPr>
      <w:bookmarkStart w:id="26" w:name="_Toc148867251"/>
      <w:bookmarkStart w:id="27" w:name="_Toc149105517"/>
      <w:bookmarkStart w:id="28" w:name="_Toc212891567"/>
      <w:r w:rsidRPr="00703DF3">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w:t>
      </w:r>
      <w:r w:rsidRPr="00703DF3">
        <w:rPr>
          <w:rFonts w:ascii="Arial Unicode MS" w:hAnsi="Arial Unicode MS" w:cs="Arial" w:hint="eastAsia"/>
          <w:bCs/>
          <w:szCs w:val="21"/>
        </w:rPr>
        <w:lastRenderedPageBreak/>
        <w:t>的标的券种，以尽量获取最大化的信用溢价。本基金采用的投资策略包括：期限结构策略、行业配置策略、息差策略、</w:t>
      </w:r>
      <w:proofErr w:type="gramStart"/>
      <w:r w:rsidRPr="00703DF3">
        <w:rPr>
          <w:rFonts w:ascii="Arial Unicode MS" w:hAnsi="Arial Unicode MS" w:cs="Arial" w:hint="eastAsia"/>
          <w:bCs/>
          <w:szCs w:val="21"/>
        </w:rPr>
        <w:t>个券</w:t>
      </w:r>
      <w:proofErr w:type="gramEnd"/>
      <w:r w:rsidRPr="00703DF3">
        <w:rPr>
          <w:rFonts w:ascii="Arial Unicode MS" w:hAnsi="Arial Unicode MS" w:cs="Arial" w:hint="eastAsia"/>
          <w:bCs/>
          <w:szCs w:val="21"/>
        </w:rPr>
        <w:t>挖掘策略等。</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首先，本组合宏观周期研究的基础上，决定整体组合的久期、杠杆率策略。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一方面，本基金将分析众多的宏观经济变量（包括</w:t>
      </w:r>
      <w:r w:rsidRPr="00703DF3">
        <w:rPr>
          <w:rFonts w:ascii="Arial Unicode MS" w:hAnsi="Arial Unicode MS" w:cs="Arial" w:hint="eastAsia"/>
          <w:bCs/>
          <w:szCs w:val="21"/>
        </w:rPr>
        <w:t>GDP</w:t>
      </w:r>
      <w:r w:rsidRPr="00703DF3">
        <w:rPr>
          <w:rFonts w:ascii="Arial Unicode MS" w:hAnsi="Arial Unicode MS" w:cs="Arial" w:hint="eastAsia"/>
          <w:bCs/>
          <w:szCs w:val="21"/>
        </w:rPr>
        <w:t>增长率、</w:t>
      </w:r>
      <w:r w:rsidRPr="00703DF3">
        <w:rPr>
          <w:rFonts w:ascii="Arial Unicode MS" w:hAnsi="Arial Unicode MS" w:cs="Arial" w:hint="eastAsia"/>
          <w:bCs/>
          <w:szCs w:val="21"/>
        </w:rPr>
        <w:t>CPI</w:t>
      </w:r>
      <w:r w:rsidRPr="00703DF3">
        <w:rPr>
          <w:rFonts w:ascii="Arial Unicode MS" w:hAnsi="Arial Unicode MS" w:cs="Arial" w:hint="eastAsia"/>
          <w:bCs/>
          <w:szCs w:val="21"/>
        </w:rPr>
        <w:t>走势、</w:t>
      </w:r>
      <w:r w:rsidRPr="00703DF3">
        <w:rPr>
          <w:rFonts w:ascii="Arial Unicode MS" w:hAnsi="Arial Unicode MS" w:cs="Arial" w:hint="eastAsia"/>
          <w:bCs/>
          <w:szCs w:val="21"/>
        </w:rPr>
        <w:t>M2</w:t>
      </w:r>
      <w:r w:rsidRPr="00703DF3">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03DF3">
        <w:rPr>
          <w:rFonts w:ascii="Arial Unicode MS" w:hAnsi="Arial Unicode MS" w:cs="Arial" w:hint="eastAsia"/>
          <w:bCs/>
          <w:szCs w:val="21"/>
        </w:rPr>
        <w:t>久期范围</w:t>
      </w:r>
      <w:proofErr w:type="gramEnd"/>
      <w:r w:rsidRPr="00703DF3">
        <w:rPr>
          <w:rFonts w:ascii="Arial Unicode MS" w:hAnsi="Arial Unicode MS" w:cs="Arial" w:hint="eastAsia"/>
          <w:bCs/>
          <w:szCs w:val="21"/>
        </w:rPr>
        <w:t>以及杠杆率水平。</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其次，本组合将在期限结构策略、行业轮动策略的基础上获得债券市场整体回报率，通过息差策略、</w:t>
      </w:r>
      <w:proofErr w:type="gramStart"/>
      <w:r w:rsidRPr="00703DF3">
        <w:rPr>
          <w:rFonts w:ascii="Arial Unicode MS" w:hAnsi="Arial Unicode MS" w:cs="Arial" w:hint="eastAsia"/>
          <w:bCs/>
          <w:szCs w:val="21"/>
        </w:rPr>
        <w:t>个券</w:t>
      </w:r>
      <w:proofErr w:type="gramEnd"/>
      <w:r w:rsidRPr="00703DF3">
        <w:rPr>
          <w:rFonts w:ascii="Arial Unicode MS" w:hAnsi="Arial Unicode MS" w:cs="Arial" w:hint="eastAsia"/>
          <w:bCs/>
          <w:szCs w:val="21"/>
        </w:rPr>
        <w:t>挖掘策略获得超额收益。</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、期限结构策略。通过预测收益率曲线的形状和变化趋势，对各类型债券</w:t>
      </w:r>
      <w:proofErr w:type="gramStart"/>
      <w:r w:rsidRPr="00703DF3">
        <w:rPr>
          <w:rFonts w:ascii="Arial Unicode MS" w:hAnsi="Arial Unicode MS" w:cs="Arial" w:hint="eastAsia"/>
          <w:bCs/>
          <w:szCs w:val="21"/>
        </w:rPr>
        <w:t>进行久期配置</w:t>
      </w:r>
      <w:proofErr w:type="gramEnd"/>
      <w:r w:rsidRPr="00703DF3">
        <w:rPr>
          <w:rFonts w:ascii="Arial Unicode MS" w:hAnsi="Arial Unicode MS" w:cs="Arial" w:hint="eastAsia"/>
          <w:bCs/>
          <w:szCs w:val="21"/>
        </w:rPr>
        <w:t>；当收益率曲线走势难以判断时，参考基准指数的样本</w:t>
      </w:r>
      <w:proofErr w:type="gramStart"/>
      <w:r w:rsidRPr="00703DF3">
        <w:rPr>
          <w:rFonts w:ascii="Arial Unicode MS" w:hAnsi="Arial Unicode MS" w:cs="Arial" w:hint="eastAsia"/>
          <w:bCs/>
          <w:szCs w:val="21"/>
        </w:rPr>
        <w:t>券久期构建</w:t>
      </w:r>
      <w:proofErr w:type="gramEnd"/>
      <w:r w:rsidRPr="00703DF3">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）子弹策略是使投资组合中债券</w:t>
      </w:r>
      <w:proofErr w:type="gramStart"/>
      <w:r w:rsidRPr="00703DF3">
        <w:rPr>
          <w:rFonts w:ascii="Arial Unicode MS" w:hAnsi="Arial Unicode MS" w:cs="Arial" w:hint="eastAsia"/>
          <w:bCs/>
          <w:szCs w:val="21"/>
        </w:rPr>
        <w:t>久期集中</w:t>
      </w:r>
      <w:proofErr w:type="gramEnd"/>
      <w:r w:rsidRPr="00703DF3">
        <w:rPr>
          <w:rFonts w:ascii="Arial Unicode MS" w:hAnsi="Arial Unicode MS" w:cs="Arial" w:hint="eastAsia"/>
          <w:bCs/>
          <w:szCs w:val="21"/>
        </w:rPr>
        <w:t>于收益率曲线的一点，适用于收益率曲线较陡时；杠铃策略是使投资组合中债券的</w:t>
      </w:r>
      <w:proofErr w:type="gramStart"/>
      <w:r w:rsidRPr="00703DF3">
        <w:rPr>
          <w:rFonts w:ascii="Arial Unicode MS" w:hAnsi="Arial Unicode MS" w:cs="Arial" w:hint="eastAsia"/>
          <w:bCs/>
          <w:szCs w:val="21"/>
        </w:rPr>
        <w:t>久期集中</w:t>
      </w:r>
      <w:proofErr w:type="gramEnd"/>
      <w:r w:rsidRPr="00703DF3">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03DF3">
        <w:rPr>
          <w:rFonts w:ascii="Arial Unicode MS" w:hAnsi="Arial Unicode MS" w:cs="Arial" w:hint="eastAsia"/>
          <w:bCs/>
          <w:szCs w:val="21"/>
        </w:rPr>
        <w:t>债券久期均匀</w:t>
      </w:r>
      <w:proofErr w:type="gramEnd"/>
      <w:r w:rsidRPr="00703DF3">
        <w:rPr>
          <w:rFonts w:ascii="Arial Unicode MS" w:hAnsi="Arial Unicode MS" w:cs="Arial" w:hint="eastAsia"/>
          <w:bCs/>
          <w:szCs w:val="21"/>
        </w:rPr>
        <w:t>分别于收益率曲线，适用于收益率曲线水平移动。</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、行业配置策略。债券市场所涉及行业众多，同样宏观周期背景下不同行业的景气度的发生，本基金分别采用以下的分析策略：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03DF3">
        <w:rPr>
          <w:rFonts w:ascii="Arial Unicode MS" w:hAnsi="Arial Unicode MS" w:cs="Arial" w:hint="eastAsia"/>
          <w:bCs/>
          <w:szCs w:val="21"/>
        </w:rPr>
        <w:t>链高度</w:t>
      </w:r>
      <w:proofErr w:type="gramEnd"/>
      <w:r w:rsidRPr="00703DF3">
        <w:rPr>
          <w:rFonts w:ascii="Arial Unicode MS" w:hAnsi="Arial Unicode MS" w:cs="Arial" w:hint="eastAsia"/>
          <w:bCs/>
          <w:szCs w:val="21"/>
        </w:rPr>
        <w:t>相关的上中下游行业。</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）行业投资：本组合将依据对下一阶段各行业景气</w:t>
      </w:r>
      <w:proofErr w:type="gramStart"/>
      <w:r w:rsidRPr="00703DF3">
        <w:rPr>
          <w:rFonts w:ascii="Arial Unicode MS" w:hAnsi="Arial Unicode MS" w:cs="Arial" w:hint="eastAsia"/>
          <w:bCs/>
          <w:szCs w:val="21"/>
        </w:rPr>
        <w:t>度特征的研</w:t>
      </w:r>
      <w:proofErr w:type="gramEnd"/>
      <w:r w:rsidRPr="00703DF3">
        <w:rPr>
          <w:rFonts w:ascii="Arial Unicode MS" w:hAnsi="Arial Unicode MS" w:cs="Arial" w:hint="eastAsia"/>
          <w:bCs/>
          <w:szCs w:val="21"/>
        </w:rPr>
        <w:t>判，确定在下一阶段在各行业的配置比例，卖出景气度降低行业的债券，提前布局景气度提升行业的债券。</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3</w:t>
      </w:r>
      <w:r w:rsidRPr="00703DF3">
        <w:rPr>
          <w:rFonts w:ascii="Arial Unicode MS" w:hAnsi="Arial Unicode MS" w:cs="Arial" w:hint="eastAsia"/>
          <w:bCs/>
          <w:szCs w:val="21"/>
        </w:rPr>
        <w:t>、息差策略。通过正回购，融资买入收益率高于回购成本的债券，从而获得杠杆放大收益。</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本组合将采取低杠杆、高流动性策略，适当运用杠杆息</w:t>
      </w:r>
      <w:proofErr w:type="gramStart"/>
      <w:r w:rsidRPr="00703DF3">
        <w:rPr>
          <w:rFonts w:ascii="Arial Unicode MS" w:hAnsi="Arial Unicode MS" w:cs="Arial" w:hint="eastAsia"/>
          <w:bCs/>
          <w:szCs w:val="21"/>
        </w:rPr>
        <w:t>差方式</w:t>
      </w:r>
      <w:proofErr w:type="gramEnd"/>
      <w:r w:rsidRPr="00703DF3">
        <w:rPr>
          <w:rFonts w:ascii="Arial Unicode MS" w:hAnsi="Arial Unicode MS" w:cs="Arial" w:hint="eastAsia"/>
          <w:bCs/>
          <w:szCs w:val="21"/>
        </w:rPr>
        <w:t>来获取主动管理回报，选取</w:t>
      </w:r>
      <w:r w:rsidRPr="00703DF3">
        <w:rPr>
          <w:rFonts w:ascii="Arial Unicode MS" w:hAnsi="Arial Unicode MS" w:cs="Arial" w:hint="eastAsia"/>
          <w:bCs/>
          <w:szCs w:val="21"/>
        </w:rPr>
        <w:lastRenderedPageBreak/>
        <w:t>具有较好流动性的债券作为杠杆买入品种，灵活控制杠杆组合</w:t>
      </w:r>
      <w:proofErr w:type="gramStart"/>
      <w:r w:rsidRPr="00703DF3">
        <w:rPr>
          <w:rFonts w:ascii="Arial Unicode MS" w:hAnsi="Arial Unicode MS" w:cs="Arial" w:hint="eastAsia"/>
          <w:bCs/>
          <w:szCs w:val="21"/>
        </w:rPr>
        <w:t>仓位</w:t>
      </w:r>
      <w:proofErr w:type="gramEnd"/>
      <w:r w:rsidRPr="00703DF3">
        <w:rPr>
          <w:rFonts w:ascii="Arial Unicode MS" w:hAnsi="Arial Unicode MS" w:cs="Arial" w:hint="eastAsia"/>
          <w:bCs/>
          <w:szCs w:val="21"/>
        </w:rPr>
        <w:t>，降低组合波动率。</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4</w:t>
      </w:r>
      <w:r w:rsidRPr="00703DF3">
        <w:rPr>
          <w:rFonts w:ascii="Arial Unicode MS" w:hAnsi="Arial Unicode MS" w:cs="Arial" w:hint="eastAsia"/>
          <w:bCs/>
          <w:szCs w:val="21"/>
        </w:rPr>
        <w:t>、</w:t>
      </w:r>
      <w:r w:rsidRPr="00703DF3">
        <w:rPr>
          <w:rFonts w:ascii="Arial Unicode MS" w:hAnsi="Arial Unicode MS" w:cs="Arial"/>
          <w:bCs/>
          <w:szCs w:val="21"/>
        </w:rPr>
        <w:t>中小企业私募债策略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03DF3">
        <w:rPr>
          <w:rFonts w:ascii="Arial Unicode MS" w:hAnsi="Arial Unicode MS" w:cs="Arial" w:hint="eastAsia"/>
          <w:bCs/>
          <w:szCs w:val="21"/>
        </w:rPr>
        <w:t>,</w:t>
      </w:r>
      <w:r w:rsidRPr="00703DF3">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5</w:t>
      </w:r>
      <w:r w:rsidRPr="00703DF3">
        <w:rPr>
          <w:rFonts w:ascii="Arial Unicode MS" w:hAnsi="Arial Unicode MS" w:cs="Arial" w:hint="eastAsia"/>
          <w:bCs/>
          <w:szCs w:val="21"/>
        </w:rPr>
        <w:t>、</w:t>
      </w:r>
      <w:proofErr w:type="gramStart"/>
      <w:r w:rsidRPr="00703DF3">
        <w:rPr>
          <w:rFonts w:ascii="Arial Unicode MS" w:hAnsi="Arial Unicode MS" w:cs="Arial" w:hint="eastAsia"/>
          <w:bCs/>
          <w:szCs w:val="21"/>
        </w:rPr>
        <w:t>个券</w:t>
      </w:r>
      <w:proofErr w:type="gramEnd"/>
      <w:r w:rsidRPr="00703DF3">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703DF3">
        <w:rPr>
          <w:rFonts w:ascii="Arial Unicode MS" w:hAnsi="Arial Unicode MS" w:cs="Arial" w:hint="eastAsia"/>
          <w:bCs/>
          <w:szCs w:val="21"/>
        </w:rPr>
        <w:t>面改善</w:t>
      </w:r>
      <w:proofErr w:type="gramEnd"/>
      <w:r w:rsidRPr="00703DF3">
        <w:rPr>
          <w:rFonts w:ascii="Arial Unicode MS" w:hAnsi="Arial Unicode MS" w:cs="Arial" w:hint="eastAsia"/>
          <w:bCs/>
          <w:szCs w:val="21"/>
        </w:rPr>
        <w:t>的公司，采取高度分散策略，重点布局优势债券，争取提高组合超额收益空间。</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（四）</w:t>
      </w:r>
      <w:r w:rsidR="0089278D" w:rsidRPr="00703DF3">
        <w:rPr>
          <w:rFonts w:ascii="Arial Unicode MS" w:hAnsi="Arial Unicode MS" w:cs="Arial" w:hint="eastAsia"/>
          <w:bCs/>
          <w:szCs w:val="21"/>
        </w:rPr>
        <w:t>投资决策流程</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具体的投资流程为：</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）固定收益部定期召开例会讨论固定收益产品投资方案和未来的行情判断，结合宏观经济、债券市场两方面研究结果确定下期的固定收益产品投资策略</w:t>
      </w:r>
      <w:r w:rsidRPr="00703DF3">
        <w:rPr>
          <w:rFonts w:ascii="Arial Unicode MS" w:hAnsi="Arial Unicode MS" w:cs="Arial" w:hint="eastAsia"/>
          <w:bCs/>
          <w:szCs w:val="21"/>
        </w:rPr>
        <w:t>,</w:t>
      </w:r>
      <w:r w:rsidRPr="00703DF3">
        <w:rPr>
          <w:rFonts w:ascii="Arial Unicode MS" w:hAnsi="Arial Unicode MS" w:cs="Arial" w:hint="eastAsia"/>
          <w:bCs/>
          <w:szCs w:val="21"/>
        </w:rPr>
        <w:t>并报投资决策委员会备案。</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）基金经理负责执行投资方案。</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）公司所管理的基金投资交易均采用集中交易制度。投资执行与投资决策严格分离，基金的所有证券买卖活动须通过交易部统一分配，集中交易完成。</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）基金经理根据市场变化在权限范围及时进行投资策略调整，超过投资权限的报投资决策委员会审议。</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投资合</w:t>
      </w:r>
      <w:proofErr w:type="gramStart"/>
      <w:r w:rsidRPr="00703DF3">
        <w:rPr>
          <w:rFonts w:ascii="Arial Unicode MS" w:hAnsi="Arial Unicode MS" w:cs="Arial" w:hint="eastAsia"/>
          <w:bCs/>
          <w:szCs w:val="21"/>
        </w:rPr>
        <w:t>规</w:t>
      </w:r>
      <w:proofErr w:type="gramEnd"/>
      <w:r w:rsidRPr="00703DF3">
        <w:rPr>
          <w:rFonts w:ascii="Arial Unicode MS" w:hAnsi="Arial Unicode MS" w:cs="Arial" w:hint="eastAsia"/>
          <w:bCs/>
          <w:szCs w:val="21"/>
        </w:rPr>
        <w:t>性控制从以下方面展开：</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）风险管理委员会：通过对基金投资的研究、决策、执行等，从制度上、操作程序上进行控制，保证公司管理基金投资的各项制度、措施、工作流程符合相关法律、法规和基金合同的要求。</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）督察长：可列席公司投资决策委员会议，全程监控交易指令的执行情况，保证合</w:t>
      </w:r>
      <w:proofErr w:type="gramStart"/>
      <w:r w:rsidRPr="00703DF3">
        <w:rPr>
          <w:rFonts w:ascii="Arial Unicode MS" w:hAnsi="Arial Unicode MS" w:cs="Arial" w:hint="eastAsia"/>
          <w:bCs/>
          <w:szCs w:val="21"/>
        </w:rPr>
        <w:t>规</w:t>
      </w:r>
      <w:proofErr w:type="gramEnd"/>
      <w:r w:rsidRPr="00703DF3">
        <w:rPr>
          <w:rFonts w:ascii="Arial Unicode MS" w:hAnsi="Arial Unicode MS" w:cs="Arial" w:hint="eastAsia"/>
          <w:bCs/>
          <w:szCs w:val="21"/>
        </w:rPr>
        <w:t>性控制的实施。</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lastRenderedPageBreak/>
        <w:t>（</w:t>
      </w:r>
      <w:r w:rsidRPr="00703DF3">
        <w:rPr>
          <w:rFonts w:ascii="Arial Unicode MS" w:hAnsi="Arial Unicode MS" w:cs="Arial" w:hint="eastAsia"/>
          <w:bCs/>
          <w:szCs w:val="21"/>
        </w:rPr>
        <w:t>3</w:t>
      </w:r>
      <w:r w:rsidRPr="00703DF3">
        <w:rPr>
          <w:rFonts w:ascii="Arial Unicode MS" w:hAnsi="Arial Unicode MS" w:cs="Arial" w:hint="eastAsia"/>
          <w:bCs/>
          <w:szCs w:val="21"/>
        </w:rPr>
        <w:t>）监察稽核部：可对基金投资管理过程的各环节进行例行和专项稽核，根据授权察看基金的交易情况，确保投资决策和交易指令得到全面、准确的执行。</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）交易部负责对投资指令进行审核，对日常交易行为实时监控。</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6"/>
    <w:bookmarkEnd w:id="27"/>
    <w:bookmarkEnd w:id="28"/>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（五）</w:t>
      </w:r>
      <w:r w:rsidR="0089278D" w:rsidRPr="00703DF3">
        <w:rPr>
          <w:rFonts w:ascii="Arial Unicode MS" w:hAnsi="Arial Unicode MS" w:cs="Arial"/>
          <w:bCs/>
          <w:szCs w:val="21"/>
        </w:rPr>
        <w:t>投资限制</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、组合限制</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基金的投资组合应遵循以下限制：</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）本基金对债券的投资比例不低于基金资产的</w:t>
      </w:r>
      <w:r w:rsidRPr="00703DF3">
        <w:rPr>
          <w:rFonts w:ascii="Arial Unicode MS" w:hAnsi="Arial Unicode MS" w:cs="Arial" w:hint="eastAsia"/>
          <w:bCs/>
          <w:szCs w:val="21"/>
        </w:rPr>
        <w:t>80%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w:t>
      </w:r>
      <w:r w:rsidRPr="00703DF3">
        <w:rPr>
          <w:rFonts w:ascii="Arial Unicode MS" w:hAnsi="Arial Unicode MS" w:cs="Arial"/>
          <w:bCs/>
          <w:szCs w:val="21"/>
        </w:rPr>
        <w:t>本基金</w:t>
      </w:r>
      <w:r w:rsidRPr="00703DF3">
        <w:rPr>
          <w:rFonts w:ascii="Arial Unicode MS" w:hAnsi="Arial Unicode MS" w:cs="Arial" w:hint="eastAsia"/>
          <w:bCs/>
          <w:szCs w:val="21"/>
        </w:rPr>
        <w:t>持有现金或者到期日在一年以内的政府债券投资比例合计不低于基金资产净值的</w:t>
      </w:r>
      <w:r w:rsidRPr="00703DF3">
        <w:rPr>
          <w:rFonts w:ascii="Arial Unicode MS" w:hAnsi="Arial Unicode MS" w:cs="Arial"/>
          <w:bCs/>
          <w:szCs w:val="21"/>
        </w:rPr>
        <w:t>5%</w:t>
      </w:r>
      <w:r w:rsidR="00703DF3">
        <w:rPr>
          <w:rFonts w:ascii="Arial Unicode MS" w:hAnsi="Arial Unicode MS" w:cs="Arial" w:hint="eastAsia"/>
          <w:szCs w:val="21"/>
        </w:rPr>
        <w:t>，其中，现金不包括结算备付金、存出保证金、应收申购款；</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w:t>
      </w:r>
      <w:r w:rsidRPr="00703DF3">
        <w:rPr>
          <w:rFonts w:ascii="Arial Unicode MS" w:hAnsi="Arial Unicode MS" w:cs="Arial" w:hint="eastAsia"/>
          <w:bCs/>
          <w:szCs w:val="21"/>
        </w:rPr>
        <w:t>3</w:t>
      </w:r>
      <w:r w:rsidRPr="00703DF3">
        <w:rPr>
          <w:rFonts w:ascii="Arial Unicode MS" w:hAnsi="Arial Unicode MS" w:cs="Arial"/>
          <w:bCs/>
          <w:szCs w:val="21"/>
        </w:rPr>
        <w:t>）本基金持有一家公司</w:t>
      </w:r>
      <w:r w:rsidRPr="00703DF3">
        <w:rPr>
          <w:rFonts w:ascii="Arial Unicode MS" w:hAnsi="Arial Unicode MS" w:cs="Arial" w:hint="eastAsia"/>
          <w:bCs/>
          <w:szCs w:val="21"/>
        </w:rPr>
        <w:t>发行</w:t>
      </w:r>
      <w:r w:rsidRPr="00703DF3">
        <w:rPr>
          <w:rFonts w:ascii="Arial Unicode MS" w:hAnsi="Arial Unicode MS" w:cs="Arial"/>
          <w:bCs/>
          <w:szCs w:val="21"/>
        </w:rPr>
        <w:t>的</w:t>
      </w:r>
      <w:r w:rsidRPr="00703DF3">
        <w:rPr>
          <w:rFonts w:ascii="Arial Unicode MS" w:hAnsi="Arial Unicode MS" w:cs="Arial" w:hint="eastAsia"/>
          <w:bCs/>
          <w:szCs w:val="21"/>
        </w:rPr>
        <w:t>证券</w:t>
      </w:r>
      <w:r w:rsidRPr="00703DF3">
        <w:rPr>
          <w:rFonts w:ascii="Arial Unicode MS" w:hAnsi="Arial Unicode MS" w:cs="Arial"/>
          <w:bCs/>
          <w:szCs w:val="21"/>
        </w:rPr>
        <w:t>，其市值不超过基金资产净值的</w:t>
      </w:r>
      <w:r w:rsidRPr="00703DF3">
        <w:rPr>
          <w:rFonts w:ascii="Arial Unicode MS" w:hAnsi="Arial Unicode MS" w:cs="Arial"/>
          <w:bCs/>
          <w:szCs w:val="21"/>
        </w:rPr>
        <w:t>10</w:t>
      </w:r>
      <w:r w:rsidRPr="00703DF3">
        <w:rPr>
          <w:rFonts w:ascii="Arial Unicode MS" w:hAnsi="Arial Unicode MS" w:cs="Arial"/>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bCs/>
          <w:szCs w:val="21"/>
        </w:rPr>
        <w:t>（</w:t>
      </w:r>
      <w:r w:rsidRPr="00703DF3">
        <w:rPr>
          <w:rFonts w:ascii="Arial Unicode MS" w:hAnsi="Arial Unicode MS" w:cs="Arial" w:hint="eastAsia"/>
          <w:bCs/>
          <w:szCs w:val="21"/>
        </w:rPr>
        <w:t>4</w:t>
      </w:r>
      <w:r w:rsidRPr="00703DF3">
        <w:rPr>
          <w:rFonts w:ascii="Arial Unicode MS" w:hAnsi="Arial Unicode MS" w:cs="Arial"/>
          <w:bCs/>
          <w:szCs w:val="21"/>
        </w:rPr>
        <w:t>）本基金管理人管理的全部基金持有一家公司发行的证券，不超过该证券的</w:t>
      </w:r>
      <w:r w:rsidRPr="00703DF3">
        <w:rPr>
          <w:rFonts w:ascii="Arial Unicode MS" w:hAnsi="Arial Unicode MS" w:cs="Arial"/>
          <w:bCs/>
          <w:szCs w:val="21"/>
        </w:rPr>
        <w:t>10</w:t>
      </w:r>
      <w:r w:rsidRPr="00703DF3">
        <w:rPr>
          <w:rFonts w:ascii="Arial Unicode MS" w:hAnsi="Arial Unicode MS" w:cs="Arial"/>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）本基金进入全国银行间同业市场进行债券回购的资金余额不得超过基金资产净值的</w:t>
      </w:r>
      <w:r w:rsidRPr="00703DF3">
        <w:rPr>
          <w:rFonts w:ascii="Arial Unicode MS" w:hAnsi="Arial Unicode MS" w:cs="Arial" w:hint="eastAsia"/>
          <w:bCs/>
          <w:szCs w:val="21"/>
        </w:rPr>
        <w:t>40%</w:t>
      </w:r>
      <w:r w:rsidRPr="00703DF3">
        <w:rPr>
          <w:rFonts w:ascii="Arial Unicode MS" w:hAnsi="Arial Unicode MS" w:cs="Arial" w:hint="eastAsia"/>
          <w:bCs/>
          <w:szCs w:val="21"/>
        </w:rPr>
        <w:t>，在全国银行间同业市场中的债券回购最长期限为</w:t>
      </w:r>
      <w:r w:rsidRPr="00703DF3">
        <w:rPr>
          <w:rFonts w:ascii="Arial Unicode MS" w:hAnsi="Arial Unicode MS" w:cs="Arial" w:hint="eastAsia"/>
          <w:bCs/>
          <w:szCs w:val="21"/>
        </w:rPr>
        <w:t>1</w:t>
      </w:r>
      <w:r w:rsidRPr="00703DF3">
        <w:rPr>
          <w:rFonts w:ascii="Arial Unicode MS" w:hAnsi="Arial Unicode MS" w:cs="Arial" w:hint="eastAsia"/>
          <w:bCs/>
          <w:szCs w:val="21"/>
        </w:rPr>
        <w:t>年，债券回购到期后</w:t>
      </w:r>
      <w:proofErr w:type="gramStart"/>
      <w:r w:rsidRPr="00703DF3">
        <w:rPr>
          <w:rFonts w:ascii="Arial Unicode MS" w:hAnsi="Arial Unicode MS" w:cs="Arial" w:hint="eastAsia"/>
          <w:bCs/>
          <w:szCs w:val="21"/>
        </w:rPr>
        <w:t>不</w:t>
      </w:r>
      <w:proofErr w:type="gramEnd"/>
      <w:r w:rsidRPr="00703DF3">
        <w:rPr>
          <w:rFonts w:ascii="Arial Unicode MS" w:hAnsi="Arial Unicode MS" w:cs="Arial" w:hint="eastAsia"/>
          <w:bCs/>
          <w:szCs w:val="21"/>
        </w:rPr>
        <w:t>展期；</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6</w:t>
      </w:r>
      <w:r w:rsidRPr="00703DF3">
        <w:rPr>
          <w:rFonts w:ascii="Arial Unicode MS" w:hAnsi="Arial Unicode MS" w:cs="Arial" w:hint="eastAsia"/>
          <w:bCs/>
          <w:szCs w:val="21"/>
        </w:rPr>
        <w:t>）本基金投资于同一原始权益人的各类资产支持证券的比例，不得超过基金资产净值的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7</w:t>
      </w:r>
      <w:r w:rsidRPr="00703DF3">
        <w:rPr>
          <w:rFonts w:ascii="Arial Unicode MS" w:hAnsi="Arial Unicode MS" w:cs="Arial" w:hint="eastAsia"/>
          <w:bCs/>
          <w:szCs w:val="21"/>
        </w:rPr>
        <w:t>）本基金持有的全部资产支持证券，其市值不得超过基金资产净值的</w:t>
      </w:r>
      <w:r w:rsidRPr="00703DF3">
        <w:rPr>
          <w:rFonts w:ascii="Arial Unicode MS" w:hAnsi="Arial Unicode MS" w:cs="Arial" w:hint="eastAsia"/>
          <w:bCs/>
          <w:szCs w:val="21"/>
        </w:rPr>
        <w:t>20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8</w:t>
      </w:r>
      <w:r w:rsidRPr="00703DF3">
        <w:rPr>
          <w:rFonts w:ascii="Arial Unicode MS" w:hAnsi="Arial Unicode MS" w:cs="Arial" w:hint="eastAsia"/>
          <w:bCs/>
          <w:szCs w:val="21"/>
        </w:rPr>
        <w:t>）本基金持有的同一</w:t>
      </w:r>
      <w:r w:rsidRPr="00703DF3">
        <w:rPr>
          <w:rFonts w:ascii="Arial Unicode MS" w:hAnsi="Arial Unicode MS" w:cs="Arial"/>
          <w:bCs/>
          <w:szCs w:val="21"/>
        </w:rPr>
        <w:t>(</w:t>
      </w:r>
      <w:r w:rsidRPr="00703DF3">
        <w:rPr>
          <w:rFonts w:ascii="Arial Unicode MS" w:hAnsi="Arial Unicode MS" w:cs="Arial" w:hint="eastAsia"/>
          <w:bCs/>
          <w:szCs w:val="21"/>
        </w:rPr>
        <w:t>指同一信用级别</w:t>
      </w:r>
      <w:r w:rsidRPr="00703DF3">
        <w:rPr>
          <w:rFonts w:ascii="Arial Unicode MS" w:hAnsi="Arial Unicode MS" w:cs="Arial"/>
          <w:bCs/>
          <w:szCs w:val="21"/>
        </w:rPr>
        <w:t>)</w:t>
      </w:r>
      <w:r w:rsidRPr="00703DF3">
        <w:rPr>
          <w:rFonts w:ascii="Arial Unicode MS" w:hAnsi="Arial Unicode MS" w:cs="Arial" w:hint="eastAsia"/>
          <w:bCs/>
          <w:szCs w:val="21"/>
        </w:rPr>
        <w:t>资产支持证券的比例，不得超过该资产支持证券规模的</w:t>
      </w:r>
      <w:r w:rsidRPr="00703DF3">
        <w:rPr>
          <w:rFonts w:ascii="Arial Unicode MS" w:hAnsi="Arial Unicode MS" w:cs="Arial"/>
          <w:bCs/>
          <w:szCs w:val="21"/>
        </w:rPr>
        <w:t>10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9</w:t>
      </w:r>
      <w:r w:rsidRPr="00703DF3">
        <w:rPr>
          <w:rFonts w:ascii="Arial Unicode MS" w:hAnsi="Arial Unicode MS" w:cs="Arial" w:hint="eastAsia"/>
          <w:bCs/>
          <w:szCs w:val="21"/>
        </w:rPr>
        <w:t>）本基金管理人管理的全部基金投资于同一原始权益人的各类资产支持证券，不得超过其各类资产支持证券合计规模的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10</w:t>
      </w:r>
      <w:r w:rsidRPr="00703DF3">
        <w:rPr>
          <w:rFonts w:ascii="Arial Unicode MS" w:hAnsi="Arial Unicode MS" w:cs="Arial" w:hint="eastAsia"/>
          <w:bCs/>
          <w:szCs w:val="21"/>
        </w:rPr>
        <w:t>）本基金应投资于信用级别评级为</w:t>
      </w:r>
      <w:r w:rsidRPr="00703DF3">
        <w:rPr>
          <w:rFonts w:ascii="Arial Unicode MS" w:hAnsi="Arial Unicode MS" w:cs="Arial" w:hint="eastAsia"/>
          <w:bCs/>
          <w:szCs w:val="21"/>
        </w:rPr>
        <w:t>BBB</w:t>
      </w:r>
      <w:r w:rsidRPr="00703DF3">
        <w:rPr>
          <w:rFonts w:ascii="Arial Unicode MS" w:hAnsi="Arial Unicode MS" w:cs="Arial" w:hint="eastAsia"/>
          <w:bCs/>
          <w:szCs w:val="21"/>
        </w:rPr>
        <w:t>以上</w:t>
      </w:r>
      <w:r w:rsidRPr="00703DF3">
        <w:rPr>
          <w:rFonts w:ascii="Arial Unicode MS" w:hAnsi="Arial Unicode MS" w:cs="Arial" w:hint="eastAsia"/>
          <w:bCs/>
          <w:szCs w:val="21"/>
        </w:rPr>
        <w:t>(</w:t>
      </w:r>
      <w:r w:rsidRPr="00703DF3">
        <w:rPr>
          <w:rFonts w:ascii="Arial Unicode MS" w:hAnsi="Arial Unicode MS" w:cs="Arial" w:hint="eastAsia"/>
          <w:bCs/>
          <w:szCs w:val="21"/>
        </w:rPr>
        <w:t>含</w:t>
      </w:r>
      <w:r w:rsidRPr="00703DF3">
        <w:rPr>
          <w:rFonts w:ascii="Arial Unicode MS" w:hAnsi="Arial Unicode MS" w:cs="Arial" w:hint="eastAsia"/>
          <w:bCs/>
          <w:szCs w:val="21"/>
        </w:rPr>
        <w:t>BBB)</w:t>
      </w:r>
      <w:r w:rsidRPr="00703DF3">
        <w:rPr>
          <w:rFonts w:ascii="Arial Unicode MS" w:hAnsi="Arial Unicode MS" w:cs="Arial" w:hint="eastAsia"/>
          <w:bCs/>
          <w:szCs w:val="21"/>
        </w:rPr>
        <w:t>的资产支持证券。基金持有资产支持证券期间，如果其信用等级下降、不再符合投资标准，应在评级报告发布之日起</w:t>
      </w:r>
      <w:r w:rsidRPr="00703DF3">
        <w:rPr>
          <w:rFonts w:ascii="Arial Unicode MS" w:hAnsi="Arial Unicode MS" w:cs="Arial" w:hint="eastAsia"/>
          <w:bCs/>
          <w:szCs w:val="21"/>
        </w:rPr>
        <w:t>3</w:t>
      </w:r>
      <w:r w:rsidRPr="00703DF3">
        <w:rPr>
          <w:rFonts w:ascii="Arial Unicode MS" w:hAnsi="Arial Unicode MS" w:cs="Arial" w:hint="eastAsia"/>
          <w:bCs/>
          <w:szCs w:val="21"/>
        </w:rPr>
        <w:t>个月内</w:t>
      </w:r>
      <w:r w:rsidRPr="00703DF3">
        <w:rPr>
          <w:rFonts w:ascii="Arial Unicode MS" w:hAnsi="Arial Unicode MS" w:cs="Arial" w:hint="eastAsia"/>
          <w:bCs/>
          <w:szCs w:val="21"/>
        </w:rPr>
        <w:lastRenderedPageBreak/>
        <w:t>予以全部卖出；</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11</w:t>
      </w:r>
      <w:r w:rsidRPr="00703DF3">
        <w:rPr>
          <w:rFonts w:ascii="Arial Unicode MS" w:hAnsi="Arial Unicode MS" w:cs="Arial" w:hint="eastAsia"/>
          <w:bCs/>
          <w:szCs w:val="21"/>
        </w:rPr>
        <w:t>）本基金投资于中小企业私募债券比例合计不高于基金资产净值的</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rsidR="0089278D"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12</w:t>
      </w:r>
      <w:r w:rsidRPr="00703DF3">
        <w:rPr>
          <w:rFonts w:ascii="Arial Unicode MS" w:hAnsi="Arial Unicode MS" w:cs="Arial" w:hint="eastAsia"/>
          <w:bCs/>
          <w:szCs w:val="21"/>
        </w:rPr>
        <w:t>）基金资产总值不得超过基金资产净值的</w:t>
      </w:r>
      <w:r w:rsidRPr="00703DF3">
        <w:rPr>
          <w:rFonts w:ascii="Arial Unicode MS" w:hAnsi="Arial Unicode MS" w:cs="Arial" w:hint="eastAsia"/>
          <w:bCs/>
          <w:szCs w:val="21"/>
        </w:rPr>
        <w:t>140%</w:t>
      </w:r>
      <w:r w:rsidRPr="00703DF3">
        <w:rPr>
          <w:rFonts w:ascii="Arial Unicode MS" w:hAnsi="Arial Unicode MS" w:cs="Arial" w:hint="eastAsia"/>
          <w:bCs/>
          <w:szCs w:val="21"/>
        </w:rPr>
        <w:t>；</w:t>
      </w:r>
    </w:p>
    <w:p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13</w:t>
      </w:r>
      <w:r w:rsidRPr="00703DF3">
        <w:rPr>
          <w:rFonts w:ascii="Arial Unicode MS" w:hAnsi="Arial Unicode MS" w:cs="Arial" w:hint="eastAsia"/>
          <w:bCs/>
          <w:szCs w:val="21"/>
        </w:rPr>
        <w:t>）本基金主动投资于流动性受限资产的市值合计不得超过基金资产净值的</w:t>
      </w:r>
      <w:r w:rsidRPr="00703DF3">
        <w:rPr>
          <w:rFonts w:ascii="Arial Unicode MS" w:hAnsi="Arial Unicode MS" w:cs="Arial" w:hint="eastAsia"/>
          <w:bCs/>
          <w:szCs w:val="21"/>
        </w:rPr>
        <w:t>15%</w:t>
      </w:r>
      <w:r w:rsidRPr="00703DF3">
        <w:rPr>
          <w:rFonts w:ascii="Arial Unicode MS" w:hAnsi="Arial Unicode MS" w:cs="Arial" w:hint="eastAsia"/>
          <w:bCs/>
          <w:szCs w:val="21"/>
        </w:rPr>
        <w:t>；</w:t>
      </w:r>
    </w:p>
    <w:p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因证券市场波动、基金规模变动等基金管理人之外的因素致使基金不符合前款所规定比例限制的，基金管理人不得主动新增流动性受限资产的投资；</w:t>
      </w:r>
    </w:p>
    <w:p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14</w:t>
      </w:r>
      <w:r w:rsidRPr="00703DF3">
        <w:rPr>
          <w:rFonts w:ascii="Arial Unicode MS" w:hAnsi="Arial Unicode MS" w:cs="Arial" w:hint="eastAsia"/>
          <w:bCs/>
          <w:szCs w:val="21"/>
        </w:rPr>
        <w:t>）本基金与私募类</w:t>
      </w:r>
      <w:proofErr w:type="gramStart"/>
      <w:r w:rsidRPr="00703DF3">
        <w:rPr>
          <w:rFonts w:ascii="Arial Unicode MS" w:hAnsi="Arial Unicode MS" w:cs="Arial" w:hint="eastAsia"/>
          <w:bCs/>
          <w:szCs w:val="21"/>
        </w:rPr>
        <w:t>证券资管产品</w:t>
      </w:r>
      <w:proofErr w:type="gramEnd"/>
      <w:r w:rsidRPr="00703DF3">
        <w:rPr>
          <w:rFonts w:ascii="Arial Unicode MS" w:hAnsi="Arial Unicode MS" w:cs="Arial" w:hint="eastAsia"/>
          <w:bCs/>
          <w:szCs w:val="21"/>
        </w:rPr>
        <w:t>及中国证监会认定的其他主体为交易对手开展逆回购交易的，可接受质押品的资质要求应当与基金合同约定的投资范围保持一致；</w:t>
      </w:r>
    </w:p>
    <w:p w:rsidR="00703DF3" w:rsidRPr="00703DF3" w:rsidRDefault="00703DF3"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Pr>
          <w:rFonts w:ascii="Arial Unicode MS" w:hAnsi="Arial Unicode MS" w:cs="Arial" w:hint="eastAsia"/>
          <w:bCs/>
          <w:szCs w:val="21"/>
        </w:rPr>
        <w:t>15</w:t>
      </w:r>
      <w:r w:rsidRPr="00703DF3">
        <w:rPr>
          <w:rFonts w:ascii="Arial Unicode MS" w:hAnsi="Arial Unicode MS" w:cs="Arial" w:hint="eastAsia"/>
          <w:bCs/>
          <w:szCs w:val="21"/>
        </w:rPr>
        <w:t>）法律法规及中国证监会规定的和《基金合同》约定的其他投资限制。</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00703DF3" w:rsidRPr="00703DF3">
        <w:rPr>
          <w:rFonts w:ascii="Arial Unicode MS" w:hAnsi="Arial Unicode MS" w:cs="Arial" w:hint="eastAsia"/>
          <w:bCs/>
          <w:szCs w:val="21"/>
        </w:rPr>
        <w:t>1</w:t>
      </w:r>
      <w:r w:rsidR="00703DF3">
        <w:rPr>
          <w:rFonts w:ascii="Arial Unicode MS" w:hAnsi="Arial Unicode MS" w:cs="Arial" w:hint="eastAsia"/>
          <w:bCs/>
          <w:szCs w:val="21"/>
        </w:rPr>
        <w:t>6</w:t>
      </w:r>
      <w:r w:rsidRPr="00703DF3">
        <w:rPr>
          <w:rFonts w:ascii="Arial Unicode MS" w:hAnsi="Arial Unicode MS" w:cs="Arial"/>
          <w:bCs/>
          <w:szCs w:val="21"/>
        </w:rPr>
        <w:t>）</w:t>
      </w:r>
      <w:r w:rsidRPr="00703DF3">
        <w:rPr>
          <w:rFonts w:ascii="Arial Unicode MS" w:hAnsi="Arial Unicode MS" w:cs="Arial" w:hint="eastAsia"/>
          <w:bCs/>
          <w:szCs w:val="21"/>
        </w:rPr>
        <w:t>法律法规及中国证监会规定的和《基金合同》约定的其他投资限制。</w:t>
      </w:r>
    </w:p>
    <w:p w:rsidR="0089278D" w:rsidRP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）条外，</w:t>
      </w:r>
      <w:r w:rsidR="0089278D" w:rsidRPr="00703DF3">
        <w:rPr>
          <w:rFonts w:ascii="Arial Unicode MS" w:hAnsi="Arial Unicode MS" w:cs="Arial" w:hint="eastAsia"/>
          <w:bCs/>
          <w:szCs w:val="21"/>
        </w:rPr>
        <w:t>，因证券市场波动、证券发行人合并、基金规模变动等基金管理人之外的因素致使基金投资比例不符合上述规定投资比例的，基金管理人应当在</w:t>
      </w:r>
      <w:r w:rsidR="0089278D" w:rsidRPr="00703DF3">
        <w:rPr>
          <w:rFonts w:ascii="Arial Unicode MS" w:hAnsi="Arial Unicode MS" w:cs="Arial" w:hint="eastAsia"/>
          <w:bCs/>
          <w:szCs w:val="21"/>
        </w:rPr>
        <w:t>10</w:t>
      </w:r>
      <w:r w:rsidR="0089278D" w:rsidRPr="00703DF3">
        <w:rPr>
          <w:rFonts w:ascii="Arial Unicode MS" w:hAnsi="Arial Unicode MS" w:cs="Arial" w:hint="eastAsia"/>
          <w:bCs/>
          <w:szCs w:val="21"/>
        </w:rPr>
        <w:t>个交易日内进行调整，但中国证监会规定的特殊情形除外。</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基金管理人应当自基金合同生效之日起</w:t>
      </w:r>
      <w:r w:rsidRPr="00703DF3">
        <w:rPr>
          <w:rFonts w:ascii="Arial Unicode MS" w:hAnsi="Arial Unicode MS" w:cs="Arial" w:hint="eastAsia"/>
          <w:bCs/>
          <w:szCs w:val="21"/>
        </w:rPr>
        <w:t>6</w:t>
      </w:r>
      <w:r w:rsidRPr="00703DF3">
        <w:rPr>
          <w:rFonts w:ascii="Arial Unicode MS" w:hAnsi="Arial Unicode MS" w:cs="Arial" w:hint="eastAsia"/>
          <w:bCs/>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法律法规或监管部门取消或调整上述限制，如适用于本基金，基金管理人在履行适当程序后，则本基金投资不再受相关限制或按调整后的规定执行。</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、禁止行为</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为维护基金份额持有人的合法权益，基金财产不得用于下列投资或者活动：</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1</w:t>
      </w:r>
      <w:r w:rsidRPr="00703DF3">
        <w:rPr>
          <w:rFonts w:ascii="Arial Unicode MS" w:hAnsi="Arial Unicode MS" w:cs="Arial" w:hint="eastAsia"/>
          <w:bCs/>
          <w:szCs w:val="21"/>
        </w:rPr>
        <w:t>）承销证券；</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2</w:t>
      </w:r>
      <w:r w:rsidRPr="00703DF3">
        <w:rPr>
          <w:rFonts w:ascii="Arial Unicode MS" w:hAnsi="Arial Unicode MS" w:cs="Arial" w:hint="eastAsia"/>
          <w:bCs/>
          <w:szCs w:val="21"/>
        </w:rPr>
        <w:t>）违反规定向他人贷款或者提供担保；</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3</w:t>
      </w:r>
      <w:r w:rsidRPr="00703DF3">
        <w:rPr>
          <w:rFonts w:ascii="Arial Unicode MS" w:hAnsi="Arial Unicode MS" w:cs="Arial" w:hint="eastAsia"/>
          <w:bCs/>
          <w:szCs w:val="21"/>
        </w:rPr>
        <w:t>）从事承担无限责任的投资；</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4</w:t>
      </w:r>
      <w:r w:rsidRPr="00703DF3">
        <w:rPr>
          <w:rFonts w:ascii="Arial Unicode MS" w:hAnsi="Arial Unicode MS" w:cs="Arial" w:hint="eastAsia"/>
          <w:bCs/>
          <w:szCs w:val="21"/>
        </w:rPr>
        <w:t>）买卖其他基金份额，但是中国证监会另有规定的除外；</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5</w:t>
      </w:r>
      <w:r w:rsidRPr="00703DF3">
        <w:rPr>
          <w:rFonts w:ascii="Arial Unicode MS" w:hAnsi="Arial Unicode MS" w:cs="Arial" w:hint="eastAsia"/>
          <w:bCs/>
          <w:szCs w:val="21"/>
        </w:rPr>
        <w:t>）向其基金管理人、基金托管人出资；</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w:t>
      </w:r>
      <w:r w:rsidRPr="00703DF3">
        <w:rPr>
          <w:rFonts w:ascii="Arial Unicode MS" w:hAnsi="Arial Unicode MS" w:cs="Arial" w:hint="eastAsia"/>
          <w:bCs/>
          <w:szCs w:val="21"/>
        </w:rPr>
        <w:t>6</w:t>
      </w:r>
      <w:r w:rsidRPr="00703DF3">
        <w:rPr>
          <w:rFonts w:ascii="Arial Unicode MS" w:hAnsi="Arial Unicode MS" w:cs="Arial" w:hint="eastAsia"/>
          <w:bCs/>
          <w:szCs w:val="21"/>
        </w:rPr>
        <w:t>）从事内幕交易、操纵证券交易价格及其他不正当的证券交易活动；</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lastRenderedPageBreak/>
        <w:t>（</w:t>
      </w:r>
      <w:r w:rsidRPr="00703DF3">
        <w:rPr>
          <w:rFonts w:ascii="Arial Unicode MS" w:hAnsi="Arial Unicode MS" w:cs="Arial" w:hint="eastAsia"/>
          <w:bCs/>
          <w:szCs w:val="21"/>
        </w:rPr>
        <w:t>7</w:t>
      </w:r>
      <w:r w:rsidRPr="00703DF3">
        <w:rPr>
          <w:rFonts w:ascii="Arial Unicode MS" w:hAnsi="Arial Unicode MS" w:cs="Arial" w:hint="eastAsia"/>
          <w:bCs/>
          <w:szCs w:val="21"/>
        </w:rPr>
        <w:t>）法律、行政法规和中国证监会规定禁止的其他活动。</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法律、行政法规或监管部门取消或变更上述禁止性规定，如适用于本基金，基金管理人在履行适当程序后，则本基金投资不再受相关限制或按变更后的规定执行。</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（六）</w:t>
      </w:r>
      <w:r w:rsidR="0089278D" w:rsidRPr="00703DF3">
        <w:rPr>
          <w:rFonts w:ascii="Arial Unicode MS" w:hAnsi="Arial Unicode MS" w:cs="Arial"/>
          <w:bCs/>
          <w:szCs w:val="21"/>
        </w:rPr>
        <w:t>业绩比较基准</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本基金的业绩比较基准为：中</w:t>
      </w:r>
      <w:proofErr w:type="gramStart"/>
      <w:r w:rsidRPr="00703DF3">
        <w:rPr>
          <w:rFonts w:ascii="Arial Unicode MS" w:hAnsi="Arial Unicode MS" w:cs="Arial" w:hint="eastAsia"/>
          <w:bCs/>
          <w:szCs w:val="21"/>
        </w:rPr>
        <w:t>债综合</w:t>
      </w:r>
      <w:proofErr w:type="gramEnd"/>
      <w:r w:rsidRPr="00703DF3">
        <w:rPr>
          <w:rFonts w:ascii="Arial Unicode MS" w:hAnsi="Arial Unicode MS" w:cs="Arial" w:hint="eastAsia"/>
          <w:bCs/>
          <w:szCs w:val="21"/>
        </w:rPr>
        <w:t>指数（总财富）收益率×</w:t>
      </w:r>
      <w:r w:rsidRPr="00703DF3">
        <w:rPr>
          <w:rFonts w:ascii="Arial Unicode MS" w:hAnsi="Arial Unicode MS" w:cs="Arial" w:hint="eastAsia"/>
          <w:bCs/>
          <w:szCs w:val="21"/>
        </w:rPr>
        <w:t>90%+1</w:t>
      </w:r>
      <w:r w:rsidRPr="00703DF3">
        <w:rPr>
          <w:rFonts w:ascii="Arial Unicode MS" w:hAnsi="Arial Unicode MS" w:cs="Arial" w:hint="eastAsia"/>
          <w:bCs/>
          <w:szCs w:val="21"/>
        </w:rPr>
        <w:t>年期定期存款利率（税后）×</w:t>
      </w:r>
      <w:r w:rsidRPr="00703DF3">
        <w:rPr>
          <w:rFonts w:ascii="Arial Unicode MS" w:hAnsi="Arial Unicode MS" w:cs="Arial" w:hint="eastAsia"/>
          <w:bCs/>
          <w:szCs w:val="21"/>
        </w:rPr>
        <w:t>10%</w:t>
      </w:r>
      <w:r w:rsidRPr="00703DF3">
        <w:rPr>
          <w:rFonts w:ascii="Arial Unicode MS" w:hAnsi="Arial Unicode MS" w:cs="Arial" w:hint="eastAsia"/>
          <w:bCs/>
          <w:szCs w:val="21"/>
        </w:rPr>
        <w:t>。</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本基金选择上述业绩比较基准的原因为本基金是通过债券资产的配置和个</w:t>
      </w:r>
      <w:proofErr w:type="gramStart"/>
      <w:r w:rsidRPr="00703DF3">
        <w:rPr>
          <w:rFonts w:ascii="Arial Unicode MS" w:hAnsi="Arial Unicode MS" w:cs="Arial" w:hint="eastAsia"/>
          <w:bCs/>
          <w:szCs w:val="21"/>
        </w:rPr>
        <w:t>券</w:t>
      </w:r>
      <w:proofErr w:type="gramEnd"/>
      <w:r w:rsidRPr="00703DF3">
        <w:rPr>
          <w:rFonts w:ascii="Arial Unicode MS" w:hAnsi="Arial Unicode MS" w:cs="Arial" w:hint="eastAsia"/>
          <w:bCs/>
          <w:szCs w:val="21"/>
        </w:rPr>
        <w:t>的选择来增强债券投资的收益。中</w:t>
      </w:r>
      <w:proofErr w:type="gramStart"/>
      <w:r w:rsidRPr="00703DF3">
        <w:rPr>
          <w:rFonts w:ascii="Arial Unicode MS" w:hAnsi="Arial Unicode MS" w:cs="Arial" w:hint="eastAsia"/>
          <w:bCs/>
          <w:szCs w:val="21"/>
        </w:rPr>
        <w:t>债综合</w:t>
      </w:r>
      <w:proofErr w:type="gramEnd"/>
      <w:r w:rsidRPr="00703DF3">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703DF3">
        <w:rPr>
          <w:rFonts w:ascii="Arial Unicode MS" w:hAnsi="Arial Unicode MS" w:cs="Arial" w:hint="eastAsia"/>
          <w:bCs/>
          <w:szCs w:val="21"/>
        </w:rPr>
        <w:t>80%</w:t>
      </w:r>
      <w:r w:rsidRPr="00703DF3">
        <w:rPr>
          <w:rFonts w:ascii="Arial Unicode MS" w:hAnsi="Arial Unicode MS" w:cs="Arial" w:hint="eastAsia"/>
          <w:bCs/>
          <w:szCs w:val="21"/>
        </w:rPr>
        <w:t>，持有现金或者到期日在一年以内的政府债券不低于基金资产净值的</w:t>
      </w:r>
      <w:r w:rsidRPr="00703DF3">
        <w:rPr>
          <w:rFonts w:ascii="Arial Unicode MS" w:hAnsi="Arial Unicode MS" w:cs="Arial" w:hint="eastAsia"/>
          <w:bCs/>
          <w:szCs w:val="21"/>
        </w:rPr>
        <w:t>5%</w:t>
      </w:r>
      <w:r w:rsidRPr="00703DF3">
        <w:rPr>
          <w:rFonts w:ascii="Arial Unicode MS" w:hAnsi="Arial Unicode MS" w:cs="Arial" w:hint="eastAsia"/>
          <w:bCs/>
          <w:szCs w:val="21"/>
        </w:rPr>
        <w:t>，采用</w:t>
      </w:r>
      <w:r w:rsidRPr="00703DF3">
        <w:rPr>
          <w:rFonts w:ascii="Arial Unicode MS" w:hAnsi="Arial Unicode MS" w:cs="Arial" w:hint="eastAsia"/>
          <w:bCs/>
          <w:szCs w:val="21"/>
        </w:rPr>
        <w:t>90%</w:t>
      </w:r>
      <w:r w:rsidRPr="00703DF3">
        <w:rPr>
          <w:rFonts w:ascii="Arial Unicode MS" w:hAnsi="Arial Unicode MS" w:cs="Arial" w:hint="eastAsia"/>
          <w:bCs/>
          <w:szCs w:val="21"/>
        </w:rPr>
        <w:t>作为业绩比较基准中债券投资所代表的权重，</w:t>
      </w:r>
      <w:r w:rsidRPr="00703DF3">
        <w:rPr>
          <w:rFonts w:ascii="Arial Unicode MS" w:hAnsi="Arial Unicode MS" w:cs="Arial" w:hint="eastAsia"/>
          <w:bCs/>
          <w:szCs w:val="21"/>
        </w:rPr>
        <w:t>10%</w:t>
      </w:r>
      <w:r w:rsidRPr="00703DF3">
        <w:rPr>
          <w:rFonts w:ascii="Arial Unicode MS" w:hAnsi="Arial Unicode MS" w:cs="Arial" w:hint="eastAsia"/>
          <w:bCs/>
          <w:szCs w:val="21"/>
        </w:rPr>
        <w:t>乘以</w:t>
      </w:r>
      <w:r w:rsidRPr="00703DF3">
        <w:rPr>
          <w:rFonts w:ascii="Arial Unicode MS" w:hAnsi="Arial Unicode MS" w:cs="Arial" w:hint="eastAsia"/>
          <w:bCs/>
          <w:szCs w:val="21"/>
        </w:rPr>
        <w:t>1</w:t>
      </w:r>
      <w:r w:rsidRPr="00703DF3">
        <w:rPr>
          <w:rFonts w:ascii="Arial Unicode MS" w:hAnsi="Arial Unicode MS" w:cs="Arial" w:hint="eastAsia"/>
          <w:bCs/>
          <w:szCs w:val="21"/>
        </w:rPr>
        <w:t>年定期银行存款利率（税后）作为资产所对应的权重可以较好的反映本基金的风险收益特征。</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03DF3">
        <w:rPr>
          <w:rFonts w:ascii="Arial Unicode MS" w:hAnsi="Arial Unicode MS" w:cs="Arial" w:hint="eastAsia"/>
          <w:bCs/>
          <w:szCs w:val="21"/>
        </w:rPr>
        <w:t>本业绩</w:t>
      </w:r>
      <w:proofErr w:type="gramEnd"/>
      <w:r w:rsidRPr="00703DF3">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（七）</w:t>
      </w:r>
      <w:r w:rsidR="0089278D" w:rsidRPr="00703DF3">
        <w:rPr>
          <w:rFonts w:ascii="Arial Unicode MS" w:hAnsi="Arial Unicode MS" w:cs="Arial"/>
          <w:bCs/>
          <w:szCs w:val="21"/>
        </w:rPr>
        <w:t>风险收益特征</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（八）</w:t>
      </w:r>
      <w:r w:rsidR="0089278D" w:rsidRPr="00703DF3">
        <w:rPr>
          <w:rFonts w:ascii="Arial Unicode MS" w:hAnsi="Arial Unicode MS" w:cs="Arial" w:hint="eastAsia"/>
          <w:bCs/>
          <w:szCs w:val="21"/>
        </w:rPr>
        <w:t>基金管理人代表基金行使相关权利的处理原则及方法</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1</w:t>
      </w:r>
      <w:r w:rsidRPr="00703DF3">
        <w:rPr>
          <w:rFonts w:ascii="Arial Unicode MS" w:hAnsi="Arial Unicode MS" w:cs="Arial" w:hint="eastAsia"/>
          <w:bCs/>
          <w:szCs w:val="21"/>
        </w:rPr>
        <w:t>、基金管理人按照国家有关规定代表基金独立行使相关权利，保护基金份额持有人的利益；</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2</w:t>
      </w:r>
      <w:r w:rsidRPr="00703DF3">
        <w:rPr>
          <w:rFonts w:ascii="Arial Unicode MS" w:hAnsi="Arial Unicode MS" w:cs="Arial" w:hint="eastAsia"/>
          <w:bCs/>
          <w:szCs w:val="21"/>
        </w:rPr>
        <w:t>、有利于基金资产的安全与增值；</w:t>
      </w:r>
    </w:p>
    <w:p w:rsidR="0089278D" w:rsidRPr="00703DF3" w:rsidRDefault="0089278D"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lastRenderedPageBreak/>
        <w:t>3</w:t>
      </w:r>
      <w:r w:rsidRPr="00703DF3">
        <w:rPr>
          <w:rFonts w:ascii="Arial Unicode MS" w:hAnsi="Arial Unicode MS" w:cs="Arial" w:hint="eastAsia"/>
          <w:bCs/>
          <w:szCs w:val="21"/>
        </w:rPr>
        <w:t>、不通过关联交易为自身、雇员、授权代理人或任何存在利害关系的第三人牟取任何不当利益。</w:t>
      </w:r>
    </w:p>
    <w:p w:rsidR="0089278D" w:rsidRPr="00703DF3" w:rsidRDefault="00963E6A" w:rsidP="00703DF3">
      <w:pPr>
        <w:spacing w:line="360" w:lineRule="auto"/>
        <w:ind w:firstLineChars="200" w:firstLine="420"/>
        <w:rPr>
          <w:rFonts w:ascii="Arial Unicode MS" w:hAnsi="Arial Unicode MS" w:cs="Arial"/>
          <w:bCs/>
          <w:szCs w:val="21"/>
        </w:rPr>
      </w:pPr>
      <w:r w:rsidRPr="00703DF3">
        <w:rPr>
          <w:rFonts w:ascii="Arial Unicode MS" w:hAnsi="Arial Unicode MS" w:cs="Arial" w:hint="eastAsia"/>
          <w:bCs/>
          <w:szCs w:val="21"/>
        </w:rPr>
        <w:t>（九）</w:t>
      </w:r>
      <w:r w:rsidR="0089278D" w:rsidRPr="00703DF3">
        <w:rPr>
          <w:rFonts w:ascii="Arial Unicode MS" w:hAnsi="Arial Unicode MS" w:cs="Arial" w:hint="eastAsia"/>
          <w:bCs/>
          <w:szCs w:val="21"/>
        </w:rPr>
        <w:t>基金投资组合报告</w:t>
      </w:r>
    </w:p>
    <w:p w:rsidR="00703DF3" w:rsidRDefault="00703DF3" w:rsidP="00703DF3">
      <w:pPr>
        <w:spacing w:line="360" w:lineRule="auto"/>
        <w:ind w:firstLineChars="177" w:firstLine="372"/>
        <w:rPr>
          <w:rFonts w:ascii="Arial Unicode MS" w:hAnsi="Arial Unicode MS" w:cs="Arial"/>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rsidR="00703DF3" w:rsidRDefault="00703DF3" w:rsidP="00703DF3">
      <w:pPr>
        <w:spacing w:line="360" w:lineRule="auto"/>
        <w:ind w:firstLineChars="177" w:firstLine="372"/>
        <w:rPr>
          <w:rFonts w:ascii="Arial Unicode MS" w:hAnsi="Arial Unicode MS" w:cs="Arial"/>
          <w:bCs/>
          <w:szCs w:val="21"/>
        </w:rPr>
      </w:pPr>
      <w:r>
        <w:rPr>
          <w:rFonts w:ascii="Arial Unicode MS" w:hAnsi="Arial Unicode MS" w:cs="Arial" w:hint="eastAsia"/>
          <w:bCs/>
          <w:szCs w:val="21"/>
        </w:rPr>
        <w:t>基金托管人中国光大银行股份有限公司根据本基金合同规定，于</w:t>
      </w:r>
      <w:r w:rsidR="0014179C" w:rsidRPr="007170B8">
        <w:rPr>
          <w:rFonts w:ascii="Arial Unicode MS" w:hAnsi="Arial Unicode MS" w:cs="Arial" w:hint="eastAsia"/>
          <w:bCs/>
          <w:szCs w:val="21"/>
        </w:rPr>
        <w:t>201</w:t>
      </w:r>
      <w:r w:rsidR="0014179C">
        <w:rPr>
          <w:rFonts w:ascii="Arial Unicode MS" w:hAnsi="Arial Unicode MS" w:cs="Arial" w:hint="eastAsia"/>
          <w:bCs/>
          <w:szCs w:val="21"/>
        </w:rPr>
        <w:t>8</w:t>
      </w:r>
      <w:r w:rsidR="0014179C" w:rsidRPr="007170B8">
        <w:rPr>
          <w:rFonts w:ascii="Arial Unicode MS" w:hAnsi="Arial Unicode MS" w:cs="Arial" w:hint="eastAsia"/>
          <w:bCs/>
          <w:szCs w:val="21"/>
        </w:rPr>
        <w:t>年</w:t>
      </w:r>
      <w:r w:rsidR="0014179C">
        <w:rPr>
          <w:rFonts w:ascii="Arial Unicode MS" w:hAnsi="Arial Unicode MS" w:cs="Arial" w:hint="eastAsia"/>
          <w:bCs/>
          <w:szCs w:val="21"/>
        </w:rPr>
        <w:t>3</w:t>
      </w:r>
      <w:r w:rsidR="0014179C" w:rsidRPr="007170B8">
        <w:rPr>
          <w:rFonts w:ascii="Arial Unicode MS" w:hAnsi="Arial Unicode MS" w:cs="Arial" w:hint="eastAsia"/>
          <w:bCs/>
          <w:szCs w:val="21"/>
        </w:rPr>
        <w:t>月</w:t>
      </w:r>
      <w:r w:rsidR="0014179C">
        <w:rPr>
          <w:rFonts w:ascii="Arial Unicode MS" w:hAnsi="Arial Unicode MS" w:cs="Arial" w:hint="eastAsia"/>
          <w:bCs/>
          <w:szCs w:val="21"/>
        </w:rPr>
        <w:t>29</w:t>
      </w:r>
      <w:r w:rsidR="0014179C" w:rsidRPr="007170B8">
        <w:rPr>
          <w:rFonts w:ascii="Arial Unicode MS" w:hAnsi="Arial Unicode MS" w:cs="Arial" w:hint="eastAsia"/>
          <w:bCs/>
          <w:szCs w:val="21"/>
        </w:rPr>
        <w:t>日</w:t>
      </w:r>
      <w:r>
        <w:rPr>
          <w:rFonts w:ascii="Arial Unicode MS" w:hAnsi="Arial Unicode MS" w:cs="Arial" w:hint="eastAsia"/>
          <w:bCs/>
          <w:szCs w:val="21"/>
        </w:rPr>
        <w:t>复核了本报告中的财务指标、净值表现和投资组合报告等内容，保证复核内容不存在虚假记载、误导性陈述或者重大遗漏。</w:t>
      </w:r>
    </w:p>
    <w:p w:rsidR="00703DF3" w:rsidRDefault="00703DF3" w:rsidP="00703DF3">
      <w:pPr>
        <w:spacing w:line="360" w:lineRule="auto"/>
        <w:ind w:firstLineChars="200" w:firstLine="420"/>
        <w:rPr>
          <w:rFonts w:ascii="宋体" w:hAnsi="宋体"/>
          <w:bCs/>
          <w:sz w:val="24"/>
        </w:rPr>
      </w:pPr>
      <w:r>
        <w:rPr>
          <w:rFonts w:ascii="Arial Unicode MS" w:hAnsi="Arial Unicode MS" w:cs="Arial" w:hint="eastAsia"/>
          <w:bCs/>
          <w:szCs w:val="21"/>
        </w:rPr>
        <w:t>本投资组合报告所载数据截至</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hint="eastAsia"/>
          <w:bCs/>
          <w:szCs w:val="21"/>
        </w:rPr>
        <w:t>12</w:t>
      </w:r>
      <w:r>
        <w:rPr>
          <w:rFonts w:ascii="Arial Unicode MS" w:hAnsi="Arial Unicode MS" w:cs="Arial" w:hint="eastAsia"/>
          <w:bCs/>
          <w:szCs w:val="21"/>
        </w:rPr>
        <w:t>月</w:t>
      </w:r>
      <w:r>
        <w:rPr>
          <w:rFonts w:ascii="Arial Unicode MS" w:hAnsi="Arial Unicode MS" w:cs="Arial" w:hint="eastAsia"/>
          <w:bCs/>
          <w:szCs w:val="21"/>
        </w:rPr>
        <w:t>31</w:t>
      </w:r>
      <w:r>
        <w:rPr>
          <w:rFonts w:ascii="Arial Unicode MS" w:hAnsi="Arial Unicode MS" w:cs="Arial" w:hint="eastAsia"/>
          <w:bCs/>
          <w:szCs w:val="21"/>
        </w:rPr>
        <w:t>日，本报告中所列财务数据未经审计。</w:t>
      </w:r>
    </w:p>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、期末基金资产组合情况</w:t>
      </w:r>
    </w:p>
    <w:p w:rsidR="00703DF3" w:rsidRDefault="00703DF3" w:rsidP="00703DF3">
      <w:pPr>
        <w:pStyle w:val="biaogeright"/>
        <w:spacing w:line="360" w:lineRule="auto"/>
        <w:rPr>
          <w:sz w:val="21"/>
          <w:szCs w:val="21"/>
        </w:rPr>
      </w:pPr>
      <w:r>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708"/>
        <w:gridCol w:w="3506"/>
        <w:gridCol w:w="2438"/>
        <w:gridCol w:w="2096"/>
      </w:tblGrid>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项目</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金额</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占基金总资产的比例(%)</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权益投资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tcPr>
          <w:p w:rsidR="00703DF3" w:rsidRDefault="00703DF3">
            <w:pPr>
              <w:pStyle w:val="biaogecenter"/>
              <w:wordWrap w:val="0"/>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其中：股票</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固定收益投资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268,567,000.00</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97.03</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tcPr>
          <w:p w:rsidR="00703DF3" w:rsidRDefault="00703DF3">
            <w:pPr>
              <w:pStyle w:val="biaogecenter"/>
              <w:wordWrap w:val="0"/>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其中：债券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268,567,000.00</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97.03</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tcPr>
          <w:p w:rsidR="00703DF3" w:rsidRDefault="00703DF3">
            <w:pPr>
              <w:pStyle w:val="biaogecenter"/>
              <w:wordWrap w:val="0"/>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ind w:left="750"/>
              <w:rPr>
                <w:sz w:val="21"/>
                <w:szCs w:val="21"/>
              </w:rPr>
            </w:pPr>
            <w:r>
              <w:rPr>
                <w:rFonts w:hAnsi="Calibri" w:hint="eastAsia"/>
                <w:color w:val="000000"/>
                <w:sz w:val="21"/>
                <w:szCs w:val="21"/>
              </w:rPr>
              <w:t>资产支持证券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贵金属投资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金融衍生</w:t>
            </w:r>
            <w:proofErr w:type="gramStart"/>
            <w:r>
              <w:rPr>
                <w:rFonts w:hAnsi="Calibri" w:hint="eastAsia"/>
                <w:color w:val="000000"/>
                <w:sz w:val="21"/>
                <w:szCs w:val="21"/>
              </w:rPr>
              <w:t>品投资</w:t>
            </w:r>
            <w:proofErr w:type="gramEnd"/>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tcPr>
          <w:p w:rsidR="00703DF3" w:rsidRDefault="00703DF3">
            <w:pPr>
              <w:pStyle w:val="biaogecenter"/>
              <w:wordWrap w:val="0"/>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其中：买断式回购的买入返售金融资产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银行存款和结算备付金合计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548,431.45</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0.20</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其他各项资产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7,676,837.74</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2.77</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276,792,269.19</w:t>
            </w:r>
          </w:p>
        </w:tc>
        <w:tc>
          <w:tcPr>
            <w:tcW w:w="216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100.00</w:t>
            </w:r>
          </w:p>
        </w:tc>
      </w:tr>
    </w:tbl>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2</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报告期末按行业分类的股票投资组合</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）报告期末按行业分类的境内股票投资组合</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本基金报告期末未持有股票。</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）报告期末按行业分类的港股通投资股票投资组合</w:t>
      </w:r>
    </w:p>
    <w:p w:rsidR="00703DF3" w:rsidRDefault="00703DF3" w:rsidP="00703DF3">
      <w:pPr>
        <w:pStyle w:val="neirong"/>
        <w:spacing w:line="360" w:lineRule="auto"/>
        <w:ind w:left="420" w:firstLineChars="200" w:firstLine="420"/>
        <w:rPr>
          <w:sz w:val="21"/>
          <w:szCs w:val="21"/>
        </w:rPr>
      </w:pPr>
      <w:r>
        <w:rPr>
          <w:rFonts w:hint="eastAsia"/>
          <w:sz w:val="21"/>
          <w:szCs w:val="21"/>
        </w:rPr>
        <w:t>本基金报告期末未持有沪港通股票。</w:t>
      </w:r>
    </w:p>
    <w:p w:rsidR="00703DF3" w:rsidRDefault="00703DF3" w:rsidP="00703DF3">
      <w:pPr>
        <w:rPr>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、期末按公允价值占基金资产净值比例大小排序的所有股票投资明细</w:t>
      </w:r>
    </w:p>
    <w:p w:rsidR="00703DF3" w:rsidRDefault="00703DF3" w:rsidP="00703DF3">
      <w:pPr>
        <w:pStyle w:val="biaogeright"/>
        <w:spacing w:line="360" w:lineRule="auto"/>
        <w:rPr>
          <w:vanish/>
          <w:sz w:val="21"/>
          <w:szCs w:val="21"/>
        </w:rPr>
      </w:pPr>
      <w:r>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pStyle w:val="neirong"/>
        <w:spacing w:line="360" w:lineRule="auto"/>
        <w:ind w:leftChars="7" w:firstLineChars="200" w:firstLine="420"/>
        <w:rPr>
          <w:sz w:val="21"/>
          <w:szCs w:val="21"/>
        </w:rPr>
      </w:pPr>
      <w:r>
        <w:rPr>
          <w:rFonts w:hint="eastAsia"/>
          <w:sz w:val="21"/>
          <w:szCs w:val="21"/>
        </w:rPr>
        <w:t>本基金报告期末未持有股票。 </w:t>
      </w:r>
    </w:p>
    <w:p w:rsidR="00703DF3" w:rsidRDefault="00703DF3" w:rsidP="00703DF3">
      <w:pPr>
        <w:pStyle w:val="zhangjiep"/>
        <w:spacing w:line="360" w:lineRule="auto"/>
        <w:rPr>
          <w:vanish/>
          <w:sz w:val="21"/>
          <w:szCs w:val="21"/>
        </w:rPr>
      </w:pPr>
      <w:r>
        <w:rPr>
          <w:rFonts w:hint="eastAsia"/>
          <w:b/>
          <w:bCs/>
          <w:vanish/>
          <w:sz w:val="21"/>
          <w:szCs w:val="21"/>
        </w:rPr>
        <w:t>7.3 期末按公允价值占基金资产净值比例大小排序的股票投资明细</w:t>
      </w:r>
    </w:p>
    <w:p w:rsidR="00703DF3" w:rsidRDefault="00703DF3" w:rsidP="00703DF3">
      <w:pPr>
        <w:pStyle w:val="zhangjiep2"/>
        <w:spacing w:line="360" w:lineRule="auto"/>
        <w:rPr>
          <w:vanish/>
          <w:sz w:val="21"/>
          <w:szCs w:val="21"/>
        </w:rPr>
      </w:pPr>
      <w:r>
        <w:rPr>
          <w:rFonts w:hint="eastAsia"/>
          <w:b/>
          <w:bCs/>
          <w:vanish/>
          <w:sz w:val="21"/>
          <w:szCs w:val="21"/>
        </w:rPr>
        <w:t>7.3.1 期末按公允价值占基金资产净值比例大小排序的所有股票投资明细</w:t>
      </w:r>
    </w:p>
    <w:p w:rsidR="00703DF3" w:rsidRDefault="00703DF3" w:rsidP="00703DF3">
      <w:pPr>
        <w:pStyle w:val="biaogeright"/>
        <w:spacing w:line="360" w:lineRule="auto"/>
        <w:rPr>
          <w:vanish/>
          <w:sz w:val="21"/>
          <w:szCs w:val="21"/>
        </w:rPr>
      </w:pPr>
      <w:r>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pStyle w:val="neirong"/>
        <w:spacing w:line="360" w:lineRule="auto"/>
        <w:rPr>
          <w:vanish/>
          <w:sz w:val="21"/>
          <w:szCs w:val="21"/>
        </w:rPr>
      </w:pPr>
      <w:r>
        <w:rPr>
          <w:rFonts w:hint="eastAsia"/>
          <w:vanish/>
          <w:sz w:val="21"/>
          <w:szCs w:val="21"/>
        </w:rPr>
        <w:t>本基金报告期末未持有股票。 </w:t>
      </w:r>
    </w:p>
    <w:p w:rsidR="00703DF3" w:rsidRDefault="00703DF3" w:rsidP="00703DF3">
      <w:pPr>
        <w:widowControl/>
        <w:spacing w:line="360" w:lineRule="auto"/>
        <w:jc w:val="left"/>
        <w:rPr>
          <w:rFonts w:ascii="宋体" w:hAnsi="宋体" w:cs="宋体"/>
          <w:vanish/>
          <w:kern w:val="0"/>
          <w:szCs w:val="21"/>
        </w:rPr>
      </w:pPr>
    </w:p>
    <w:p w:rsidR="00703DF3" w:rsidRDefault="00703DF3" w:rsidP="00703DF3">
      <w:pPr>
        <w:pStyle w:val="zhangjiep2"/>
        <w:spacing w:line="360" w:lineRule="auto"/>
        <w:rPr>
          <w:vanish/>
          <w:sz w:val="21"/>
          <w:szCs w:val="21"/>
        </w:rPr>
      </w:pPr>
      <w:r>
        <w:rPr>
          <w:rFonts w:hint="eastAsia"/>
          <w:b/>
          <w:bCs/>
          <w:vanish/>
          <w:sz w:val="21"/>
          <w:szCs w:val="21"/>
        </w:rPr>
        <w:t>7.3.2 期末积极投资按公允价值占基金资产净值比例大小排序的所有股票投资明细</w:t>
      </w:r>
    </w:p>
    <w:p w:rsidR="00703DF3" w:rsidRDefault="00703DF3" w:rsidP="00703DF3">
      <w:pPr>
        <w:pStyle w:val="biaogeright"/>
        <w:spacing w:line="360" w:lineRule="auto"/>
        <w:rPr>
          <w:vanish/>
          <w:sz w:val="21"/>
          <w:szCs w:val="21"/>
        </w:rPr>
      </w:pPr>
      <w:r>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pStyle w:val="neirong"/>
        <w:spacing w:line="360" w:lineRule="auto"/>
        <w:rPr>
          <w:vanish/>
          <w:sz w:val="21"/>
          <w:szCs w:val="21"/>
        </w:rPr>
      </w:pPr>
      <w:r>
        <w:rPr>
          <w:rFonts w:hint="eastAsia"/>
          <w:vanish/>
          <w:sz w:val="21"/>
          <w:szCs w:val="21"/>
        </w:rPr>
        <w:t>本基金报告期末未持有股票。 </w:t>
      </w:r>
    </w:p>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、报告期内股票投资组合的重大变动</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累计买入金额超出期</w:t>
      </w:r>
      <w:proofErr w:type="gramStart"/>
      <w:r>
        <w:rPr>
          <w:rFonts w:ascii="Arial Unicode MS" w:hAnsi="Arial Unicode MS" w:cs="Arial" w:hint="eastAsia"/>
          <w:bCs/>
          <w:szCs w:val="21"/>
        </w:rPr>
        <w:t>初基金</w:t>
      </w:r>
      <w:proofErr w:type="gramEnd"/>
      <w:r>
        <w:rPr>
          <w:rFonts w:ascii="Arial Unicode MS" w:hAnsi="Arial Unicode MS" w:cs="Arial" w:hint="eastAsia"/>
          <w:bCs/>
          <w:szCs w:val="21"/>
        </w:rPr>
        <w:t>资产净值</w:t>
      </w:r>
      <w:r>
        <w:rPr>
          <w:rFonts w:ascii="Arial Unicode MS" w:hAnsi="Arial Unicode MS" w:cs="Arial" w:hint="eastAsia"/>
          <w:bCs/>
          <w:szCs w:val="21"/>
        </w:rPr>
        <w:t>2%</w:t>
      </w:r>
      <w:r>
        <w:rPr>
          <w:rFonts w:ascii="Arial Unicode MS" w:hAnsi="Arial Unicode MS" w:cs="Arial" w:hint="eastAsia"/>
          <w:bCs/>
          <w:szCs w:val="21"/>
        </w:rPr>
        <w:t>或前</w:t>
      </w:r>
      <w:r>
        <w:rPr>
          <w:rFonts w:ascii="Arial Unicode MS" w:hAnsi="Arial Unicode MS" w:cs="Arial" w:hint="eastAsia"/>
          <w:bCs/>
          <w:szCs w:val="21"/>
        </w:rPr>
        <w:t>20</w:t>
      </w:r>
      <w:r>
        <w:rPr>
          <w:rFonts w:ascii="Arial Unicode MS" w:hAnsi="Arial Unicode MS" w:cs="Arial" w:hint="eastAsia"/>
          <w:bCs/>
          <w:szCs w:val="21"/>
        </w:rPr>
        <w:t>名的股票明细</w:t>
      </w:r>
    </w:p>
    <w:p w:rsidR="00703DF3" w:rsidRDefault="00703DF3" w:rsidP="00703DF3">
      <w:pPr>
        <w:pStyle w:val="biaogeright"/>
        <w:spacing w:line="360" w:lineRule="auto"/>
        <w:rPr>
          <w:vanish/>
          <w:sz w:val="21"/>
          <w:szCs w:val="21"/>
        </w:rPr>
      </w:pPr>
      <w:r>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pStyle w:val="neirong"/>
        <w:spacing w:line="360" w:lineRule="auto"/>
        <w:ind w:leftChars="7" w:firstLineChars="200" w:firstLine="420"/>
        <w:rPr>
          <w:sz w:val="21"/>
          <w:szCs w:val="21"/>
        </w:rPr>
      </w:pPr>
      <w:r>
        <w:rPr>
          <w:rFonts w:hint="eastAsia"/>
          <w:sz w:val="21"/>
          <w:szCs w:val="21"/>
        </w:rPr>
        <w:t>本基金报告期末未持有股票。 </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累计卖出金额超出期</w:t>
      </w:r>
      <w:proofErr w:type="gramStart"/>
      <w:r>
        <w:rPr>
          <w:rFonts w:ascii="Arial Unicode MS" w:hAnsi="Arial Unicode MS" w:cs="Arial" w:hint="eastAsia"/>
          <w:bCs/>
          <w:szCs w:val="21"/>
        </w:rPr>
        <w:t>初基金</w:t>
      </w:r>
      <w:proofErr w:type="gramEnd"/>
      <w:r>
        <w:rPr>
          <w:rFonts w:ascii="Arial Unicode MS" w:hAnsi="Arial Unicode MS" w:cs="Arial" w:hint="eastAsia"/>
          <w:bCs/>
          <w:szCs w:val="21"/>
        </w:rPr>
        <w:t>资产净值</w:t>
      </w:r>
      <w:r>
        <w:rPr>
          <w:rFonts w:ascii="Arial Unicode MS" w:hAnsi="Arial Unicode MS" w:cs="Arial" w:hint="eastAsia"/>
          <w:bCs/>
          <w:szCs w:val="21"/>
        </w:rPr>
        <w:t>2%</w:t>
      </w:r>
      <w:r>
        <w:rPr>
          <w:rFonts w:ascii="Arial Unicode MS" w:hAnsi="Arial Unicode MS" w:cs="Arial" w:hint="eastAsia"/>
          <w:bCs/>
          <w:szCs w:val="21"/>
        </w:rPr>
        <w:t>或前</w:t>
      </w:r>
      <w:r>
        <w:rPr>
          <w:rFonts w:ascii="Arial Unicode MS" w:hAnsi="Arial Unicode MS" w:cs="Arial" w:hint="eastAsia"/>
          <w:bCs/>
          <w:szCs w:val="21"/>
        </w:rPr>
        <w:t>20</w:t>
      </w:r>
      <w:r>
        <w:rPr>
          <w:rFonts w:ascii="Arial Unicode MS" w:hAnsi="Arial Unicode MS" w:cs="Arial" w:hint="eastAsia"/>
          <w:bCs/>
          <w:szCs w:val="21"/>
        </w:rPr>
        <w:t>名的股票明细</w:t>
      </w:r>
    </w:p>
    <w:p w:rsidR="00703DF3" w:rsidRDefault="00703DF3" w:rsidP="00703DF3">
      <w:pPr>
        <w:pStyle w:val="biaogeright"/>
        <w:spacing w:line="360" w:lineRule="auto"/>
        <w:rPr>
          <w:vanish/>
          <w:sz w:val="21"/>
          <w:szCs w:val="21"/>
        </w:rPr>
      </w:pPr>
      <w:r>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pStyle w:val="neirong"/>
        <w:spacing w:line="360" w:lineRule="auto"/>
        <w:ind w:leftChars="7" w:firstLineChars="200" w:firstLine="420"/>
      </w:pPr>
      <w:r>
        <w:rPr>
          <w:rFonts w:hint="eastAsia"/>
          <w:sz w:val="21"/>
          <w:szCs w:val="21"/>
        </w:rPr>
        <w:t>本基金报告期末未持有股票。 </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）买入股票的成本总额及卖出股票的收入总额</w:t>
      </w:r>
    </w:p>
    <w:p w:rsidR="00703DF3" w:rsidRDefault="00703DF3" w:rsidP="00703DF3">
      <w:pPr>
        <w:pStyle w:val="neirong"/>
        <w:spacing w:line="360" w:lineRule="auto"/>
        <w:ind w:leftChars="7" w:firstLineChars="200" w:firstLine="420"/>
        <w:rPr>
          <w:sz w:val="21"/>
          <w:szCs w:val="21"/>
        </w:rPr>
      </w:pPr>
      <w:r>
        <w:rPr>
          <w:rFonts w:hint="eastAsia"/>
          <w:sz w:val="21"/>
          <w:szCs w:val="21"/>
        </w:rPr>
        <w:t>本基金报告期末未持有股票。 </w:t>
      </w:r>
    </w:p>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、期末按债券品种分类的债券投资组合</w:t>
      </w:r>
    </w:p>
    <w:p w:rsidR="00703DF3" w:rsidRDefault="00703DF3" w:rsidP="00703DF3">
      <w:pPr>
        <w:pStyle w:val="biaogeright"/>
        <w:spacing w:line="360" w:lineRule="auto"/>
        <w:rPr>
          <w:sz w:val="21"/>
          <w:szCs w:val="21"/>
        </w:rPr>
      </w:pPr>
      <w:r>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709"/>
        <w:gridCol w:w="2453"/>
        <w:gridCol w:w="2444"/>
        <w:gridCol w:w="3142"/>
      </w:tblGrid>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序号</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债券品种</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公允价值</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占基金资产净值比例(%)</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1</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国家债券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9,</w:t>
            </w:r>
            <w:r>
              <w:rPr>
                <w:rFonts w:hAnsi="Calibri" w:hint="eastAsia"/>
                <w:color w:val="000000"/>
                <w:sz w:val="21"/>
                <w:szCs w:val="21"/>
              </w:rPr>
              <w:t>984,000.00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4.</w:t>
            </w:r>
            <w:r>
              <w:rPr>
                <w:rFonts w:hAnsi="Calibri" w:hint="eastAsia"/>
                <w:color w:val="000000"/>
                <w:sz w:val="21"/>
                <w:szCs w:val="21"/>
              </w:rPr>
              <w:t>93</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2</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央行票据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3</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金融债券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tcPr>
          <w:p w:rsidR="00703DF3" w:rsidRDefault="00703DF3">
            <w:pPr>
              <w:pStyle w:val="biaogecenter"/>
              <w:wordWrap w:val="0"/>
              <w:spacing w:line="360" w:lineRule="auto"/>
              <w:rPr>
                <w:sz w:val="21"/>
                <w:szCs w:val="21"/>
              </w:rPr>
            </w:pP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其中：政策性金融债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4</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企业债券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229,445,500.00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113.37</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5</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企业短期融资</w:t>
            </w:r>
            <w:proofErr w:type="gramStart"/>
            <w:r>
              <w:rPr>
                <w:rFonts w:hint="eastAsia"/>
                <w:sz w:val="21"/>
                <w:szCs w:val="21"/>
              </w:rPr>
              <w:t>券</w:t>
            </w:r>
            <w:proofErr w:type="gramEnd"/>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6</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中期票据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29,137,500.00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14.40</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lastRenderedPageBreak/>
              <w:t>7</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可转债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8</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同业存单</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9</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其他</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10</w:t>
            </w:r>
          </w:p>
        </w:tc>
        <w:tc>
          <w:tcPr>
            <w:tcW w:w="252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合计</w:t>
            </w:r>
          </w:p>
        </w:tc>
        <w:tc>
          <w:tcPr>
            <w:tcW w:w="252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268,567,000.00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132.70</w:t>
            </w:r>
          </w:p>
        </w:tc>
      </w:tr>
    </w:tbl>
    <w:p w:rsidR="00703DF3" w:rsidRDefault="00703DF3" w:rsidP="00703DF3">
      <w:pPr>
        <w:spacing w:line="360" w:lineRule="auto"/>
        <w:ind w:firstLineChars="200" w:firstLine="420"/>
        <w:rPr>
          <w:rFonts w:ascii="Arial Unicode MS" w:hAnsi="Arial Unicode MS" w:cs="Arial"/>
          <w:bCs/>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、期末按公允价值占基金资产净值比例大小排序的前五名债券投资明细</w:t>
      </w:r>
    </w:p>
    <w:p w:rsidR="00703DF3" w:rsidRDefault="00703DF3" w:rsidP="00703DF3">
      <w:pPr>
        <w:pStyle w:val="biaogeright"/>
        <w:spacing w:line="360" w:lineRule="auto"/>
        <w:rPr>
          <w:sz w:val="21"/>
          <w:szCs w:val="21"/>
        </w:rPr>
      </w:pPr>
      <w:r>
        <w:rPr>
          <w:rFonts w:hAnsi="Calibri" w:hint="eastAsia"/>
          <w:color w:val="000000"/>
          <w:sz w:val="21"/>
          <w:szCs w:val="21"/>
        </w:rPr>
        <w:t>金额单位：人民币元</w:t>
      </w:r>
    </w:p>
    <w:tbl>
      <w:tblPr>
        <w:tblW w:w="9616" w:type="dxa"/>
        <w:tblInd w:w="108" w:type="dxa"/>
        <w:tblLook w:val="04A0" w:firstRow="1" w:lastRow="0" w:firstColumn="1" w:lastColumn="0" w:noHBand="0" w:noVBand="1"/>
      </w:tblPr>
      <w:tblGrid>
        <w:gridCol w:w="808"/>
        <w:gridCol w:w="1595"/>
        <w:gridCol w:w="2065"/>
        <w:gridCol w:w="1537"/>
        <w:gridCol w:w="1971"/>
        <w:gridCol w:w="1640"/>
      </w:tblGrid>
      <w:tr w:rsidR="00703DF3" w:rsidTr="00703DF3">
        <w:tc>
          <w:tcPr>
            <w:tcW w:w="808"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序号</w:t>
            </w:r>
          </w:p>
        </w:tc>
        <w:tc>
          <w:tcPr>
            <w:tcW w:w="159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债券代码</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债券名称</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数量（张）</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公允价值</w:t>
            </w:r>
          </w:p>
        </w:tc>
        <w:tc>
          <w:tcPr>
            <w:tcW w:w="164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占基金资产净值比例(%)</w:t>
            </w:r>
          </w:p>
        </w:tc>
      </w:tr>
      <w:tr w:rsidR="00703DF3" w:rsidTr="00703DF3">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127491</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17灌</w:t>
            </w:r>
            <w:proofErr w:type="gramStart"/>
            <w:r>
              <w:rPr>
                <w:rFonts w:hAnsi="Calibri" w:hint="eastAsia"/>
                <w:color w:val="000000"/>
                <w:sz w:val="21"/>
                <w:szCs w:val="21"/>
              </w:rPr>
              <w:t>东经开债</w:t>
            </w:r>
            <w:proofErr w:type="gramEnd"/>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20,</w:t>
            </w:r>
            <w:r>
              <w:rPr>
                <w:rFonts w:hAnsi="Calibri" w:hint="eastAsia"/>
                <w:color w:val="000000"/>
                <w:sz w:val="21"/>
                <w:szCs w:val="21"/>
              </w:rPr>
              <w:t>028,000.00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rPr>
              <w:t>9.90</w:t>
            </w:r>
          </w:p>
        </w:tc>
      </w:tr>
      <w:tr w:rsidR="00703DF3" w:rsidTr="00703DF3">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143024</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rPr>
              <w:t>17桂农01</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19,800,000.00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rPr>
              <w:t>9.78</w:t>
            </w:r>
          </w:p>
        </w:tc>
      </w:tr>
      <w:tr w:rsidR="00703DF3" w:rsidTr="00703DF3">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1780087</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17</w:t>
            </w:r>
            <w:proofErr w:type="gramStart"/>
            <w:r>
              <w:rPr>
                <w:rFonts w:hAnsi="Calibri" w:hint="eastAsia"/>
                <w:color w:val="000000"/>
                <w:sz w:val="21"/>
                <w:szCs w:val="21"/>
              </w:rPr>
              <w:t>六</w:t>
            </w:r>
            <w:proofErr w:type="gramEnd"/>
            <w:r>
              <w:rPr>
                <w:rFonts w:hAnsi="Calibri" w:hint="eastAsia"/>
                <w:color w:val="000000"/>
                <w:sz w:val="21"/>
                <w:szCs w:val="21"/>
              </w:rPr>
              <w:t>盘水交投债</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19,</w:t>
            </w:r>
            <w:r>
              <w:rPr>
                <w:rFonts w:hAnsi="Calibri" w:hint="eastAsia"/>
                <w:color w:val="000000"/>
                <w:sz w:val="21"/>
                <w:szCs w:val="21"/>
              </w:rPr>
              <w:t>594,000.00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rPr>
              <w:t>9.68</w:t>
            </w:r>
          </w:p>
        </w:tc>
      </w:tr>
      <w:tr w:rsidR="00703DF3" w:rsidTr="00703DF3">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127486</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17威高新</w:t>
            </w:r>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19,</w:t>
            </w:r>
            <w:r>
              <w:rPr>
                <w:rFonts w:hAnsi="Calibri" w:hint="eastAsia"/>
                <w:color w:val="000000"/>
                <w:sz w:val="21"/>
                <w:szCs w:val="21"/>
              </w:rPr>
              <w:t>376,000.00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rPr>
              <w:t>9.57</w:t>
            </w:r>
          </w:p>
        </w:tc>
      </w:tr>
      <w:tr w:rsidR="00703DF3" w:rsidTr="00703DF3">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szCs w:val="21"/>
              </w:rPr>
              <w:t>1580063</w:t>
            </w:r>
          </w:p>
        </w:tc>
        <w:tc>
          <w:tcPr>
            <w:tcW w:w="206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Ansi="Calibri" w:hint="eastAsia"/>
                <w:color w:val="000000"/>
                <w:sz w:val="21"/>
              </w:rPr>
              <w:t>15吐鲁番</w:t>
            </w:r>
            <w:proofErr w:type="gramStart"/>
            <w:r>
              <w:rPr>
                <w:rFonts w:hAnsi="Calibri" w:hint="eastAsia"/>
                <w:color w:val="000000"/>
                <w:sz w:val="21"/>
              </w:rPr>
              <w:t>国投债</w:t>
            </w:r>
            <w:proofErr w:type="gramEnd"/>
          </w:p>
        </w:tc>
        <w:tc>
          <w:tcPr>
            <w:tcW w:w="1537"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150,000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15,</w:t>
            </w:r>
            <w:r>
              <w:rPr>
                <w:rFonts w:hAnsi="Calibri" w:hint="eastAsia"/>
                <w:color w:val="000000"/>
                <w:sz w:val="21"/>
                <w:szCs w:val="21"/>
              </w:rPr>
              <w:t>102,000.00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rPr>
              <w:t>7.46</w:t>
            </w:r>
          </w:p>
        </w:tc>
      </w:tr>
    </w:tbl>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、期末按公允价值占基金资产净值比例大小排序的所有资产支持证券投资明细</w:t>
      </w:r>
    </w:p>
    <w:p w:rsidR="00703DF3" w:rsidRDefault="00703DF3" w:rsidP="00703DF3">
      <w:pPr>
        <w:pStyle w:val="biaogeright"/>
        <w:spacing w:line="360" w:lineRule="auto"/>
        <w:rPr>
          <w:vanish/>
          <w:sz w:val="21"/>
          <w:szCs w:val="21"/>
        </w:rPr>
      </w:pPr>
      <w:r>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pStyle w:val="neirong"/>
        <w:spacing w:line="360" w:lineRule="auto"/>
        <w:ind w:leftChars="7" w:firstLineChars="200" w:firstLine="420"/>
        <w:rPr>
          <w:sz w:val="21"/>
          <w:szCs w:val="21"/>
        </w:rPr>
      </w:pPr>
      <w:r>
        <w:rPr>
          <w:rFonts w:hint="eastAsia"/>
          <w:sz w:val="21"/>
          <w:szCs w:val="21"/>
        </w:rPr>
        <w:t>本基金本报告期末未持有资产支持证券。</w:t>
      </w:r>
    </w:p>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pStyle w:val="neirong"/>
        <w:spacing w:line="360" w:lineRule="auto"/>
        <w:ind w:leftChars="7" w:firstLineChars="200" w:firstLine="420"/>
        <w:rPr>
          <w:sz w:val="21"/>
          <w:szCs w:val="21"/>
        </w:rPr>
      </w:pPr>
      <w:r>
        <w:rPr>
          <w:rFonts w:hint="eastAsia"/>
          <w:sz w:val="21"/>
          <w:szCs w:val="21"/>
        </w:rPr>
        <w:t>本基金报告期末未持有贵金属。 </w:t>
      </w:r>
    </w:p>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、期末按公允价值占基金资产净值比例大小排序的前五名权证投资明细</w:t>
      </w:r>
    </w:p>
    <w:p w:rsidR="00703DF3" w:rsidRDefault="00703DF3" w:rsidP="00703DF3">
      <w:pPr>
        <w:pStyle w:val="biaogeright"/>
        <w:spacing w:line="360" w:lineRule="auto"/>
        <w:rPr>
          <w:vanish/>
          <w:sz w:val="21"/>
          <w:szCs w:val="21"/>
        </w:rPr>
      </w:pPr>
      <w:r>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pStyle w:val="neirong"/>
        <w:spacing w:line="360" w:lineRule="auto"/>
        <w:ind w:leftChars="7" w:firstLineChars="200" w:firstLine="420"/>
        <w:rPr>
          <w:sz w:val="21"/>
          <w:szCs w:val="21"/>
        </w:rPr>
      </w:pPr>
      <w:r>
        <w:rPr>
          <w:rFonts w:hint="eastAsia"/>
          <w:sz w:val="21"/>
          <w:szCs w:val="21"/>
        </w:rPr>
        <w:t>本基金报告期末未持有权证。 </w:t>
      </w:r>
    </w:p>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、报告期末本基金投资的股指期货交易情况说明</w:t>
      </w:r>
    </w:p>
    <w:p w:rsidR="00703DF3" w:rsidRDefault="00703DF3" w:rsidP="00703DF3">
      <w:pPr>
        <w:pStyle w:val="zhangjiep2"/>
        <w:spacing w:line="360" w:lineRule="auto"/>
        <w:rPr>
          <w:vanish/>
          <w:sz w:val="21"/>
          <w:szCs w:val="21"/>
        </w:rPr>
      </w:pPr>
      <w:r>
        <w:rPr>
          <w:rFonts w:hint="eastAsia"/>
          <w:b/>
          <w:bCs/>
          <w:vanish/>
          <w:sz w:val="21"/>
          <w:szCs w:val="21"/>
        </w:rPr>
        <w:t>7.10.1 报告期末本基金投资的股指期货持仓和损益明细</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）报告期末本基金投资的股指期货持仓和损益明细</w:t>
      </w:r>
    </w:p>
    <w:p w:rsidR="00703DF3" w:rsidRDefault="00703DF3" w:rsidP="00703DF3">
      <w:pPr>
        <w:pStyle w:val="neirong"/>
        <w:spacing w:line="360" w:lineRule="auto"/>
        <w:ind w:leftChars="7" w:firstLineChars="200" w:firstLine="420"/>
        <w:rPr>
          <w:sz w:val="21"/>
          <w:szCs w:val="21"/>
        </w:rPr>
      </w:pPr>
      <w:r>
        <w:rPr>
          <w:rFonts w:hint="eastAsia"/>
          <w:sz w:val="21"/>
          <w:szCs w:val="21"/>
        </w:rPr>
        <w:t>本基金报告期未投资股指期货。</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w:t>
      </w:r>
      <w:r>
        <w:rPr>
          <w:rFonts w:ascii="Arial Unicode MS" w:hAnsi="Arial Unicode MS" w:cs="Arial" w:hint="eastAsia"/>
          <w:bCs/>
          <w:szCs w:val="21"/>
        </w:rPr>
        <w:t>2</w:t>
      </w:r>
      <w:r>
        <w:rPr>
          <w:rFonts w:ascii="Arial Unicode MS" w:hAnsi="Arial Unicode MS" w:cs="Arial" w:hint="eastAsia"/>
          <w:bCs/>
          <w:szCs w:val="21"/>
        </w:rPr>
        <w:t>）本基金投资股指期货的投资政策</w:t>
      </w:r>
    </w:p>
    <w:p w:rsidR="00703DF3" w:rsidRDefault="00703DF3" w:rsidP="00703DF3">
      <w:pPr>
        <w:pStyle w:val="neirong"/>
        <w:spacing w:line="360" w:lineRule="auto"/>
        <w:ind w:leftChars="7" w:firstLineChars="200" w:firstLine="420"/>
        <w:rPr>
          <w:sz w:val="21"/>
          <w:szCs w:val="21"/>
        </w:rPr>
      </w:pPr>
      <w:r>
        <w:rPr>
          <w:rFonts w:hint="eastAsia"/>
          <w:sz w:val="21"/>
          <w:szCs w:val="21"/>
        </w:rPr>
        <w:t>本基金报告期未投资股指期货。 </w:t>
      </w:r>
    </w:p>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报告期末本基金投资的国债期货交易情况说明</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）本期国债期货投资政策</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  </w:t>
      </w:r>
      <w:r>
        <w:rPr>
          <w:rFonts w:ascii="Arial Unicode MS" w:hAnsi="Arial Unicode MS" w:cs="Arial" w:hint="eastAsia"/>
          <w:bCs/>
          <w:szCs w:val="21"/>
        </w:rPr>
        <w:t>本基金报告期末未投资国债期货。</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spacing w:line="360" w:lineRule="auto"/>
        <w:ind w:firstLineChars="200" w:firstLine="420"/>
      </w:pPr>
      <w:r>
        <w:rPr>
          <w:rFonts w:ascii="Arial Unicode MS" w:hAnsi="Arial Unicode MS" w:cs="Arial" w:hint="eastAsia"/>
          <w:bCs/>
          <w:szCs w:val="21"/>
        </w:rPr>
        <w:t>本期本报告期末未投资国债期货。</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）本期国债期货投资评价</w:t>
      </w:r>
    </w:p>
    <w:p w:rsidR="00703DF3" w:rsidRDefault="00703DF3" w:rsidP="00703DF3">
      <w:pPr>
        <w:pStyle w:val="zhangjiep2"/>
        <w:spacing w:line="360" w:lineRule="auto"/>
        <w:rPr>
          <w:vanish/>
          <w:sz w:val="21"/>
          <w:szCs w:val="21"/>
        </w:rPr>
      </w:pPr>
      <w:r>
        <w:rPr>
          <w:rFonts w:hint="eastAsia"/>
          <w:b/>
          <w:bCs/>
          <w:vanish/>
          <w:sz w:val="21"/>
          <w:szCs w:val="21"/>
        </w:rPr>
        <w:t>7.11.3 本期国债期货投资评价</w:t>
      </w:r>
    </w:p>
    <w:p w:rsidR="00703DF3" w:rsidRDefault="00703DF3" w:rsidP="00703DF3">
      <w:pPr>
        <w:pStyle w:val="neirong"/>
        <w:spacing w:line="360" w:lineRule="auto"/>
        <w:rPr>
          <w:sz w:val="21"/>
          <w:szCs w:val="21"/>
        </w:rPr>
      </w:pPr>
      <w:r>
        <w:rPr>
          <w:rFonts w:hint="eastAsia"/>
          <w:sz w:val="21"/>
          <w:szCs w:val="21"/>
        </w:rPr>
        <w:t>  本基金本报告期末未投资国债期货。</w:t>
      </w:r>
    </w:p>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投资组合报告附注</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）基金本报告期投资的前十名证券的发行主体</w:t>
      </w:r>
      <w:r>
        <w:rPr>
          <w:rFonts w:ascii="Arial Unicode MS" w:hAnsi="Arial Unicode MS" w:cs="Arial" w:hint="eastAsia"/>
          <w:bCs/>
          <w:szCs w:val="21"/>
        </w:rPr>
        <w:t>,</w:t>
      </w:r>
      <w:r>
        <w:rPr>
          <w:rFonts w:ascii="Arial Unicode MS" w:hAnsi="Arial Unicode MS" w:cs="Arial" w:hint="eastAsia"/>
          <w:bCs/>
          <w:szCs w:val="21"/>
        </w:rPr>
        <w:t>本报告期没有出现被监管部门立案调查的情形</w:t>
      </w:r>
      <w:r>
        <w:rPr>
          <w:rFonts w:ascii="Arial Unicode MS" w:hAnsi="Arial Unicode MS" w:cs="Arial" w:hint="eastAsia"/>
          <w:bCs/>
          <w:szCs w:val="21"/>
        </w:rPr>
        <w:t>,</w:t>
      </w:r>
      <w:r>
        <w:rPr>
          <w:rFonts w:ascii="Arial Unicode MS" w:hAnsi="Arial Unicode MS" w:cs="Arial" w:hint="eastAsia"/>
          <w:bCs/>
          <w:szCs w:val="21"/>
        </w:rPr>
        <w:t>也没有出现在报告编制日前一年内受到公开谴责、处罚的情形。</w:t>
      </w:r>
      <w:r>
        <w:rPr>
          <w:rFonts w:ascii="Arial Unicode MS" w:hAnsi="Arial Unicode MS" w:cs="Arial" w:hint="eastAsia"/>
          <w:bCs/>
          <w:szCs w:val="21"/>
        </w:rPr>
        <w:t> </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）本基金本报告期末未持有股票。</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）期末其他各项资产构成</w:t>
      </w:r>
    </w:p>
    <w:p w:rsidR="00703DF3" w:rsidRDefault="00703DF3" w:rsidP="00703DF3">
      <w:pPr>
        <w:pStyle w:val="biaogeright"/>
        <w:spacing w:line="360" w:lineRule="auto"/>
        <w:rPr>
          <w:sz w:val="21"/>
          <w:szCs w:val="21"/>
        </w:rPr>
      </w:pPr>
      <w:r>
        <w:rPr>
          <w:rFonts w:hAnsi="Calibri" w:hint="eastAsia"/>
          <w:color w:val="000000"/>
          <w:sz w:val="21"/>
          <w:szCs w:val="21"/>
        </w:rPr>
        <w:t>单位：人民币元</w:t>
      </w:r>
    </w:p>
    <w:tbl>
      <w:tblPr>
        <w:tblW w:w="0" w:type="auto"/>
        <w:tblInd w:w="108" w:type="dxa"/>
        <w:tblLook w:val="04A0" w:firstRow="1" w:lastRow="0" w:firstColumn="1" w:lastColumn="0" w:noHBand="0" w:noVBand="1"/>
      </w:tblPr>
      <w:tblGrid>
        <w:gridCol w:w="710"/>
        <w:gridCol w:w="3497"/>
        <w:gridCol w:w="4541"/>
      </w:tblGrid>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名称</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金额</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存出保证金</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应收证券清算款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应收股利</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应收利息</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7,676,837.74</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应收申购款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其他应收款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待摊费用</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其他</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w:t>
            </w:r>
          </w:p>
        </w:tc>
      </w:tr>
      <w:tr w:rsidR="00703DF3" w:rsidTr="00703DF3">
        <w:tc>
          <w:tcPr>
            <w:tcW w:w="720"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lastRenderedPageBreak/>
              <w:t>9</w:t>
            </w:r>
          </w:p>
        </w:tc>
        <w:tc>
          <w:tcPr>
            <w:tcW w:w="3612"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合计</w:t>
            </w:r>
          </w:p>
        </w:tc>
        <w:tc>
          <w:tcPr>
            <w:tcW w:w="4696"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int="eastAsia"/>
                <w:sz w:val="21"/>
                <w:szCs w:val="21"/>
              </w:rPr>
              <w:t>7,676,837.74</w:t>
            </w:r>
          </w:p>
        </w:tc>
      </w:tr>
    </w:tbl>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）期末持有的处于转股期的可转换债券明细</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本基金报告期末未持有处于转股的可换债券。</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proofErr w:type="gramStart"/>
      <w:r>
        <w:rPr>
          <w:rFonts w:ascii="Arial Unicode MS" w:hAnsi="Arial Unicode MS" w:cs="Arial" w:hint="eastAsia"/>
          <w:bCs/>
          <w:szCs w:val="21"/>
        </w:rPr>
        <w:t>期末前</w:t>
      </w:r>
      <w:proofErr w:type="gramEnd"/>
      <w:r>
        <w:rPr>
          <w:rFonts w:ascii="Arial Unicode MS" w:hAnsi="Arial Unicode MS" w:cs="Arial"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本基金本报告期末未持有股票。</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）期末积极投资前五名股票中存在流通受限情况的说明</w:t>
      </w:r>
    </w:p>
    <w:tbl>
      <w:tblPr>
        <w:tblW w:w="0" w:type="auto"/>
        <w:tblInd w:w="108" w:type="dxa"/>
        <w:tblLook w:val="04A0" w:firstRow="1" w:lastRow="0" w:firstColumn="1" w:lastColumn="0" w:noHBand="0" w:noVBand="1"/>
      </w:tblPr>
      <w:tblGrid>
        <w:gridCol w:w="222"/>
      </w:tblGrid>
      <w:tr w:rsidR="00703DF3" w:rsidTr="00703DF3">
        <w:tc>
          <w:tcPr>
            <w:tcW w:w="0" w:type="auto"/>
            <w:vAlign w:val="center"/>
            <w:hideMark/>
          </w:tcPr>
          <w:p w:rsidR="00703DF3" w:rsidRDefault="00703DF3">
            <w:pPr>
              <w:widowControl/>
              <w:jc w:val="left"/>
              <w:rPr>
                <w:rFonts w:ascii="Calibri" w:hAnsi="Calibri" w:cs="宋体"/>
                <w:kern w:val="0"/>
                <w:sz w:val="20"/>
                <w:szCs w:val="20"/>
              </w:rPr>
            </w:pPr>
          </w:p>
        </w:tc>
      </w:tr>
    </w:tbl>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本基金本报告期末未持有股票。</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7</w:t>
      </w:r>
      <w:r>
        <w:rPr>
          <w:rFonts w:ascii="Arial Unicode MS" w:hAnsi="Arial Unicode MS" w:cs="Arial" w:hint="eastAsia"/>
          <w:bCs/>
          <w:szCs w:val="21"/>
        </w:rPr>
        <w:t>）投资组合报告附注的其他文字描述部分</w:t>
      </w:r>
    </w:p>
    <w:p w:rsidR="00703DF3" w:rsidRDefault="00703DF3" w:rsidP="00703DF3">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  </w:t>
      </w:r>
      <w:r>
        <w:rPr>
          <w:rFonts w:ascii="Arial Unicode MS" w:hAnsi="Arial Unicode MS" w:cs="Arial" w:hint="eastAsia"/>
          <w:bCs/>
          <w:szCs w:val="21"/>
        </w:rPr>
        <w:t>由于四舍五入原因，分项之和与合计可能有尾差。</w:t>
      </w:r>
    </w:p>
    <w:p w:rsidR="00703DF3" w:rsidRDefault="00703DF3" w:rsidP="00703DF3">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十、开放式基金份额变动</w:t>
      </w:r>
    </w:p>
    <w:p w:rsidR="00703DF3" w:rsidRDefault="00703DF3" w:rsidP="00703DF3">
      <w:pPr>
        <w:widowControl/>
        <w:autoSpaceDE w:val="0"/>
        <w:autoSpaceDN w:val="0"/>
        <w:adjustRightInd w:val="0"/>
        <w:spacing w:line="360" w:lineRule="auto"/>
        <w:jc w:val="right"/>
        <w:rPr>
          <w:rFonts w:ascii="宋体" w:hAnsi="宋体" w:cs="宋体"/>
          <w:kern w:val="0"/>
          <w:szCs w:val="21"/>
        </w:rPr>
      </w:pPr>
      <w:r>
        <w:rPr>
          <w:rFonts w:ascii="宋体" w:cs="宋体" w:hint="eastAsia"/>
          <w:color w:val="000000"/>
          <w:kern w:val="0"/>
          <w:szCs w:val="21"/>
        </w:rPr>
        <w:t>单位：份</w:t>
      </w:r>
    </w:p>
    <w:tbl>
      <w:tblPr>
        <w:tblW w:w="0" w:type="auto"/>
        <w:tblInd w:w="108" w:type="dxa"/>
        <w:tblLook w:val="04A0" w:firstRow="1" w:lastRow="0" w:firstColumn="1" w:lastColumn="0" w:noHBand="0" w:noVBand="1"/>
      </w:tblPr>
      <w:tblGrid>
        <w:gridCol w:w="5944"/>
        <w:gridCol w:w="2804"/>
      </w:tblGrid>
      <w:tr w:rsidR="00657AA3" w:rsidTr="00657AA3">
        <w:tc>
          <w:tcPr>
            <w:tcW w:w="5944" w:type="dxa"/>
            <w:tcBorders>
              <w:top w:val="single" w:sz="8" w:space="0" w:color="000000"/>
              <w:left w:val="single" w:sz="8" w:space="0" w:color="000000"/>
              <w:bottom w:val="single" w:sz="8" w:space="0" w:color="000000"/>
              <w:right w:val="single" w:sz="8" w:space="0" w:color="000000"/>
            </w:tcBorders>
            <w:vAlign w:val="center"/>
            <w:hideMark/>
          </w:tcPr>
          <w:p w:rsidR="00657AA3" w:rsidRDefault="00657AA3">
            <w:pPr>
              <w:pStyle w:val="biaogeleft"/>
              <w:wordWrap w:val="0"/>
              <w:spacing w:line="360" w:lineRule="auto"/>
              <w:rPr>
                <w:sz w:val="21"/>
                <w:szCs w:val="21"/>
              </w:rPr>
            </w:pPr>
            <w:r>
              <w:rPr>
                <w:rFonts w:hint="eastAsia"/>
                <w:sz w:val="21"/>
                <w:szCs w:val="21"/>
              </w:rPr>
              <w:t>基金合同生效日(2017年03月09日)基金份额总额</w:t>
            </w:r>
          </w:p>
        </w:tc>
        <w:tc>
          <w:tcPr>
            <w:tcW w:w="2804" w:type="dxa"/>
            <w:tcBorders>
              <w:top w:val="single" w:sz="8" w:space="0" w:color="000000"/>
              <w:left w:val="single" w:sz="8" w:space="0" w:color="000000"/>
              <w:bottom w:val="single" w:sz="8" w:space="0" w:color="000000"/>
              <w:right w:val="single" w:sz="8" w:space="0" w:color="000000"/>
            </w:tcBorders>
            <w:vAlign w:val="center"/>
            <w:hideMark/>
          </w:tcPr>
          <w:p w:rsidR="00657AA3" w:rsidRPr="007B14B7" w:rsidRDefault="00657AA3" w:rsidP="006E524A">
            <w:pPr>
              <w:pStyle w:val="biaogeright"/>
              <w:wordWrap w:val="0"/>
              <w:spacing w:line="360" w:lineRule="auto"/>
              <w:rPr>
                <w:sz w:val="21"/>
                <w:szCs w:val="21"/>
              </w:rPr>
            </w:pPr>
            <w:r w:rsidRPr="007F1885">
              <w:rPr>
                <w:rFonts w:hAnsi="Calibri"/>
                <w:color w:val="000000"/>
                <w:sz w:val="21"/>
              </w:rPr>
              <w:t>200,019,971.80</w:t>
            </w:r>
          </w:p>
        </w:tc>
      </w:tr>
      <w:tr w:rsidR="00657AA3" w:rsidTr="00657AA3">
        <w:tc>
          <w:tcPr>
            <w:tcW w:w="5944" w:type="dxa"/>
            <w:tcBorders>
              <w:top w:val="single" w:sz="8" w:space="0" w:color="000000"/>
              <w:left w:val="single" w:sz="8" w:space="0" w:color="000000"/>
              <w:bottom w:val="single" w:sz="8" w:space="0" w:color="000000"/>
              <w:right w:val="single" w:sz="8" w:space="0" w:color="000000"/>
            </w:tcBorders>
            <w:vAlign w:val="center"/>
            <w:hideMark/>
          </w:tcPr>
          <w:p w:rsidR="00657AA3" w:rsidRDefault="00657AA3">
            <w:pPr>
              <w:pStyle w:val="biaogeleft"/>
              <w:wordWrap w:val="0"/>
              <w:spacing w:line="360" w:lineRule="auto"/>
              <w:rPr>
                <w:sz w:val="21"/>
                <w:szCs w:val="21"/>
              </w:rPr>
            </w:pPr>
            <w:r>
              <w:rPr>
                <w:rFonts w:hint="eastAsia"/>
                <w:sz w:val="21"/>
                <w:szCs w:val="21"/>
              </w:rPr>
              <w:t>基金合同生效日起</w:t>
            </w:r>
            <w:proofErr w:type="gramStart"/>
            <w:r>
              <w:rPr>
                <w:rFonts w:hint="eastAsia"/>
                <w:sz w:val="21"/>
                <w:szCs w:val="21"/>
              </w:rPr>
              <w:t>至报告</w:t>
            </w:r>
            <w:proofErr w:type="gramEnd"/>
            <w:r>
              <w:rPr>
                <w:rFonts w:hint="eastAsia"/>
                <w:sz w:val="21"/>
                <w:szCs w:val="21"/>
              </w:rPr>
              <w:t>期期末基金总申购份额</w:t>
            </w:r>
          </w:p>
        </w:tc>
        <w:tc>
          <w:tcPr>
            <w:tcW w:w="2804" w:type="dxa"/>
            <w:tcBorders>
              <w:top w:val="single" w:sz="8" w:space="0" w:color="000000"/>
              <w:left w:val="single" w:sz="8" w:space="0" w:color="000000"/>
              <w:bottom w:val="single" w:sz="8" w:space="0" w:color="000000"/>
              <w:right w:val="single" w:sz="8" w:space="0" w:color="000000"/>
            </w:tcBorders>
            <w:vAlign w:val="center"/>
            <w:hideMark/>
          </w:tcPr>
          <w:p w:rsidR="00657AA3" w:rsidRPr="007B14B7" w:rsidRDefault="00657AA3" w:rsidP="006E524A">
            <w:pPr>
              <w:pStyle w:val="biaogeright"/>
              <w:wordWrap w:val="0"/>
              <w:spacing w:line="360" w:lineRule="auto"/>
              <w:rPr>
                <w:sz w:val="21"/>
                <w:szCs w:val="21"/>
              </w:rPr>
            </w:pPr>
            <w:r w:rsidRPr="007F1885">
              <w:rPr>
                <w:rFonts w:hAnsi="Calibri"/>
                <w:color w:val="000000"/>
                <w:sz w:val="21"/>
                <w:szCs w:val="21"/>
              </w:rPr>
              <w:t>40.59</w:t>
            </w:r>
          </w:p>
        </w:tc>
      </w:tr>
      <w:tr w:rsidR="00657AA3" w:rsidTr="00657AA3">
        <w:tc>
          <w:tcPr>
            <w:tcW w:w="5944" w:type="dxa"/>
            <w:tcBorders>
              <w:top w:val="single" w:sz="8" w:space="0" w:color="000000"/>
              <w:left w:val="single" w:sz="8" w:space="0" w:color="000000"/>
              <w:bottom w:val="single" w:sz="8" w:space="0" w:color="000000"/>
              <w:right w:val="single" w:sz="8" w:space="0" w:color="000000"/>
            </w:tcBorders>
            <w:vAlign w:val="center"/>
            <w:hideMark/>
          </w:tcPr>
          <w:p w:rsidR="00657AA3" w:rsidRDefault="00657AA3">
            <w:pPr>
              <w:pStyle w:val="biaogeleft"/>
              <w:wordWrap w:val="0"/>
              <w:spacing w:line="360" w:lineRule="auto"/>
              <w:rPr>
                <w:sz w:val="21"/>
                <w:szCs w:val="21"/>
              </w:rPr>
            </w:pPr>
            <w:r>
              <w:rPr>
                <w:rFonts w:hint="eastAsia"/>
                <w:sz w:val="21"/>
                <w:szCs w:val="21"/>
              </w:rPr>
              <w:t>减：基金合同生效日起</w:t>
            </w:r>
            <w:proofErr w:type="gramStart"/>
            <w:r>
              <w:rPr>
                <w:rFonts w:hint="eastAsia"/>
                <w:sz w:val="21"/>
                <w:szCs w:val="21"/>
              </w:rPr>
              <w:t>至报告</w:t>
            </w:r>
            <w:proofErr w:type="gramEnd"/>
            <w:r>
              <w:rPr>
                <w:rFonts w:hint="eastAsia"/>
                <w:sz w:val="21"/>
                <w:szCs w:val="21"/>
              </w:rPr>
              <w:t>期期末基金总赎回份额</w:t>
            </w:r>
          </w:p>
        </w:tc>
        <w:tc>
          <w:tcPr>
            <w:tcW w:w="2804" w:type="dxa"/>
            <w:tcBorders>
              <w:top w:val="single" w:sz="8" w:space="0" w:color="000000"/>
              <w:left w:val="single" w:sz="8" w:space="0" w:color="000000"/>
              <w:bottom w:val="single" w:sz="8" w:space="0" w:color="000000"/>
              <w:right w:val="single" w:sz="8" w:space="0" w:color="000000"/>
            </w:tcBorders>
            <w:vAlign w:val="center"/>
            <w:hideMark/>
          </w:tcPr>
          <w:p w:rsidR="00657AA3" w:rsidRPr="007B14B7" w:rsidRDefault="00657AA3" w:rsidP="006E524A">
            <w:pPr>
              <w:pStyle w:val="biaogeright"/>
              <w:wordWrap w:val="0"/>
              <w:spacing w:line="360" w:lineRule="auto"/>
              <w:rPr>
                <w:sz w:val="21"/>
                <w:szCs w:val="21"/>
              </w:rPr>
            </w:pPr>
            <w:r w:rsidRPr="007F1885">
              <w:rPr>
                <w:rFonts w:hAnsi="Calibri"/>
                <w:color w:val="000000"/>
                <w:sz w:val="21"/>
              </w:rPr>
              <w:t>16,354.40</w:t>
            </w:r>
          </w:p>
        </w:tc>
      </w:tr>
      <w:tr w:rsidR="00703DF3" w:rsidTr="00657AA3">
        <w:tc>
          <w:tcPr>
            <w:tcW w:w="5944"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基金合同生效日起</w:t>
            </w:r>
            <w:proofErr w:type="gramStart"/>
            <w:r>
              <w:rPr>
                <w:rFonts w:hint="eastAsia"/>
                <w:sz w:val="21"/>
                <w:szCs w:val="21"/>
              </w:rPr>
              <w:t>至报告</w:t>
            </w:r>
            <w:proofErr w:type="gramEnd"/>
            <w:r>
              <w:rPr>
                <w:rFonts w:hint="eastAsia"/>
                <w:sz w:val="21"/>
                <w:szCs w:val="21"/>
              </w:rPr>
              <w:t>期期末基金拆分变动份额</w:t>
            </w:r>
          </w:p>
        </w:tc>
        <w:tc>
          <w:tcPr>
            <w:tcW w:w="2804"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w:t>
            </w:r>
          </w:p>
        </w:tc>
      </w:tr>
      <w:tr w:rsidR="00703DF3" w:rsidTr="00657AA3">
        <w:tc>
          <w:tcPr>
            <w:tcW w:w="5944"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本报告期期末基金份额总额</w:t>
            </w:r>
          </w:p>
        </w:tc>
        <w:tc>
          <w:tcPr>
            <w:tcW w:w="2804"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rPr>
              <w:t>200,</w:t>
            </w:r>
            <w:r>
              <w:rPr>
                <w:rFonts w:hAnsi="Calibri" w:hint="eastAsia"/>
                <w:color w:val="000000"/>
                <w:sz w:val="21"/>
                <w:szCs w:val="21"/>
              </w:rPr>
              <w:t>003,657.99</w:t>
            </w:r>
          </w:p>
        </w:tc>
      </w:tr>
    </w:tbl>
    <w:p w:rsidR="00703DF3" w:rsidRDefault="00703DF3" w:rsidP="00703DF3">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十一、基金管理人运用</w:t>
      </w:r>
      <w:proofErr w:type="gramStart"/>
      <w:r>
        <w:rPr>
          <w:rFonts w:ascii="Arial Unicode MS" w:hAnsi="Arial Unicode MS" w:cs="Arial" w:hint="eastAsia"/>
          <w:b/>
          <w:bCs/>
          <w:szCs w:val="21"/>
        </w:rPr>
        <w:t>固有资金</w:t>
      </w:r>
      <w:proofErr w:type="gramEnd"/>
      <w:r>
        <w:rPr>
          <w:rFonts w:ascii="Arial Unicode MS" w:hAnsi="Arial Unicode MS" w:cs="Arial" w:hint="eastAsia"/>
          <w:b/>
          <w:bCs/>
          <w:szCs w:val="21"/>
        </w:rPr>
        <w:t>投资本基金交易明细</w:t>
      </w:r>
      <w:r>
        <w:rPr>
          <w:rFonts w:hint="eastAsia"/>
          <w:szCs w:val="21"/>
        </w:rPr>
        <w:t>本报告期内基金管理人未运用</w:t>
      </w:r>
      <w:proofErr w:type="gramStart"/>
      <w:r>
        <w:rPr>
          <w:rFonts w:hint="eastAsia"/>
          <w:szCs w:val="21"/>
        </w:rPr>
        <w:t>固有资金</w:t>
      </w:r>
      <w:proofErr w:type="gramEnd"/>
      <w:r>
        <w:rPr>
          <w:rFonts w:hint="eastAsia"/>
          <w:szCs w:val="21"/>
        </w:rPr>
        <w:t>投资本基金。</w:t>
      </w:r>
    </w:p>
    <w:p w:rsidR="00703DF3" w:rsidRDefault="00703DF3" w:rsidP="00703DF3">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十二、影响投资者决策的其他重要信息</w:t>
      </w:r>
    </w:p>
    <w:p w:rsidR="00703DF3" w:rsidRDefault="00703DF3" w:rsidP="00703DF3">
      <w:pPr>
        <w:spacing w:line="360" w:lineRule="auto"/>
        <w:ind w:firstLine="200"/>
        <w:rPr>
          <w:rFonts w:ascii="宋体" w:hAnsi="宋体" w:cs="宋体"/>
          <w:kern w:val="0"/>
          <w:szCs w:val="21"/>
        </w:rPr>
      </w:pPr>
      <w:r>
        <w:rPr>
          <w:szCs w:val="21"/>
        </w:rPr>
        <w:t>1</w:t>
      </w:r>
      <w:r>
        <w:rPr>
          <w:rFonts w:hint="eastAsia"/>
          <w:szCs w:val="21"/>
        </w:rPr>
        <w:t>、报告期内单一投资者持有基金份额比例达到或超过</w:t>
      </w:r>
      <w:r>
        <w:rPr>
          <w:szCs w:val="21"/>
        </w:rPr>
        <w:t>20%</w:t>
      </w:r>
      <w:r>
        <w:rPr>
          <w:rFonts w:hint="eastAsia"/>
          <w:szCs w:val="21"/>
        </w:rPr>
        <w:t>的情况</w:t>
      </w:r>
    </w:p>
    <w:tbl>
      <w:tblPr>
        <w:tblW w:w="9124" w:type="dxa"/>
        <w:tblInd w:w="-318" w:type="dxa"/>
        <w:tblLook w:val="04A0" w:firstRow="1" w:lastRow="0" w:firstColumn="1" w:lastColumn="0" w:noHBand="0" w:noVBand="1"/>
      </w:tblPr>
      <w:tblGrid>
        <w:gridCol w:w="604"/>
        <w:gridCol w:w="441"/>
        <w:gridCol w:w="1172"/>
        <w:gridCol w:w="1750"/>
        <w:gridCol w:w="1281"/>
        <w:gridCol w:w="1334"/>
        <w:gridCol w:w="1825"/>
        <w:gridCol w:w="717"/>
      </w:tblGrid>
      <w:tr w:rsidR="00703DF3" w:rsidTr="00703DF3">
        <w:trPr>
          <w:trHeight w:val="414"/>
        </w:trPr>
        <w:tc>
          <w:tcPr>
            <w:tcW w:w="334" w:type="pct"/>
            <w:vMerge w:val="restar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b/>
                <w:color w:val="000000"/>
                <w:sz w:val="21"/>
                <w:szCs w:val="21"/>
              </w:rPr>
              <w:t>投资者类别</w:t>
            </w:r>
          </w:p>
        </w:tc>
        <w:tc>
          <w:tcPr>
            <w:tcW w:w="3268" w:type="pct"/>
            <w:gridSpan w:val="5"/>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报告期内持有基金份额变化情况</w:t>
            </w:r>
          </w:p>
        </w:tc>
        <w:tc>
          <w:tcPr>
            <w:tcW w:w="1398" w:type="pct"/>
            <w:gridSpan w:val="2"/>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报告期末持有基金情况</w:t>
            </w:r>
          </w:p>
        </w:tc>
      </w:tr>
      <w:tr w:rsidR="00703DF3" w:rsidTr="00703DF3">
        <w:trPr>
          <w:trHeight w:val="137"/>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宋体" w:hAnsi="宋体" w:cs="宋体"/>
                <w:kern w:val="0"/>
                <w:szCs w:val="21"/>
              </w:rPr>
            </w:pPr>
          </w:p>
        </w:tc>
        <w:tc>
          <w:tcPr>
            <w:tcW w:w="222"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序号</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持有基金份额比例达到或者超过20%的时间区间</w:t>
            </w:r>
          </w:p>
        </w:tc>
        <w:tc>
          <w:tcPr>
            <w:tcW w:w="962"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期初份额</w:t>
            </w:r>
          </w:p>
        </w:tc>
        <w:tc>
          <w:tcPr>
            <w:tcW w:w="705"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申购份额</w:t>
            </w:r>
          </w:p>
        </w:tc>
        <w:tc>
          <w:tcPr>
            <w:tcW w:w="734"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赎回份额</w:t>
            </w:r>
          </w:p>
        </w:tc>
        <w:tc>
          <w:tcPr>
            <w:tcW w:w="1003"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持有份额</w:t>
            </w:r>
          </w:p>
        </w:tc>
        <w:tc>
          <w:tcPr>
            <w:tcW w:w="395"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int="eastAsia"/>
                <w:sz w:val="21"/>
                <w:szCs w:val="21"/>
              </w:rPr>
              <w:t>份额占比(%)</w:t>
            </w:r>
          </w:p>
        </w:tc>
      </w:tr>
      <w:tr w:rsidR="00703DF3" w:rsidTr="00703DF3">
        <w:trPr>
          <w:trHeight w:val="799"/>
        </w:trPr>
        <w:tc>
          <w:tcPr>
            <w:tcW w:w="334"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lastRenderedPageBreak/>
              <w:t>机构</w:t>
            </w:r>
          </w:p>
        </w:tc>
        <w:tc>
          <w:tcPr>
            <w:tcW w:w="222"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1</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20170309 - 20171231</w:t>
            </w:r>
          </w:p>
        </w:tc>
        <w:tc>
          <w:tcPr>
            <w:tcW w:w="962"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199,999,000.00</w:t>
            </w:r>
          </w:p>
        </w:tc>
        <w:tc>
          <w:tcPr>
            <w:tcW w:w="705"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0.00</w:t>
            </w:r>
          </w:p>
        </w:tc>
        <w:tc>
          <w:tcPr>
            <w:tcW w:w="734"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0.00</w:t>
            </w:r>
          </w:p>
        </w:tc>
        <w:tc>
          <w:tcPr>
            <w:tcW w:w="1003"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199,999,000.00</w:t>
            </w:r>
          </w:p>
        </w:tc>
        <w:tc>
          <w:tcPr>
            <w:tcW w:w="395" w:type="pct"/>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99.99</w:t>
            </w:r>
          </w:p>
        </w:tc>
      </w:tr>
      <w:tr w:rsidR="00703DF3" w:rsidTr="00703DF3">
        <w:trPr>
          <w:trHeight w:val="414"/>
        </w:trPr>
        <w:tc>
          <w:tcPr>
            <w:tcW w:w="4999" w:type="pct"/>
            <w:gridSpan w:val="8"/>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产品特有风险</w:t>
            </w:r>
          </w:p>
        </w:tc>
      </w:tr>
      <w:tr w:rsidR="00703DF3" w:rsidTr="00703DF3">
        <w:trPr>
          <w:trHeight w:val="5422"/>
        </w:trPr>
        <w:tc>
          <w:tcPr>
            <w:tcW w:w="4999" w:type="pct"/>
            <w:gridSpan w:val="8"/>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sz w:val="21"/>
                <w:szCs w:val="21"/>
              </w:rPr>
              <w:t>  本报告期本基金存在单一投资者持有基金份额比例达到或者超过20%的情况，未来或存在如下风险，敬请投资者留意：</w:t>
            </w:r>
            <w:r>
              <w:rPr>
                <w:rFonts w:hint="eastAsia"/>
                <w:sz w:val="21"/>
                <w:szCs w:val="21"/>
              </w:rPr>
              <w:br/>
              <w:t>  （1）赎回申请延期办理的风险</w:t>
            </w:r>
            <w:r>
              <w:rPr>
                <w:rFonts w:hint="eastAsia"/>
                <w:sz w:val="21"/>
                <w:szCs w:val="21"/>
              </w:rPr>
              <w:br/>
              <w:t>  持有份额比例较高的投资者（"高比例投资者"）大额赎回时易构成本基金发生巨额赎回，中小投资者可能面临赎回申请需要与高比例投资者按同比例部分延期办理的风险。</w:t>
            </w:r>
            <w:r>
              <w:rPr>
                <w:rFonts w:hint="eastAsia"/>
                <w:sz w:val="21"/>
                <w:szCs w:val="21"/>
              </w:rPr>
              <w:br/>
              <w:t>  （2）基金资产净值大幅波动的风险</w:t>
            </w:r>
            <w:r>
              <w:rPr>
                <w:rFonts w:hint="eastAsia"/>
                <w:sz w:val="21"/>
                <w:szCs w:val="21"/>
              </w:rPr>
              <w:br/>
              <w:t>  高比例投资者大额赎回时，基金管理人进行基金财产变现可能会对基金资产净值造成较大波动。</w:t>
            </w:r>
            <w:r>
              <w:rPr>
                <w:rFonts w:hint="eastAsia"/>
                <w:sz w:val="21"/>
                <w:szCs w:val="21"/>
              </w:rPr>
              <w:br/>
              <w:t>  （3）提前终止基金合同的风险</w:t>
            </w:r>
            <w:r>
              <w:rPr>
                <w:rFonts w:hint="eastAsia"/>
                <w:sz w:val="21"/>
                <w:szCs w:val="21"/>
              </w:rPr>
              <w:br/>
              <w:t>  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r>
              <w:rPr>
                <w:rFonts w:hint="eastAsia"/>
                <w:sz w:val="21"/>
                <w:szCs w:val="21"/>
              </w:rPr>
              <w:br/>
              <w:t>  （4）基金规模较小导致的风险</w:t>
            </w:r>
            <w:r>
              <w:rPr>
                <w:rFonts w:hint="eastAsia"/>
                <w:sz w:val="21"/>
                <w:szCs w:val="21"/>
              </w:rPr>
              <w:br/>
              <w:t>  高比例投资者赎回后，可能导致基金规模较小，基金投资可能面临一定困难。</w:t>
            </w:r>
            <w:r>
              <w:rPr>
                <w:rFonts w:hint="eastAsia"/>
                <w:sz w:val="21"/>
                <w:szCs w:val="21"/>
              </w:rPr>
              <w:br/>
              <w:t>  本基金管理人将继续勤勉尽责，执行相关投资策略，力争实现投资目标。</w:t>
            </w:r>
          </w:p>
        </w:tc>
      </w:tr>
    </w:tbl>
    <w:p w:rsidR="00703DF3" w:rsidRDefault="00703DF3" w:rsidP="00703DF3">
      <w:pPr>
        <w:widowControl/>
        <w:spacing w:line="360" w:lineRule="auto"/>
        <w:jc w:val="left"/>
        <w:rPr>
          <w:rFonts w:ascii="宋体" w:hAnsi="宋体" w:cs="宋体"/>
          <w:kern w:val="0"/>
          <w:szCs w:val="21"/>
        </w:rPr>
      </w:pPr>
    </w:p>
    <w:p w:rsidR="00703DF3" w:rsidRDefault="00703DF3" w:rsidP="00703DF3">
      <w:pPr>
        <w:spacing w:line="360" w:lineRule="auto"/>
        <w:ind w:firstLineChars="200" w:firstLine="420"/>
        <w:rPr>
          <w:rFonts w:ascii="宋体" w:hAnsi="宋体" w:cs="宋体"/>
          <w:kern w:val="0"/>
          <w:szCs w:val="21"/>
        </w:rPr>
      </w:pPr>
      <w:r>
        <w:rPr>
          <w:szCs w:val="21"/>
        </w:rPr>
        <w:t>2</w:t>
      </w:r>
      <w:r>
        <w:rPr>
          <w:rFonts w:hint="eastAsia"/>
          <w:szCs w:val="21"/>
        </w:rPr>
        <w:t>、</w:t>
      </w:r>
      <w:r>
        <w:rPr>
          <w:szCs w:val="21"/>
        </w:rPr>
        <w:t xml:space="preserve"> </w:t>
      </w:r>
      <w:r>
        <w:rPr>
          <w:rFonts w:hint="eastAsia"/>
          <w:szCs w:val="21"/>
        </w:rPr>
        <w:t>影响投资者决策的其他重要信息</w:t>
      </w:r>
    </w:p>
    <w:p w:rsidR="00703DF3" w:rsidRDefault="00703DF3" w:rsidP="00703DF3">
      <w:pPr>
        <w:spacing w:line="360" w:lineRule="auto"/>
        <w:ind w:firstLineChars="200" w:firstLine="420"/>
        <w:rPr>
          <w:szCs w:val="21"/>
        </w:rPr>
      </w:pPr>
      <w:r>
        <w:rPr>
          <w:szCs w:val="21"/>
        </w:rPr>
        <w:t>  </w:t>
      </w:r>
      <w:r>
        <w:rPr>
          <w:rFonts w:hint="eastAsia"/>
          <w:szCs w:val="21"/>
        </w:rPr>
        <w:t>本报告期内未出现影响投资者决策的其他重要信息。</w:t>
      </w:r>
    </w:p>
    <w:p w:rsidR="00703DF3" w:rsidRDefault="00703DF3" w:rsidP="00703DF3">
      <w:pPr>
        <w:spacing w:line="360" w:lineRule="auto"/>
        <w:ind w:firstLineChars="200" w:firstLine="422"/>
        <w:rPr>
          <w:rFonts w:ascii="Arial Unicode MS" w:hAnsi="Arial Unicode MS" w:cs="Arial"/>
          <w:b/>
          <w:bCs/>
          <w:szCs w:val="21"/>
        </w:rPr>
      </w:pPr>
    </w:p>
    <w:p w:rsidR="00703DF3" w:rsidRDefault="00703DF3" w:rsidP="00703DF3">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十三、基金净值表现</w:t>
      </w:r>
    </w:p>
    <w:p w:rsidR="00703DF3" w:rsidRDefault="00703DF3" w:rsidP="00703DF3">
      <w:pPr>
        <w:spacing w:line="360" w:lineRule="auto"/>
        <w:ind w:firstLineChars="200" w:firstLine="420"/>
        <w:rPr>
          <w:rFonts w:ascii="Arial Unicode MS" w:hAnsi="Arial Unicode MS" w:cs="Arial"/>
          <w:szCs w:val="21"/>
        </w:rPr>
      </w:pPr>
      <w:r>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9576" w:type="dxa"/>
        <w:tblInd w:w="-34" w:type="dxa"/>
        <w:tblLook w:val="04A0" w:firstRow="1" w:lastRow="0" w:firstColumn="1" w:lastColumn="0" w:noHBand="0" w:noVBand="1"/>
      </w:tblPr>
      <w:tblGrid>
        <w:gridCol w:w="2649"/>
        <w:gridCol w:w="1115"/>
        <w:gridCol w:w="1115"/>
        <w:gridCol w:w="1053"/>
        <w:gridCol w:w="1434"/>
        <w:gridCol w:w="1095"/>
        <w:gridCol w:w="1115"/>
      </w:tblGrid>
      <w:tr w:rsidR="00703DF3" w:rsidTr="00703DF3">
        <w:tc>
          <w:tcPr>
            <w:tcW w:w="264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阶段</w:t>
            </w:r>
          </w:p>
        </w:tc>
        <w:tc>
          <w:tcPr>
            <w:tcW w:w="111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份额净值增长率①</w:t>
            </w:r>
          </w:p>
        </w:tc>
        <w:tc>
          <w:tcPr>
            <w:tcW w:w="111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份额净值增长率标</w:t>
            </w:r>
            <w:r>
              <w:rPr>
                <w:rFonts w:hAnsi="Calibri" w:hint="eastAsia"/>
                <w:color w:val="000000"/>
                <w:sz w:val="21"/>
                <w:szCs w:val="21"/>
              </w:rPr>
              <w:lastRenderedPageBreak/>
              <w:t>准差②</w:t>
            </w:r>
          </w:p>
        </w:tc>
        <w:tc>
          <w:tcPr>
            <w:tcW w:w="1053"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lastRenderedPageBreak/>
              <w:t>业绩比较基准</w:t>
            </w:r>
            <w:r>
              <w:rPr>
                <w:rFonts w:hAnsi="Calibri" w:hint="eastAsia"/>
                <w:color w:val="000000"/>
                <w:sz w:val="21"/>
                <w:szCs w:val="21"/>
              </w:rPr>
              <w:lastRenderedPageBreak/>
              <w:t>收益率③</w:t>
            </w:r>
          </w:p>
        </w:tc>
        <w:tc>
          <w:tcPr>
            <w:tcW w:w="1434"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lastRenderedPageBreak/>
              <w:t>业绩比较基准收益率标</w:t>
            </w:r>
            <w:r>
              <w:rPr>
                <w:rFonts w:hAnsi="Calibri" w:hint="eastAsia"/>
                <w:color w:val="000000"/>
                <w:sz w:val="21"/>
                <w:szCs w:val="21"/>
              </w:rPr>
              <w:lastRenderedPageBreak/>
              <w:t>准差④</w:t>
            </w:r>
          </w:p>
        </w:tc>
        <w:tc>
          <w:tcPr>
            <w:tcW w:w="109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lastRenderedPageBreak/>
              <w:t>①-③</w:t>
            </w:r>
          </w:p>
        </w:tc>
        <w:tc>
          <w:tcPr>
            <w:tcW w:w="111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center"/>
              <w:wordWrap w:val="0"/>
              <w:spacing w:line="360" w:lineRule="auto"/>
              <w:rPr>
                <w:sz w:val="21"/>
                <w:szCs w:val="21"/>
              </w:rPr>
            </w:pPr>
            <w:r>
              <w:rPr>
                <w:rFonts w:hAnsi="Calibri" w:hint="eastAsia"/>
                <w:color w:val="000000"/>
                <w:sz w:val="21"/>
                <w:szCs w:val="21"/>
              </w:rPr>
              <w:t>②-④</w:t>
            </w:r>
          </w:p>
        </w:tc>
      </w:tr>
      <w:tr w:rsidR="00703DF3" w:rsidTr="00703DF3">
        <w:tc>
          <w:tcPr>
            <w:tcW w:w="264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1053"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1434"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109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r>
      <w:tr w:rsidR="00703DF3" w:rsidTr="00703DF3">
        <w:tc>
          <w:tcPr>
            <w:tcW w:w="264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1053"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1434"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109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widowControl/>
              <w:jc w:val="left"/>
              <w:rPr>
                <w:rFonts w:ascii="Calibri" w:hAnsi="Calibri" w:cs="宋体"/>
                <w:kern w:val="0"/>
                <w:sz w:val="20"/>
                <w:szCs w:val="20"/>
              </w:rPr>
            </w:pPr>
          </w:p>
        </w:tc>
      </w:tr>
      <w:tr w:rsidR="00703DF3" w:rsidTr="00703DF3">
        <w:tc>
          <w:tcPr>
            <w:tcW w:w="2649"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left"/>
              <w:wordWrap w:val="0"/>
              <w:spacing w:line="360" w:lineRule="auto"/>
              <w:rPr>
                <w:sz w:val="21"/>
                <w:szCs w:val="21"/>
              </w:rPr>
            </w:pPr>
            <w:r>
              <w:rPr>
                <w:rFonts w:hint="eastAsia"/>
                <w:color w:val="000000"/>
                <w:sz w:val="21"/>
                <w:szCs w:val="21"/>
              </w:rPr>
              <w:t>2017.3.9~2017.06.30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1.05%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0.04%</w:t>
            </w:r>
          </w:p>
        </w:tc>
        <w:tc>
          <w:tcPr>
            <w:tcW w:w="1053"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0.46%</w:t>
            </w:r>
          </w:p>
        </w:tc>
        <w:tc>
          <w:tcPr>
            <w:tcW w:w="1434"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0.07%</w:t>
            </w:r>
          </w:p>
        </w:tc>
        <w:tc>
          <w:tcPr>
            <w:tcW w:w="1095" w:type="dxa"/>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0.59%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03DF3" w:rsidRDefault="00703DF3">
            <w:pPr>
              <w:pStyle w:val="biaogeright"/>
              <w:wordWrap w:val="0"/>
              <w:spacing w:line="360" w:lineRule="auto"/>
              <w:rPr>
                <w:sz w:val="21"/>
                <w:szCs w:val="21"/>
              </w:rPr>
            </w:pPr>
            <w:r>
              <w:rPr>
                <w:rFonts w:hAnsi="Calibri" w:hint="eastAsia"/>
                <w:color w:val="000000"/>
                <w:sz w:val="21"/>
                <w:szCs w:val="21"/>
              </w:rPr>
              <w:t>-0.03%</w:t>
            </w:r>
          </w:p>
        </w:tc>
      </w:tr>
    </w:tbl>
    <w:p w:rsidR="0089278D" w:rsidRDefault="00703DF3" w:rsidP="00703DF3">
      <w:pPr>
        <w:spacing w:line="360" w:lineRule="auto"/>
        <w:ind w:firstLineChars="177" w:firstLine="372"/>
        <w:rPr>
          <w:rFonts w:ascii="宋体" w:hAnsi="宋体"/>
          <w:color w:val="000000"/>
          <w:kern w:val="0"/>
          <w:sz w:val="24"/>
        </w:rPr>
      </w:pPr>
      <w:r>
        <w:rPr>
          <w:rFonts w:hint="eastAsia"/>
          <w:szCs w:val="21"/>
        </w:rPr>
        <w:t>注：本基金的业绩比较基准为：中</w:t>
      </w:r>
      <w:proofErr w:type="gramStart"/>
      <w:r>
        <w:rPr>
          <w:rFonts w:hint="eastAsia"/>
          <w:szCs w:val="21"/>
        </w:rPr>
        <w:t>债综合</w:t>
      </w:r>
      <w:proofErr w:type="gramEnd"/>
      <w:r>
        <w:rPr>
          <w:rFonts w:hint="eastAsia"/>
          <w:szCs w:val="21"/>
        </w:rPr>
        <w:t>指数（总财富）收益率×</w:t>
      </w:r>
      <w:r>
        <w:rPr>
          <w:szCs w:val="21"/>
        </w:rPr>
        <w:t>90%+1</w:t>
      </w:r>
      <w:r>
        <w:rPr>
          <w:rFonts w:hint="eastAsia"/>
          <w:szCs w:val="21"/>
        </w:rPr>
        <w:t>年期定期存款利率（税后）×</w:t>
      </w:r>
      <w:r>
        <w:rPr>
          <w:szCs w:val="21"/>
        </w:rPr>
        <w:t>10%</w:t>
      </w:r>
    </w:p>
    <w:p w:rsidR="002C7B11" w:rsidRDefault="0089278D">
      <w:pPr>
        <w:pageBreakBefore/>
        <w:spacing w:beforeLines="50" w:before="120" w:afterLines="50" w:after="120" w:line="360" w:lineRule="auto"/>
        <w:ind w:firstLine="420"/>
        <w:jc w:val="center"/>
        <w:outlineLvl w:val="0"/>
        <w:rPr>
          <w:rFonts w:ascii="宋体" w:hAnsi="宋体"/>
          <w:b/>
          <w:color w:val="000000"/>
          <w:kern w:val="0"/>
          <w:sz w:val="24"/>
        </w:rPr>
      </w:pPr>
      <w:bookmarkStart w:id="29" w:name="_Toc256666802"/>
      <w:bookmarkStart w:id="30" w:name="_Toc895"/>
      <w:bookmarkStart w:id="31" w:name="_Toc194043650"/>
      <w:bookmarkStart w:id="32" w:name="_Toc225576446"/>
      <w:bookmarkStart w:id="33" w:name="_Toc256666922"/>
      <w:bookmarkStart w:id="34" w:name="_Toc482624802"/>
      <w:bookmarkStart w:id="35" w:name="_Toc194043155"/>
      <w:bookmarkStart w:id="36" w:name="_Toc230166639"/>
      <w:bookmarkStart w:id="37" w:name="_Toc225445656"/>
      <w:bookmarkEnd w:id="23"/>
      <w:bookmarkEnd w:id="24"/>
      <w:bookmarkEnd w:id="25"/>
      <w:r>
        <w:rPr>
          <w:rFonts w:ascii="宋体" w:hAnsi="宋体" w:hint="eastAsia"/>
          <w:b/>
          <w:sz w:val="24"/>
        </w:rPr>
        <w:lastRenderedPageBreak/>
        <w:t>七、基金的费用与税收</w:t>
      </w:r>
      <w:bookmarkEnd w:id="29"/>
      <w:bookmarkEnd w:id="30"/>
      <w:bookmarkEnd w:id="31"/>
      <w:bookmarkEnd w:id="32"/>
      <w:bookmarkEnd w:id="33"/>
      <w:bookmarkEnd w:id="34"/>
      <w:bookmarkEnd w:id="35"/>
      <w:bookmarkEnd w:id="36"/>
      <w:bookmarkEnd w:id="37"/>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（一）基金费用的种类</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1、基金管理人的管理费；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2、基金托管人的托管费；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3、《基金合同》生效后与基金相关的信息披露费用；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4、《基金合同》生效后与基金相关的会计师费、律师费、诉讼费和仲裁费；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5、基金份额持有人大会费用；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6、基金的证券交易费用；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7、基金的银行汇划费用；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8、基金的开户费用、账户维护费用；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9、按照国家有关规定和《基金合同》约定，可以在基金财产中列支的其他费用。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（二）基金费用计提方法、计提标准和支付方式</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1、基金管理人的管理费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本基金的管理费按前一日基金资产净值的0.30%年费率计提。管理费的计算方法如下：</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H＝E×0.30%÷当年天数</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H为每日应计提的基金管理费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E为前一日的基金资产净值</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基金管理费每日计算，逐日累计至每月月末，按月支付，由基金管理人与基金托管人核对一致后，基金托管人按照与基金管理人协商一致的方式于次月前5个工作日内从基金财产中一次性支付给基金管理人。若遇法定节假日、公休假等，支付日期顺延。</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2、基金托管人的托管费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本基金的托管费按前一日基金资产净值的0.10%的年费率计提。托管费的计算方法如下：</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H＝E×0.10%÷当年天数</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H为每日应计提的基金托管费</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E为前一日的基金资产净值</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基金托管费每日计算，逐日累计至每月月末，按月支付，由基金管理人与基金托管人核对一致后，基金托管人按照与基金管理人协商一致的方式于次月前5个工作日内从基金财产中一次性支取。若遇法定节假日、公休假等，支付日期顺延。</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上述“一、基金费用的种类”中第3－9项费用，根据有关法规及相应协议规定，按费用实际支出金额列入当期费用，由基金托管人从基金财产中支付。</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lastRenderedPageBreak/>
        <w:t>（三）不列入基金费用的项目</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下列费用不列入基金费用：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1、基金管理人和基金托管人因未履行或未完全履行义务导致的费用支出或基金财产的损失；</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2、基金管理人和基金托管人处理与基金运作无关的事项发生的费用；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3、《基金合同》生效前的相关费用；</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4、其他根据相关法律法规及中国证监会的有关规定不得列入基金费用的项目。</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（四）基金税收</w:t>
      </w:r>
    </w:p>
    <w:p w:rsidR="00963E6A" w:rsidRPr="00400A7A" w:rsidRDefault="00963E6A" w:rsidP="00400A7A">
      <w:pPr>
        <w:spacing w:line="372" w:lineRule="auto"/>
        <w:ind w:firstLineChars="200" w:firstLine="420"/>
        <w:rPr>
          <w:rFonts w:ascii="宋体" w:hAnsi="宋体"/>
          <w:color w:val="000000"/>
          <w:kern w:val="0"/>
          <w:szCs w:val="21"/>
        </w:rPr>
      </w:pPr>
      <w:r w:rsidRPr="00400A7A">
        <w:rPr>
          <w:rFonts w:ascii="宋体" w:hAnsi="宋体" w:hint="eastAsia"/>
          <w:color w:val="000000"/>
          <w:kern w:val="0"/>
          <w:szCs w:val="21"/>
        </w:rPr>
        <w:t>本基金运作过程中涉及的各纳税主体，其纳税义务按国家税收法律、法规执行。</w:t>
      </w:r>
    </w:p>
    <w:p w:rsidR="002C7B11" w:rsidRDefault="0089278D">
      <w:pPr>
        <w:pStyle w:val="1"/>
        <w:spacing w:beforeLines="50" w:before="120" w:afterLines="50" w:after="120"/>
        <w:ind w:firstLineChars="100" w:firstLine="241"/>
        <w:jc w:val="center"/>
        <w:rPr>
          <w:rFonts w:ascii="宋体" w:hAnsi="宋体"/>
          <w:color w:val="000000"/>
          <w:sz w:val="24"/>
        </w:rPr>
      </w:pPr>
      <w:r>
        <w:rPr>
          <w:rFonts w:ascii="宋体" w:hAnsi="宋体"/>
          <w:color w:val="000000"/>
          <w:kern w:val="0"/>
          <w:sz w:val="24"/>
          <w:szCs w:val="24"/>
        </w:rPr>
        <w:t>八、对招募说明书更新部分的说明</w:t>
      </w:r>
    </w:p>
    <w:p w:rsidR="002C7B11" w:rsidRPr="00400A7A" w:rsidRDefault="0089278D"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本招募说明书依据《中华人民共和国证券投资基金法》、《</w:t>
      </w:r>
      <w:r w:rsidRPr="00400A7A">
        <w:rPr>
          <w:rFonts w:ascii="宋体" w:hAnsi="宋体"/>
          <w:color w:val="000000"/>
          <w:szCs w:val="21"/>
        </w:rPr>
        <w:t>公开募集证券投资基金运作管理办法</w:t>
      </w:r>
      <w:r w:rsidRPr="00400A7A">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703DF3" w:rsidRPr="00400A7A" w:rsidRDefault="0089278D"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1、</w:t>
      </w:r>
      <w:r w:rsidR="00703DF3" w:rsidRPr="00400A7A">
        <w:rPr>
          <w:rFonts w:ascii="宋体" w:hAnsi="宋体" w:hint="eastAsia"/>
          <w:color w:val="000000"/>
          <w:szCs w:val="21"/>
        </w:rPr>
        <w:t>对“</w:t>
      </w:r>
      <w:r w:rsidR="00B614E8" w:rsidRPr="00400A7A">
        <w:rPr>
          <w:rFonts w:ascii="宋体" w:hAnsi="宋体" w:hint="eastAsia"/>
          <w:color w:val="000000"/>
          <w:szCs w:val="21"/>
        </w:rPr>
        <w:t>重要提示</w:t>
      </w:r>
      <w:r w:rsidR="00703DF3" w:rsidRPr="00400A7A">
        <w:rPr>
          <w:rFonts w:ascii="宋体" w:hAnsi="宋体" w:hint="eastAsia"/>
          <w:color w:val="000000"/>
          <w:szCs w:val="21"/>
        </w:rPr>
        <w:t>”部分内容进行了更新；</w:t>
      </w:r>
    </w:p>
    <w:p w:rsidR="00400A7A"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2、</w:t>
      </w:r>
      <w:r w:rsidR="00B614E8" w:rsidRPr="00400A7A">
        <w:rPr>
          <w:rFonts w:ascii="宋体" w:hAnsi="宋体" w:hint="eastAsia"/>
          <w:color w:val="000000"/>
          <w:szCs w:val="21"/>
        </w:rPr>
        <w:t>对“一、绪言”部分内容进行了更新；</w:t>
      </w:r>
    </w:p>
    <w:p w:rsidR="00400A7A"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3、</w:t>
      </w:r>
      <w:r w:rsidR="00B614E8" w:rsidRPr="00400A7A">
        <w:rPr>
          <w:rFonts w:ascii="宋体" w:hAnsi="宋体" w:hint="eastAsia"/>
          <w:color w:val="000000"/>
          <w:szCs w:val="21"/>
        </w:rPr>
        <w:t>对“二、释义”部分内容进行了更新；</w:t>
      </w:r>
    </w:p>
    <w:p w:rsidR="00400A7A"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4、</w:t>
      </w:r>
      <w:r w:rsidR="0089278D" w:rsidRPr="00400A7A">
        <w:rPr>
          <w:rFonts w:ascii="宋体" w:hAnsi="宋体" w:hint="eastAsia"/>
          <w:color w:val="000000"/>
          <w:szCs w:val="21"/>
        </w:rPr>
        <w:t>对“三、基金管理人”部分内容进行了更新；</w:t>
      </w:r>
    </w:p>
    <w:p w:rsidR="002C7B11"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5</w:t>
      </w:r>
      <w:r w:rsidR="0089278D" w:rsidRPr="00400A7A">
        <w:rPr>
          <w:rFonts w:ascii="宋体" w:hAnsi="宋体" w:hint="eastAsia"/>
          <w:color w:val="000000"/>
          <w:szCs w:val="21"/>
        </w:rPr>
        <w:t>、对“四、基金托管人”部分内容进行了更新；</w:t>
      </w:r>
    </w:p>
    <w:p w:rsidR="00B614E8"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6、</w:t>
      </w:r>
      <w:r w:rsidR="00B614E8" w:rsidRPr="00400A7A">
        <w:rPr>
          <w:rFonts w:ascii="宋体" w:hAnsi="宋体" w:hint="eastAsia"/>
          <w:color w:val="000000"/>
          <w:szCs w:val="21"/>
        </w:rPr>
        <w:t>对“八、基金份额的申购与赎回”部分内容进行了更新；</w:t>
      </w:r>
    </w:p>
    <w:p w:rsidR="002C7B11"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7</w:t>
      </w:r>
      <w:r w:rsidR="0089278D" w:rsidRPr="00400A7A">
        <w:rPr>
          <w:rFonts w:ascii="宋体" w:hAnsi="宋体" w:hint="eastAsia"/>
          <w:color w:val="000000"/>
          <w:szCs w:val="21"/>
        </w:rPr>
        <w:t>、对“九、基金的投资”部分内容进行了更新；</w:t>
      </w:r>
    </w:p>
    <w:p w:rsidR="00400A7A"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8、</w:t>
      </w:r>
      <w:r w:rsidR="00B614E8" w:rsidRPr="00400A7A">
        <w:rPr>
          <w:rFonts w:ascii="宋体" w:hAnsi="宋体" w:hint="eastAsia"/>
          <w:color w:val="000000"/>
          <w:szCs w:val="21"/>
        </w:rPr>
        <w:t>对“十一、基金资产的估值”部分内容进行了更新；</w:t>
      </w:r>
    </w:p>
    <w:p w:rsidR="00400A7A"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9、</w:t>
      </w:r>
      <w:r w:rsidR="00B614E8" w:rsidRPr="00400A7A">
        <w:rPr>
          <w:rFonts w:ascii="宋体" w:hAnsi="宋体" w:hint="eastAsia"/>
          <w:color w:val="000000"/>
          <w:szCs w:val="21"/>
        </w:rPr>
        <w:t>对“十五、基金的信息披露”部分内容进行了更新；</w:t>
      </w:r>
    </w:p>
    <w:p w:rsidR="00400A7A"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10、</w:t>
      </w:r>
      <w:r w:rsidR="00B614E8" w:rsidRPr="00400A7A">
        <w:rPr>
          <w:rFonts w:ascii="宋体" w:hAnsi="宋体" w:hint="eastAsia"/>
          <w:color w:val="000000"/>
          <w:szCs w:val="21"/>
        </w:rPr>
        <w:t>对“十六、风险揭示”部分内容进行了更新；</w:t>
      </w:r>
    </w:p>
    <w:p w:rsidR="00400A7A"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11、</w:t>
      </w:r>
      <w:r w:rsidR="00B614E8" w:rsidRPr="00400A7A">
        <w:rPr>
          <w:rFonts w:ascii="宋体" w:hAnsi="宋体" w:hint="eastAsia"/>
          <w:color w:val="000000"/>
          <w:szCs w:val="21"/>
        </w:rPr>
        <w:t>对“十九、基金托管协议的内容摘要”部分内容进行了更新；</w:t>
      </w:r>
    </w:p>
    <w:p w:rsidR="002C7B11" w:rsidRPr="00400A7A" w:rsidRDefault="00400A7A" w:rsidP="00400A7A">
      <w:pPr>
        <w:spacing w:line="360" w:lineRule="auto"/>
        <w:ind w:firstLineChars="200" w:firstLine="420"/>
        <w:rPr>
          <w:rFonts w:ascii="宋体" w:hAnsi="宋体"/>
          <w:color w:val="000000"/>
          <w:szCs w:val="21"/>
        </w:rPr>
      </w:pPr>
      <w:r w:rsidRPr="00400A7A">
        <w:rPr>
          <w:rFonts w:ascii="宋体" w:hAnsi="宋体" w:hint="eastAsia"/>
          <w:color w:val="000000"/>
          <w:szCs w:val="21"/>
        </w:rPr>
        <w:t>12</w:t>
      </w:r>
      <w:r w:rsidR="0089278D" w:rsidRPr="00400A7A">
        <w:rPr>
          <w:rFonts w:ascii="宋体" w:hAnsi="宋体" w:hint="eastAsia"/>
          <w:color w:val="000000"/>
          <w:szCs w:val="21"/>
        </w:rPr>
        <w:t>、对“二十一、其它应披露事项”部分内容进行了更新。</w:t>
      </w:r>
    </w:p>
    <w:p w:rsidR="002C7B11" w:rsidRPr="00400A7A" w:rsidRDefault="002C7B11">
      <w:pPr>
        <w:spacing w:line="360" w:lineRule="auto"/>
        <w:rPr>
          <w:rFonts w:ascii="宋体" w:hAnsi="宋体"/>
          <w:color w:val="000000"/>
          <w:szCs w:val="21"/>
        </w:rPr>
      </w:pPr>
    </w:p>
    <w:p w:rsidR="002C7B11" w:rsidRPr="00400A7A" w:rsidRDefault="0089278D" w:rsidP="00400A7A">
      <w:pPr>
        <w:spacing w:line="360" w:lineRule="auto"/>
        <w:ind w:firstLineChars="200" w:firstLine="420"/>
        <w:jc w:val="right"/>
        <w:rPr>
          <w:rFonts w:ascii="宋体" w:hAnsi="宋体"/>
          <w:color w:val="000000"/>
          <w:kern w:val="0"/>
          <w:szCs w:val="21"/>
        </w:rPr>
      </w:pPr>
      <w:r w:rsidRPr="00400A7A">
        <w:rPr>
          <w:rFonts w:ascii="宋体" w:hAnsi="宋体" w:hint="eastAsia"/>
          <w:color w:val="000000"/>
          <w:kern w:val="0"/>
          <w:szCs w:val="21"/>
        </w:rPr>
        <w:t>富荣基金管理有限公司</w:t>
      </w:r>
    </w:p>
    <w:p w:rsidR="002C7B11" w:rsidRPr="00400A7A" w:rsidRDefault="00703DF3">
      <w:pPr>
        <w:wordWrap w:val="0"/>
        <w:spacing w:line="360" w:lineRule="auto"/>
        <w:jc w:val="right"/>
        <w:rPr>
          <w:rFonts w:ascii="宋体" w:hAnsi="宋体"/>
          <w:color w:val="000000"/>
          <w:szCs w:val="21"/>
        </w:rPr>
      </w:pPr>
      <w:r w:rsidRPr="00400A7A">
        <w:rPr>
          <w:rFonts w:ascii="宋体" w:hAnsi="宋体" w:hint="eastAsia"/>
          <w:color w:val="000000"/>
          <w:kern w:val="0"/>
          <w:szCs w:val="21"/>
        </w:rPr>
        <w:t>二〇一八年</w:t>
      </w:r>
      <w:r w:rsidR="0014179C">
        <w:rPr>
          <w:rFonts w:ascii="宋体" w:hAnsi="宋体" w:hint="eastAsia"/>
          <w:color w:val="000000"/>
          <w:kern w:val="0"/>
          <w:szCs w:val="21"/>
        </w:rPr>
        <w:t>四</w:t>
      </w:r>
      <w:r w:rsidRPr="00400A7A">
        <w:rPr>
          <w:rFonts w:ascii="宋体" w:hAnsi="宋体" w:hint="eastAsia"/>
          <w:color w:val="000000"/>
          <w:kern w:val="0"/>
          <w:szCs w:val="21"/>
        </w:rPr>
        <w:t>月</w:t>
      </w:r>
      <w:r w:rsidR="0089278D" w:rsidRPr="00400A7A">
        <w:rPr>
          <w:rFonts w:ascii="宋体" w:hAnsi="宋体" w:hint="eastAsia"/>
          <w:color w:val="000000"/>
          <w:kern w:val="0"/>
          <w:szCs w:val="21"/>
        </w:rPr>
        <w:t xml:space="preserve">  </w:t>
      </w:r>
    </w:p>
    <w:p w:rsidR="002C7B11" w:rsidRPr="007E1B14" w:rsidRDefault="002C7B11">
      <w:pPr>
        <w:spacing w:line="360" w:lineRule="auto"/>
        <w:jc w:val="right"/>
        <w:rPr>
          <w:rFonts w:ascii="宋体" w:hAnsi="宋体"/>
          <w:color w:val="000000"/>
          <w:sz w:val="24"/>
        </w:rPr>
      </w:pPr>
    </w:p>
    <w:sectPr w:rsidR="002C7B11" w:rsidRPr="007E1B14" w:rsidSect="001656C8">
      <w:headerReference w:type="default" r:id="rId10"/>
      <w:footerReference w:type="default" r:id="rId11"/>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6246" w:rsidRDefault="001F6246">
      <w:r>
        <w:separator/>
      </w:r>
    </w:p>
  </w:endnote>
  <w:endnote w:type="continuationSeparator" w:id="0">
    <w:p w:rsidR="001F6246" w:rsidRDefault="001F6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4E8" w:rsidRDefault="00B614E8">
    <w:pPr>
      <w:pStyle w:val="ab"/>
      <w:jc w:val="center"/>
    </w:pPr>
    <w:r>
      <w:fldChar w:fldCharType="begin"/>
    </w:r>
    <w:r>
      <w:instrText>PAGE   \* MERGEFORMAT</w:instrText>
    </w:r>
    <w:r>
      <w:fldChar w:fldCharType="separate"/>
    </w:r>
    <w:r w:rsidR="00716750" w:rsidRPr="00716750">
      <w:rPr>
        <w:noProof/>
        <w:lang w:val="zh-CN"/>
      </w:rPr>
      <w:t>23</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6246" w:rsidRDefault="001F6246">
      <w:r>
        <w:separator/>
      </w:r>
    </w:p>
  </w:footnote>
  <w:footnote w:type="continuationSeparator" w:id="0">
    <w:p w:rsidR="001F6246" w:rsidRDefault="001F62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4E8" w:rsidRDefault="00B614E8">
    <w:pPr>
      <w:pStyle w:val="ac"/>
      <w:jc w:val="left"/>
    </w:pPr>
    <w:r w:rsidRPr="0089278D">
      <w:rPr>
        <w:rFonts w:hint="eastAsia"/>
      </w:rPr>
      <w:t>富荣富祥纯债债券型证券投资基金</w:t>
    </w:r>
    <w:r>
      <w:rPr>
        <w:rFonts w:hint="eastAsia"/>
      </w:rPr>
      <w:t>更新的招募说明书摘要（</w:t>
    </w:r>
    <w:r>
      <w:rPr>
        <w:rFonts w:hint="eastAsia"/>
      </w:rPr>
      <w:t>201</w:t>
    </w:r>
    <w:r w:rsidR="00716750">
      <w:rPr>
        <w:rFonts w:hint="eastAsia"/>
      </w:rPr>
      <w:t>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54F"/>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0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79C"/>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6C8"/>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BFF"/>
    <w:rsid w:val="001F0DE1"/>
    <w:rsid w:val="001F1336"/>
    <w:rsid w:val="001F1DFA"/>
    <w:rsid w:val="001F255D"/>
    <w:rsid w:val="001F2665"/>
    <w:rsid w:val="001F2AD7"/>
    <w:rsid w:val="001F2B69"/>
    <w:rsid w:val="001F2F00"/>
    <w:rsid w:val="001F33F9"/>
    <w:rsid w:val="001F436E"/>
    <w:rsid w:val="001F502B"/>
    <w:rsid w:val="001F6246"/>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11"/>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0A7A"/>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AA3"/>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5CC"/>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DF3"/>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750"/>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1B14"/>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78D"/>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3E6A"/>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8F3"/>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4E8"/>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D92"/>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6A1"/>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62D1"/>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89278D"/>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
    <w:rsid w:val="0089278D"/>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neirong">
    <w:name w:val="neirong"/>
    <w:basedOn w:val="a"/>
    <w:rsid w:val="0089278D"/>
    <w:pPr>
      <w:widowControl/>
      <w:autoSpaceDE w:val="0"/>
      <w:autoSpaceDN w:val="0"/>
      <w:adjustRightInd w:val="0"/>
      <w:spacing w:before="29" w:line="288" w:lineRule="auto"/>
      <w:ind w:left="15"/>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89278D"/>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
    <w:rsid w:val="0089278D"/>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neirong">
    <w:name w:val="neirong"/>
    <w:basedOn w:val="a"/>
    <w:rsid w:val="0089278D"/>
    <w:pPr>
      <w:widowControl/>
      <w:autoSpaceDE w:val="0"/>
      <w:autoSpaceDN w:val="0"/>
      <w:adjustRightInd w:val="0"/>
      <w:spacing w:before="29" w:line="288" w:lineRule="auto"/>
      <w:ind w:left="15"/>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667049">
      <w:bodyDiv w:val="1"/>
      <w:marLeft w:val="0"/>
      <w:marRight w:val="0"/>
      <w:marTop w:val="0"/>
      <w:marBottom w:val="0"/>
      <w:divBdr>
        <w:top w:val="none" w:sz="0" w:space="0" w:color="auto"/>
        <w:left w:val="none" w:sz="0" w:space="0" w:color="auto"/>
        <w:bottom w:val="none" w:sz="0" w:space="0" w:color="auto"/>
        <w:right w:val="none" w:sz="0" w:space="0" w:color="auto"/>
      </w:divBdr>
    </w:div>
    <w:div w:id="746456696">
      <w:bodyDiv w:val="1"/>
      <w:marLeft w:val="0"/>
      <w:marRight w:val="0"/>
      <w:marTop w:val="0"/>
      <w:marBottom w:val="0"/>
      <w:divBdr>
        <w:top w:val="none" w:sz="0" w:space="0" w:color="auto"/>
        <w:left w:val="none" w:sz="0" w:space="0" w:color="auto"/>
        <w:bottom w:val="none" w:sz="0" w:space="0" w:color="auto"/>
        <w:right w:val="none" w:sz="0" w:space="0" w:color="auto"/>
      </w:divBdr>
    </w:div>
    <w:div w:id="1045062852">
      <w:bodyDiv w:val="1"/>
      <w:marLeft w:val="0"/>
      <w:marRight w:val="0"/>
      <w:marTop w:val="0"/>
      <w:marBottom w:val="0"/>
      <w:divBdr>
        <w:top w:val="none" w:sz="0" w:space="0" w:color="auto"/>
        <w:left w:val="none" w:sz="0" w:space="0" w:color="auto"/>
        <w:bottom w:val="none" w:sz="0" w:space="0" w:color="auto"/>
        <w:right w:val="none" w:sz="0" w:space="0" w:color="auto"/>
      </w:divBdr>
    </w:div>
    <w:div w:id="1322006341">
      <w:bodyDiv w:val="1"/>
      <w:marLeft w:val="0"/>
      <w:marRight w:val="0"/>
      <w:marTop w:val="0"/>
      <w:marBottom w:val="0"/>
      <w:divBdr>
        <w:top w:val="none" w:sz="0" w:space="0" w:color="auto"/>
        <w:left w:val="none" w:sz="0" w:space="0" w:color="auto"/>
        <w:bottom w:val="none" w:sz="0" w:space="0" w:color="auto"/>
        <w:right w:val="none" w:sz="0" w:space="0" w:color="auto"/>
      </w:divBdr>
    </w:div>
    <w:div w:id="1805997541">
      <w:bodyDiv w:val="1"/>
      <w:marLeft w:val="0"/>
      <w:marRight w:val="0"/>
      <w:marTop w:val="0"/>
      <w:marBottom w:val="0"/>
      <w:divBdr>
        <w:top w:val="none" w:sz="0" w:space="0" w:color="auto"/>
        <w:left w:val="none" w:sz="0" w:space="0" w:color="auto"/>
        <w:bottom w:val="none" w:sz="0" w:space="0" w:color="auto"/>
        <w:right w:val="none" w:sz="0" w:space="0" w:color="auto"/>
      </w:divBdr>
    </w:div>
    <w:div w:id="1957904157">
      <w:bodyDiv w:val="1"/>
      <w:marLeft w:val="0"/>
      <w:marRight w:val="0"/>
      <w:marTop w:val="0"/>
      <w:marBottom w:val="0"/>
      <w:divBdr>
        <w:top w:val="none" w:sz="0" w:space="0" w:color="auto"/>
        <w:left w:val="none" w:sz="0" w:space="0" w:color="auto"/>
        <w:bottom w:val="none" w:sz="0" w:space="0" w:color="auto"/>
        <w:right w:val="none" w:sz="0" w:space="0" w:color="auto"/>
      </w:divBdr>
    </w:div>
    <w:div w:id="2076774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C0B868-3B0B-4F8D-B6B2-CCDA087662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Pages>
  <Words>2369</Words>
  <Characters>13509</Characters>
  <Application>Microsoft Office Word</Application>
  <DocSecurity>0</DocSecurity>
  <Lines>112</Lines>
  <Paragraphs>31</Paragraphs>
  <ScaleCrop>false</ScaleCrop>
  <Company>Microsoft</Company>
  <LinksUpToDate>false</LinksUpToDate>
  <CharactersWithSpaces>15847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xieyanping</cp:lastModifiedBy>
  <cp:revision>15</cp:revision>
  <cp:lastPrinted>2016-08-24T01:43:00Z</cp:lastPrinted>
  <dcterms:created xsi:type="dcterms:W3CDTF">2017-06-12T09:34:00Z</dcterms:created>
  <dcterms:modified xsi:type="dcterms:W3CDTF">2018-04-16T00:22:00Z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