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7B11" w:rsidRDefault="002C7B11">
      <w:pPr>
        <w:spacing w:line="360" w:lineRule="auto"/>
        <w:ind w:rightChars="98" w:right="206"/>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jc w:val="center"/>
        <w:rPr>
          <w:b/>
          <w:sz w:val="52"/>
          <w:szCs w:val="20"/>
        </w:rPr>
      </w:pPr>
    </w:p>
    <w:p w:rsidR="002C7B11" w:rsidRDefault="0089278D" w:rsidP="0089278D">
      <w:pPr>
        <w:spacing w:beforeLines="50" w:before="120"/>
        <w:jc w:val="center"/>
        <w:rPr>
          <w:rFonts w:ascii="宋体" w:hAnsi="宋体" w:cs="宋体"/>
          <w:b/>
          <w:sz w:val="52"/>
          <w:szCs w:val="52"/>
        </w:rPr>
      </w:pPr>
      <w:bookmarkStart w:id="0" w:name="_Toc88969212"/>
      <w:r w:rsidRPr="0089278D">
        <w:rPr>
          <w:rFonts w:ascii="宋体" w:hAnsi="宋体" w:cs="宋体" w:hint="eastAsia"/>
          <w:b/>
          <w:sz w:val="52"/>
          <w:szCs w:val="52"/>
        </w:rPr>
        <w:t>富荣富祥纯债债券型证券投资基金</w:t>
      </w:r>
      <w:r>
        <w:rPr>
          <w:rFonts w:ascii="宋体" w:hAnsi="宋体" w:cs="宋体" w:hint="eastAsia"/>
          <w:b/>
          <w:sz w:val="52"/>
          <w:szCs w:val="52"/>
        </w:rPr>
        <w:t>更新的招募说明书摘要</w:t>
      </w:r>
    </w:p>
    <w:p w:rsidR="002C7B11" w:rsidRDefault="0089278D" w:rsidP="0089278D">
      <w:pPr>
        <w:spacing w:beforeLines="50" w:before="120"/>
        <w:jc w:val="center"/>
        <w:rPr>
          <w:rFonts w:ascii="宋体" w:hAnsi="宋体" w:cs="宋体"/>
          <w:b/>
          <w:sz w:val="48"/>
          <w:szCs w:val="48"/>
        </w:rPr>
      </w:pPr>
      <w:r>
        <w:rPr>
          <w:rFonts w:ascii="宋体" w:hAnsi="宋体" w:cs="宋体" w:hint="eastAsia"/>
          <w:b/>
          <w:sz w:val="48"/>
          <w:szCs w:val="48"/>
        </w:rPr>
        <w:t>（2017年第1号）</w:t>
      </w:r>
    </w:p>
    <w:p w:rsidR="002C7B11" w:rsidRDefault="002C7B11">
      <w:pPr>
        <w:spacing w:line="360" w:lineRule="auto"/>
        <w:jc w:val="center"/>
        <w:rPr>
          <w:rFonts w:ascii="宋体" w:hAnsi="宋体"/>
          <w:b/>
          <w:color w:val="000000"/>
          <w:sz w:val="24"/>
        </w:rPr>
      </w:pPr>
    </w:p>
    <w:bookmarkEnd w:id="0"/>
    <w:p w:rsidR="002C7B11" w:rsidRDefault="002C7B11">
      <w:pPr>
        <w:spacing w:line="360" w:lineRule="auto"/>
        <w:jc w:val="center"/>
        <w:rPr>
          <w:rFonts w:ascii="宋体" w:hAnsi="宋体"/>
          <w:b/>
          <w:color w:val="000000"/>
          <w:sz w:val="24"/>
        </w:rPr>
      </w:pPr>
    </w:p>
    <w:p w:rsidR="002C7B11" w:rsidRDefault="002C7B11">
      <w:pPr>
        <w:spacing w:line="360" w:lineRule="auto"/>
        <w:rPr>
          <w:rFonts w:ascii="宋体" w:hAnsi="宋体"/>
          <w:color w:val="000000"/>
          <w:sz w:val="24"/>
        </w:rPr>
      </w:pPr>
    </w:p>
    <w:p w:rsidR="002C7B11" w:rsidRDefault="002C7B11">
      <w:pPr>
        <w:spacing w:line="360" w:lineRule="auto"/>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rPr>
          <w:rFonts w:ascii="宋体" w:hAnsi="宋体"/>
          <w:b/>
          <w:color w:val="000000"/>
          <w:sz w:val="24"/>
        </w:rPr>
      </w:pPr>
    </w:p>
    <w:p w:rsidR="002C7B11" w:rsidRDefault="002C7B11">
      <w:pPr>
        <w:spacing w:line="360" w:lineRule="auto"/>
        <w:rPr>
          <w:rFonts w:ascii="宋体" w:hAnsi="宋体"/>
          <w:b/>
          <w:color w:val="000000"/>
          <w:sz w:val="24"/>
        </w:rPr>
      </w:pPr>
    </w:p>
    <w:p w:rsidR="002C7B11" w:rsidRDefault="0089278D" w:rsidP="0089278D">
      <w:pPr>
        <w:spacing w:beforeLines="50" w:before="120"/>
        <w:jc w:val="center"/>
        <w:rPr>
          <w:b/>
          <w:sz w:val="36"/>
          <w:szCs w:val="20"/>
        </w:rPr>
      </w:pPr>
      <w:r>
        <w:rPr>
          <w:rFonts w:hint="eastAsia"/>
          <w:b/>
          <w:sz w:val="36"/>
          <w:szCs w:val="20"/>
        </w:rPr>
        <w:t>基金管理人：富荣基金管理有限公司</w:t>
      </w:r>
    </w:p>
    <w:p w:rsidR="002C7B11" w:rsidRDefault="0089278D" w:rsidP="0089278D">
      <w:pPr>
        <w:spacing w:beforeLines="50" w:before="120"/>
        <w:jc w:val="center"/>
        <w:rPr>
          <w:b/>
          <w:sz w:val="36"/>
          <w:szCs w:val="20"/>
        </w:rPr>
      </w:pPr>
      <w:r>
        <w:rPr>
          <w:rFonts w:hint="eastAsia"/>
          <w:b/>
          <w:sz w:val="36"/>
          <w:szCs w:val="20"/>
        </w:rPr>
        <w:t>基金托管人：中国光大银行股份有限公司</w:t>
      </w:r>
    </w:p>
    <w:p w:rsidR="002C7B11" w:rsidRDefault="0089278D" w:rsidP="0089278D">
      <w:pPr>
        <w:spacing w:beforeLines="50" w:before="120" w:line="360" w:lineRule="auto"/>
        <w:jc w:val="center"/>
        <w:rPr>
          <w:b/>
          <w:sz w:val="36"/>
          <w:szCs w:val="20"/>
        </w:rPr>
      </w:pPr>
      <w:r>
        <w:rPr>
          <w:rFonts w:hint="eastAsia"/>
          <w:b/>
          <w:sz w:val="36"/>
          <w:szCs w:val="20"/>
        </w:rPr>
        <w:t>二零一七年十月</w:t>
      </w:r>
    </w:p>
    <w:p w:rsidR="002C7B11" w:rsidRDefault="002C7B11">
      <w:pPr>
        <w:spacing w:line="360" w:lineRule="auto"/>
        <w:rPr>
          <w:rFonts w:ascii="宋体" w:hAnsi="宋体"/>
          <w:color w:val="000000"/>
          <w:sz w:val="24"/>
        </w:rPr>
      </w:pPr>
    </w:p>
    <w:p w:rsidR="002C7B11" w:rsidRDefault="0089278D">
      <w:pPr>
        <w:autoSpaceDE w:val="0"/>
        <w:autoSpaceDN w:val="0"/>
        <w:adjustRightInd w:val="0"/>
        <w:spacing w:line="360" w:lineRule="auto"/>
        <w:jc w:val="center"/>
        <w:rPr>
          <w:rFonts w:ascii="宋体" w:hAnsi="宋体"/>
          <w:color w:val="000000"/>
          <w:kern w:val="0"/>
          <w:sz w:val="24"/>
        </w:rPr>
      </w:pPr>
      <w:r>
        <w:rPr>
          <w:rFonts w:ascii="宋体" w:hAnsi="宋体" w:hint="eastAsia"/>
          <w:b/>
          <w:bCs/>
          <w:color w:val="000000"/>
          <w:kern w:val="0"/>
          <w:sz w:val="24"/>
        </w:rPr>
        <w:lastRenderedPageBreak/>
        <w:t>【重要提示】</w:t>
      </w:r>
    </w:p>
    <w:p w:rsidR="0089278D" w:rsidRPr="0089278D" w:rsidRDefault="0089278D" w:rsidP="0089278D">
      <w:pPr>
        <w:spacing w:line="360" w:lineRule="auto"/>
        <w:ind w:firstLineChars="202" w:firstLine="485"/>
        <w:rPr>
          <w:rFonts w:ascii="宋体" w:hAnsi="宋体"/>
          <w:sz w:val="24"/>
        </w:rPr>
      </w:pPr>
    </w:p>
    <w:p w:rsidR="0089278D" w:rsidRPr="0089278D" w:rsidRDefault="0089278D" w:rsidP="0089278D">
      <w:pPr>
        <w:spacing w:line="360" w:lineRule="auto"/>
        <w:ind w:firstLineChars="202" w:firstLine="485"/>
        <w:rPr>
          <w:rFonts w:ascii="宋体" w:hAnsi="宋体"/>
          <w:sz w:val="24"/>
        </w:rPr>
      </w:pPr>
      <w:r w:rsidRPr="0089278D">
        <w:rPr>
          <w:rFonts w:ascii="宋体" w:hAnsi="宋体" w:hint="eastAsia"/>
          <w:sz w:val="24"/>
        </w:rPr>
        <w:t>1、本基金根据2016年10月12日中国证券监督管理委员会（以下简称“中国证监会”）《关于核准富荣富祥纯债债券型证券投资基金募集的批复》（证监许可【2016】2331号）进行募集。本基金于2017年3月9日正式生效。</w:t>
      </w:r>
    </w:p>
    <w:p w:rsidR="0089278D" w:rsidRPr="0089278D" w:rsidRDefault="0089278D" w:rsidP="0089278D">
      <w:pPr>
        <w:spacing w:line="360" w:lineRule="auto"/>
        <w:ind w:firstLineChars="202" w:firstLine="485"/>
        <w:rPr>
          <w:rFonts w:ascii="宋体" w:hAnsi="宋体"/>
          <w:sz w:val="24"/>
        </w:rPr>
      </w:pPr>
      <w:r w:rsidRPr="0089278D">
        <w:rPr>
          <w:rFonts w:ascii="宋体" w:hAnsi="宋体" w:hint="eastAsia"/>
          <w:sz w:val="24"/>
        </w:rPr>
        <w:t>2、基金管理人保证招募说明书的内容真实、准确、完整。本招募说明书经中国证监会注册，但中国证监会对本基金募集的注册，并不表明其对本基金的投资价值和市场前景</w:t>
      </w:r>
      <w:proofErr w:type="gramStart"/>
      <w:r w:rsidRPr="0089278D">
        <w:rPr>
          <w:rFonts w:ascii="宋体" w:hAnsi="宋体" w:hint="eastAsia"/>
          <w:sz w:val="24"/>
        </w:rPr>
        <w:t>作出</w:t>
      </w:r>
      <w:proofErr w:type="gramEnd"/>
      <w:r w:rsidRPr="0089278D">
        <w:rPr>
          <w:rFonts w:ascii="宋体" w:hAnsi="宋体" w:hint="eastAsia"/>
          <w:sz w:val="24"/>
        </w:rPr>
        <w:t>实质性判断或保证，也不表明投资于本基金没有风险。</w:t>
      </w:r>
    </w:p>
    <w:p w:rsidR="0089278D" w:rsidRPr="0089278D" w:rsidRDefault="0089278D" w:rsidP="0089278D">
      <w:pPr>
        <w:spacing w:line="360" w:lineRule="auto"/>
        <w:ind w:firstLineChars="202" w:firstLine="485"/>
        <w:rPr>
          <w:rFonts w:ascii="宋体" w:hAnsi="宋体"/>
          <w:sz w:val="24"/>
        </w:rPr>
      </w:pPr>
      <w:r w:rsidRPr="0089278D">
        <w:rPr>
          <w:rFonts w:ascii="宋体" w:hAnsi="宋体" w:hint="eastAsia"/>
          <w:sz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89278D">
        <w:rPr>
          <w:rFonts w:ascii="宋体" w:hAnsi="宋体" w:hint="eastAsia"/>
          <w:sz w:val="24"/>
        </w:rPr>
        <w:t>作出</w:t>
      </w:r>
      <w:proofErr w:type="gramEnd"/>
      <w:r w:rsidRPr="0089278D">
        <w:rPr>
          <w:rFonts w:ascii="宋体" w:hAnsi="宋体" w:hint="eastAsia"/>
          <w:sz w:val="24"/>
        </w:rPr>
        <w:t>独立决策。基金管理人提醒投资者基金投资的“买者自负”原则，在投资者作出投资决策后，基金运营状况与基金净值变化导致的投资风险，由投资者自行负担。</w:t>
      </w:r>
    </w:p>
    <w:p w:rsidR="0089278D" w:rsidRPr="0089278D" w:rsidRDefault="0089278D" w:rsidP="000B30C8">
      <w:pPr>
        <w:spacing w:line="360" w:lineRule="auto"/>
        <w:ind w:firstLineChars="202" w:firstLine="485"/>
        <w:rPr>
          <w:rFonts w:ascii="宋体" w:hAnsi="宋体"/>
          <w:sz w:val="24"/>
        </w:rPr>
      </w:pPr>
      <w:r w:rsidRPr="0089278D">
        <w:rPr>
          <w:rFonts w:ascii="宋体" w:hAnsi="宋体" w:hint="eastAsia"/>
          <w:sz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89278D" w:rsidRPr="0089278D" w:rsidRDefault="0089278D" w:rsidP="0089278D">
      <w:pPr>
        <w:spacing w:line="360" w:lineRule="auto"/>
        <w:ind w:firstLineChars="202" w:firstLine="485"/>
        <w:rPr>
          <w:rFonts w:ascii="宋体" w:hAnsi="宋体"/>
          <w:sz w:val="24"/>
        </w:rPr>
      </w:pPr>
      <w:r w:rsidRPr="0089278D">
        <w:rPr>
          <w:rFonts w:ascii="宋体" w:hAnsi="宋体" w:hint="eastAsia"/>
          <w:sz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rsidR="0089278D" w:rsidRPr="0089278D" w:rsidRDefault="0089278D" w:rsidP="0089278D">
      <w:pPr>
        <w:spacing w:line="360" w:lineRule="auto"/>
        <w:ind w:firstLineChars="202" w:firstLine="485"/>
        <w:rPr>
          <w:rFonts w:ascii="宋体" w:hAnsi="宋体"/>
          <w:sz w:val="24"/>
        </w:rPr>
      </w:pPr>
      <w:r w:rsidRPr="0089278D">
        <w:rPr>
          <w:rFonts w:ascii="宋体" w:hAnsi="宋体" w:hint="eastAsia"/>
          <w:sz w:val="24"/>
        </w:rPr>
        <w:t>5、本基金为债券型基金，预期收益和预期风险高于货币市场基金，但低于混合型基金、股票型基金，属于中低预期风险/预期收益的产品。</w:t>
      </w:r>
    </w:p>
    <w:p w:rsidR="0089278D" w:rsidRPr="0089278D" w:rsidRDefault="0089278D" w:rsidP="0089278D">
      <w:pPr>
        <w:spacing w:line="360" w:lineRule="auto"/>
        <w:ind w:firstLineChars="202" w:firstLine="485"/>
        <w:rPr>
          <w:rFonts w:ascii="宋体" w:hAnsi="宋体"/>
          <w:sz w:val="24"/>
        </w:rPr>
      </w:pPr>
      <w:r w:rsidRPr="0089278D">
        <w:rPr>
          <w:rFonts w:ascii="宋体" w:hAnsi="宋体" w:hint="eastAsia"/>
          <w:sz w:val="24"/>
        </w:rPr>
        <w:t>6、本基金的投资范围主要为具有良好流动性的金融工具，包括国债、金融债、企业债、公司债、央行票据、中期票据、短期融资券、中小企业私募债券、资产支</w:t>
      </w:r>
      <w:r w:rsidRPr="0089278D">
        <w:rPr>
          <w:rFonts w:ascii="宋体" w:hAnsi="宋体" w:hint="eastAsia"/>
          <w:sz w:val="24"/>
        </w:rPr>
        <w:lastRenderedPageBreak/>
        <w:t>持证券、次级债、可分离交易可转债的纯债部分、债券回购、银行存款等法律法规或中国证监会允许基金投资的其他金融工具（但须符合中国证监会的相关规定）。</w:t>
      </w:r>
    </w:p>
    <w:p w:rsidR="0089278D" w:rsidRPr="0089278D" w:rsidRDefault="0089278D" w:rsidP="0089278D">
      <w:pPr>
        <w:spacing w:line="360" w:lineRule="auto"/>
        <w:ind w:firstLineChars="202" w:firstLine="485"/>
        <w:rPr>
          <w:rFonts w:ascii="宋体" w:hAnsi="宋体"/>
          <w:sz w:val="24"/>
        </w:rPr>
      </w:pPr>
      <w:r w:rsidRPr="0089278D">
        <w:rPr>
          <w:rFonts w:ascii="宋体" w:hAnsi="宋体" w:hint="eastAsia"/>
          <w:sz w:val="24"/>
        </w:rPr>
        <w:t>本基金不投资于股票或权证，也不投资于可转换债券（可分离交易可转债的纯债部分除外）、可交换债券。</w:t>
      </w:r>
    </w:p>
    <w:p w:rsidR="0089278D" w:rsidRPr="0089278D" w:rsidRDefault="0089278D" w:rsidP="0089278D">
      <w:pPr>
        <w:spacing w:line="360" w:lineRule="auto"/>
        <w:ind w:firstLineChars="202" w:firstLine="485"/>
        <w:rPr>
          <w:rFonts w:ascii="宋体" w:hAnsi="宋体"/>
          <w:sz w:val="24"/>
        </w:rPr>
      </w:pPr>
      <w:r w:rsidRPr="0089278D">
        <w:rPr>
          <w:rFonts w:ascii="宋体" w:hAnsi="宋体" w:hint="eastAsia"/>
          <w:sz w:val="24"/>
        </w:rPr>
        <w:t>如法律法规或监管机构以后允许基金投资其他品种，基金管理人在履行适当程序后，可以将其纳入投资范围。</w:t>
      </w:r>
    </w:p>
    <w:p w:rsidR="0089278D" w:rsidRPr="0089278D" w:rsidRDefault="0089278D" w:rsidP="0089278D">
      <w:pPr>
        <w:spacing w:line="360" w:lineRule="auto"/>
        <w:ind w:firstLineChars="202" w:firstLine="485"/>
        <w:rPr>
          <w:rFonts w:ascii="宋体" w:hAnsi="宋体"/>
          <w:sz w:val="24"/>
        </w:rPr>
      </w:pPr>
      <w:r w:rsidRPr="0089278D">
        <w:rPr>
          <w:rFonts w:ascii="宋体" w:hAnsi="宋体" w:hint="eastAsia"/>
          <w:sz w:val="24"/>
        </w:rPr>
        <w:t>7、基金的投资组合比例为：本基金对债券的投资比例不低于基金资产的80％；本基金持有现金或者到期日在一年以内的政府债券投资比例不低于基金资产净值的5%。</w:t>
      </w:r>
    </w:p>
    <w:p w:rsidR="0089278D" w:rsidRPr="0089278D" w:rsidRDefault="0089278D" w:rsidP="0089278D">
      <w:pPr>
        <w:spacing w:line="360" w:lineRule="auto"/>
        <w:ind w:firstLineChars="202" w:firstLine="485"/>
        <w:rPr>
          <w:rFonts w:ascii="宋体" w:hAnsi="宋体"/>
          <w:sz w:val="24"/>
        </w:rPr>
      </w:pPr>
      <w:r w:rsidRPr="0089278D">
        <w:rPr>
          <w:rFonts w:ascii="宋体" w:hAnsi="宋体" w:hint="eastAsia"/>
          <w:sz w:val="24"/>
        </w:rPr>
        <w:t>8、本基金初始募集面值为人民币1.00 元。在市场波动因素影响下，本基金净值可能低于初始面值，本基金投资者有可能出现亏损。</w:t>
      </w:r>
    </w:p>
    <w:p w:rsidR="0089278D" w:rsidRPr="0089278D" w:rsidRDefault="0089278D" w:rsidP="0089278D">
      <w:pPr>
        <w:spacing w:line="360" w:lineRule="auto"/>
        <w:ind w:firstLineChars="202" w:firstLine="485"/>
        <w:rPr>
          <w:rFonts w:ascii="宋体" w:hAnsi="宋体"/>
          <w:sz w:val="24"/>
        </w:rPr>
      </w:pPr>
      <w:r w:rsidRPr="0089278D">
        <w:rPr>
          <w:rFonts w:ascii="宋体" w:hAnsi="宋体" w:hint="eastAsia"/>
          <w:sz w:val="24"/>
        </w:rPr>
        <w:t>9、基金的过往业绩并不预示其未来表现，基金管理人管理的其他基金的业绩也不构成对本基金业绩表现的保证。</w:t>
      </w:r>
    </w:p>
    <w:p w:rsidR="0089278D" w:rsidRPr="0089278D" w:rsidRDefault="0089278D" w:rsidP="0089278D">
      <w:pPr>
        <w:spacing w:line="360" w:lineRule="auto"/>
        <w:ind w:firstLineChars="202" w:firstLine="485"/>
        <w:rPr>
          <w:rFonts w:ascii="宋体" w:hAnsi="宋体"/>
          <w:sz w:val="24"/>
        </w:rPr>
      </w:pPr>
      <w:r w:rsidRPr="0089278D">
        <w:rPr>
          <w:rFonts w:ascii="宋体" w:hAnsi="宋体" w:hint="eastAsia"/>
          <w:sz w:val="24"/>
        </w:rPr>
        <w:t>10、基金管理人依照恪尽职守、诚实信用、谨慎勤勉的原则管理和运用基金财产，但不保证基金一定盈利，也不保证最低收益。</w:t>
      </w:r>
    </w:p>
    <w:p w:rsidR="0089278D" w:rsidRPr="0089278D" w:rsidRDefault="0089278D" w:rsidP="0089278D">
      <w:pPr>
        <w:spacing w:line="360" w:lineRule="auto"/>
        <w:ind w:firstLineChars="202" w:firstLine="485"/>
        <w:rPr>
          <w:rFonts w:ascii="宋体" w:hAnsi="宋体"/>
          <w:sz w:val="24"/>
        </w:rPr>
      </w:pPr>
      <w:r w:rsidRPr="0089278D">
        <w:rPr>
          <w:rFonts w:ascii="宋体" w:hAnsi="宋体" w:hint="eastAsia"/>
          <w:sz w:val="24"/>
        </w:rPr>
        <w:t>11、本招募说明书所载内容截止日为2017年9月9日，有关财务数据和净值表现截止日为2017年6月30日。（财务数据未经审计）。</w:t>
      </w:r>
    </w:p>
    <w:p w:rsidR="0089278D" w:rsidRDefault="0089278D" w:rsidP="0089278D">
      <w:pPr>
        <w:spacing w:line="360" w:lineRule="auto"/>
        <w:ind w:firstLineChars="202" w:firstLine="485"/>
        <w:rPr>
          <w:rFonts w:ascii="宋体" w:hAnsi="宋体"/>
          <w:sz w:val="24"/>
        </w:rPr>
      </w:pPr>
      <w:r w:rsidRPr="0089278D">
        <w:rPr>
          <w:rFonts w:ascii="宋体" w:hAnsi="宋体" w:hint="eastAsia"/>
          <w:sz w:val="24"/>
        </w:rPr>
        <w:t>本基金托管人中国光大银行股份有限公司已于</w:t>
      </w:r>
      <w:r w:rsidR="0006154F">
        <w:rPr>
          <w:rFonts w:ascii="宋体" w:hAnsi="宋体" w:hint="eastAsia"/>
          <w:sz w:val="24"/>
        </w:rPr>
        <w:t>2017</w:t>
      </w:r>
      <w:r w:rsidRPr="0006154F">
        <w:rPr>
          <w:rFonts w:ascii="宋体" w:hAnsi="宋体" w:hint="eastAsia"/>
          <w:sz w:val="24"/>
        </w:rPr>
        <w:t>年</w:t>
      </w:r>
      <w:r w:rsidR="0006154F" w:rsidRPr="0006154F">
        <w:rPr>
          <w:rFonts w:ascii="宋体" w:hAnsi="宋体" w:hint="eastAsia"/>
          <w:sz w:val="24"/>
        </w:rPr>
        <w:t>10</w:t>
      </w:r>
      <w:r w:rsidRPr="0006154F">
        <w:rPr>
          <w:rFonts w:ascii="宋体" w:hAnsi="宋体" w:hint="eastAsia"/>
          <w:sz w:val="24"/>
        </w:rPr>
        <w:t>月</w:t>
      </w:r>
      <w:r w:rsidR="0006154F" w:rsidRPr="0006154F">
        <w:rPr>
          <w:rFonts w:ascii="宋体" w:hAnsi="宋体" w:hint="eastAsia"/>
          <w:sz w:val="24"/>
        </w:rPr>
        <w:t>9</w:t>
      </w:r>
      <w:r w:rsidRPr="0006154F">
        <w:rPr>
          <w:rFonts w:ascii="宋体" w:hAnsi="宋体" w:hint="eastAsia"/>
          <w:sz w:val="24"/>
        </w:rPr>
        <w:t>日</w:t>
      </w:r>
      <w:r w:rsidRPr="0089278D">
        <w:rPr>
          <w:rFonts w:ascii="宋体" w:hAnsi="宋体" w:hint="eastAsia"/>
          <w:sz w:val="24"/>
        </w:rPr>
        <w:t>复核了本次更新的招募说明书。</w:t>
      </w:r>
    </w:p>
    <w:p w:rsidR="002C7B11" w:rsidRDefault="0089278D" w:rsidP="0089278D">
      <w:pPr>
        <w:spacing w:line="360" w:lineRule="auto"/>
        <w:ind w:firstLineChars="202" w:firstLine="485"/>
        <w:rPr>
          <w:rFonts w:ascii="宋体" w:hAnsi="宋体"/>
          <w:sz w:val="24"/>
        </w:rPr>
      </w:pPr>
      <w:r>
        <w:rPr>
          <w:rFonts w:ascii="宋体" w:hAnsi="宋体" w:hint="eastAsia"/>
          <w:sz w:val="24"/>
        </w:rPr>
        <w:t>本摘要根据基金合同和基金招募说明书编写，并经中国证监会核准。基金合同是约定基金当事人之间权利、义务的法律文件。基金投资人自依基金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rsidR="002C7B11" w:rsidRDefault="002C7B11" w:rsidP="0089278D">
      <w:pPr>
        <w:spacing w:line="360" w:lineRule="auto"/>
        <w:ind w:firstLineChars="202" w:firstLine="485"/>
        <w:rPr>
          <w:rFonts w:ascii="宋体" w:hAnsi="宋体"/>
          <w:color w:val="000000"/>
          <w:kern w:val="0"/>
          <w:sz w:val="24"/>
        </w:rPr>
      </w:pPr>
    </w:p>
    <w:p w:rsidR="002C7B11" w:rsidRDefault="0089278D">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rsidR="0089278D" w:rsidRPr="0089278D" w:rsidRDefault="0089278D" w:rsidP="0089278D">
      <w:pPr>
        <w:spacing w:line="360" w:lineRule="auto"/>
        <w:ind w:firstLineChars="200" w:firstLine="480"/>
        <w:rPr>
          <w:rFonts w:ascii="宋体" w:hAnsi="宋体"/>
          <w:color w:val="000000"/>
          <w:kern w:val="0"/>
          <w:sz w:val="24"/>
        </w:rPr>
      </w:pPr>
      <w:bookmarkStart w:id="5" w:name="_Toc88969216"/>
      <w:r>
        <w:rPr>
          <w:rFonts w:ascii="宋体" w:hAnsi="宋体" w:hint="eastAsia"/>
          <w:color w:val="000000"/>
          <w:kern w:val="0"/>
          <w:sz w:val="24"/>
        </w:rPr>
        <w:t>（一）</w:t>
      </w:r>
      <w:r w:rsidRPr="0089278D">
        <w:rPr>
          <w:rFonts w:ascii="宋体" w:hAnsi="宋体" w:hint="eastAsia"/>
          <w:color w:val="000000"/>
          <w:kern w:val="0"/>
          <w:sz w:val="24"/>
        </w:rPr>
        <w:t>基金管理人概况</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名称：富荣基金管理有限公司</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住所：广州市南沙区海滨路171号南沙金融大厦11楼1101之一J20室</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办公地址：深圳市福田区深南大道2012号深圳证券交易所广场3501室</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法定代表人：刘志军</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成立时间：2016年1月25日</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注册资本：2亿元人民币</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存续期间：永续经营</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联系人：官文力</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联系电话：0755-84356633</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0B30C8"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0B30C8" w:rsidRDefault="000B30C8">
            <w:pPr>
              <w:spacing w:line="360" w:lineRule="auto"/>
              <w:jc w:val="center"/>
              <w:rPr>
                <w:rFonts w:ascii="Arial Unicode MS" w:hAnsi="Arial Unicode MS" w:cs="Arial"/>
                <w:kern w:val="0"/>
                <w:sz w:val="24"/>
              </w:rPr>
            </w:pPr>
            <w:r>
              <w:rPr>
                <w:rFonts w:ascii="Arial Unicode MS" w:hAnsi="Arial Unicode MS" w:cs="Arial" w:hint="eastAsia"/>
                <w:kern w:val="0"/>
                <w:sz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0B30C8" w:rsidRDefault="000B30C8">
            <w:pPr>
              <w:spacing w:line="360" w:lineRule="auto"/>
              <w:jc w:val="center"/>
              <w:rPr>
                <w:rFonts w:ascii="Arial Unicode MS" w:hAnsi="Arial Unicode MS" w:cs="Arial"/>
                <w:kern w:val="0"/>
                <w:sz w:val="24"/>
              </w:rPr>
            </w:pPr>
            <w:r>
              <w:rPr>
                <w:rFonts w:ascii="Arial Unicode MS" w:hAnsi="Arial Unicode MS" w:cs="Arial" w:hint="eastAsia"/>
                <w:kern w:val="0"/>
                <w:sz w:val="24"/>
              </w:rPr>
              <w:t>出资比例</w:t>
            </w:r>
          </w:p>
        </w:tc>
      </w:tr>
      <w:tr w:rsidR="000B30C8"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0B30C8" w:rsidRDefault="000B30C8">
            <w:pPr>
              <w:spacing w:line="360" w:lineRule="auto"/>
              <w:jc w:val="center"/>
              <w:rPr>
                <w:rFonts w:ascii="Arial Unicode MS" w:hAnsi="Arial Unicode MS" w:cs="Arial"/>
                <w:kern w:val="0"/>
                <w:sz w:val="24"/>
              </w:rPr>
            </w:pPr>
            <w:r>
              <w:rPr>
                <w:rFonts w:ascii="Arial Unicode MS" w:hAnsi="Arial Unicode MS" w:cs="Arial" w:hint="eastAsia"/>
                <w:kern w:val="0"/>
                <w:sz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0B30C8" w:rsidRDefault="000B30C8">
            <w:pPr>
              <w:spacing w:line="360" w:lineRule="auto"/>
              <w:jc w:val="center"/>
              <w:rPr>
                <w:rFonts w:ascii="Arial Unicode MS" w:hAnsi="Arial Unicode MS" w:cs="Arial"/>
                <w:kern w:val="0"/>
                <w:sz w:val="24"/>
              </w:rPr>
            </w:pPr>
            <w:r>
              <w:rPr>
                <w:rFonts w:ascii="Arial Unicode MS" w:hAnsi="Arial Unicode MS" w:cs="Arial" w:hint="eastAsia"/>
                <w:kern w:val="0"/>
                <w:sz w:val="24"/>
              </w:rPr>
              <w:t>50%</w:t>
            </w:r>
          </w:p>
        </w:tc>
      </w:tr>
      <w:tr w:rsidR="000B30C8"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0B30C8" w:rsidRDefault="000B30C8">
            <w:pPr>
              <w:spacing w:line="360" w:lineRule="auto"/>
              <w:jc w:val="center"/>
              <w:rPr>
                <w:rFonts w:ascii="Arial Unicode MS" w:hAnsi="Arial Unicode MS" w:cs="Arial"/>
                <w:kern w:val="0"/>
                <w:sz w:val="24"/>
              </w:rPr>
            </w:pPr>
            <w:r>
              <w:rPr>
                <w:rFonts w:ascii="Arial Unicode MS" w:hAnsi="Arial Unicode MS" w:cs="Arial" w:hint="eastAsia"/>
                <w:kern w:val="0"/>
                <w:sz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0B30C8" w:rsidRDefault="000B30C8">
            <w:pPr>
              <w:spacing w:line="360" w:lineRule="auto"/>
              <w:jc w:val="center"/>
              <w:rPr>
                <w:rFonts w:ascii="Arial Unicode MS" w:hAnsi="Arial Unicode MS" w:cs="Arial"/>
                <w:kern w:val="0"/>
                <w:sz w:val="24"/>
              </w:rPr>
            </w:pPr>
            <w:r>
              <w:rPr>
                <w:rFonts w:ascii="Arial Unicode MS" w:hAnsi="Arial Unicode MS" w:cs="Arial" w:hint="eastAsia"/>
                <w:kern w:val="0"/>
                <w:sz w:val="24"/>
              </w:rPr>
              <w:t>45.1%</w:t>
            </w:r>
          </w:p>
        </w:tc>
      </w:tr>
      <w:tr w:rsidR="000B30C8"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0B30C8" w:rsidRDefault="000B30C8">
            <w:pPr>
              <w:spacing w:line="360" w:lineRule="auto"/>
              <w:jc w:val="center"/>
              <w:rPr>
                <w:rFonts w:ascii="Arial Unicode MS" w:hAnsi="Arial Unicode MS" w:cs="Arial"/>
                <w:kern w:val="0"/>
                <w:sz w:val="24"/>
              </w:rPr>
            </w:pPr>
            <w:r>
              <w:rPr>
                <w:rFonts w:ascii="Arial Unicode MS" w:hAnsi="Arial Unicode MS" w:cs="Arial" w:hint="eastAsia"/>
                <w:kern w:val="0"/>
                <w:sz w:val="24"/>
              </w:rPr>
              <w:t>湖南典勤投资开发有限公司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0B30C8" w:rsidRDefault="000B30C8">
            <w:pPr>
              <w:spacing w:line="360" w:lineRule="auto"/>
              <w:jc w:val="center"/>
              <w:rPr>
                <w:rFonts w:ascii="Arial Unicode MS" w:hAnsi="Arial Unicode MS" w:cs="Arial"/>
                <w:kern w:val="0"/>
                <w:sz w:val="24"/>
              </w:rPr>
            </w:pPr>
            <w:r>
              <w:rPr>
                <w:rFonts w:ascii="Arial Unicode MS" w:hAnsi="Arial Unicode MS" w:cs="Arial" w:hint="eastAsia"/>
                <w:kern w:val="0"/>
                <w:sz w:val="24"/>
              </w:rPr>
              <w:t>4.9%</w:t>
            </w:r>
          </w:p>
        </w:tc>
      </w:tr>
    </w:tbl>
    <w:p w:rsidR="0089278D" w:rsidRPr="0089278D" w:rsidRDefault="0089278D" w:rsidP="0089278D">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sidRPr="0089278D">
        <w:rPr>
          <w:rFonts w:ascii="宋体" w:hAnsi="宋体" w:hint="eastAsia"/>
          <w:color w:val="000000"/>
          <w:kern w:val="0"/>
          <w:sz w:val="24"/>
        </w:rPr>
        <w:t>主要成员情况</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1、董事会成员</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刘志军先生，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罗劲先生，董事，湖南大学工商管理硕士。曾任广州农村商业银行股份有限公</w:t>
      </w:r>
      <w:r w:rsidRPr="0089278D">
        <w:rPr>
          <w:rFonts w:ascii="宋体" w:hAnsi="宋体" w:hint="eastAsia"/>
          <w:color w:val="000000"/>
          <w:kern w:val="0"/>
          <w:sz w:val="24"/>
        </w:rPr>
        <w:lastRenderedPageBreak/>
        <w:t>司华夏支行集团客户事业部副总经理。现任广州汇垠天粤股权投资基金管理有限公司副总经理、富荣基金管理有限公司董事。</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郭涛先生，董事，上海高级金融学院研究生（在读）。曾任深圳嘉年实业股份有限公司董事、深圳市莱英达集团有限责任公司董事，现任深圳市前海富荣资产管理有限公司董事、总经理、深圳市富润天成投资发展有限公司董事、富荣基金管理有限公司董事。</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林斌先生，独立董事，厦门大学经济学博士。现任中山大学管理学院会计学系教授、富荣基金管理有限公司独立董事。</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2、监事会成员</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基金管理人不设监事会，设监事两名，其中一名为职工监事。</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卢伟女士，监事，大专。现任盈投控股有限公司总裁助理兼投资运营部部门经理、四川天一科技股份有限公司监事、富荣基金管理有限公司监事。</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毛志华先生，职工监事，本科。现任富荣基金管理有限公司监事。</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3、高级管理人员</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刘志军先生，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郭容辰女士，总经理，北京大学法学硕士，历任交通银行深圳福田支行行长、</w:t>
      </w:r>
      <w:r w:rsidRPr="0089278D">
        <w:rPr>
          <w:rFonts w:ascii="宋体" w:hAnsi="宋体" w:hint="eastAsia"/>
          <w:color w:val="000000"/>
          <w:kern w:val="0"/>
          <w:sz w:val="24"/>
        </w:rPr>
        <w:lastRenderedPageBreak/>
        <w:t>深圳分行零售信贷部总经理、个人金融部总经理、华夏银行深圳分行个人金融部总经理、金鹰基金管理有限公司副总经理，现任富荣基金管理有限公司总经理。</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滕大江先生，督察长，中南大学工学学士，先后供职于平安证券、平安大华基金管理有限公司、前海开源基金管理有限公司监察稽核部门。现任富荣基金管理有限公司督察长。</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胡长虹先生，副总经理，北京工商大学经济学学士，北大光华管理学院MBA，曾任湖北省粮食局财务副科长、中国远东国际贸易公司财务经理、深圳市飞亚达（集团）股份有限公司亨吉利公司财务经理、深圳市北大高科技股份有限公司副总经理、太平财产保险有限公司投资管理部总经理，现任富荣基金管理有限公司副总经理。</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于涛先生，副总经理，中国人民大学财务学博士，曾任中国农业银行山东省分行信贷部高级经理、大公国际资信评估有限公司工商评级部总经理、中债资信评估有限公司研究部副总经理、银河基金管理有限公司债券高级研究员、融通基金管理有限公司信用债研究员、安信证券股份有限公司高级债券投资经理、嘉实基金管理有限公司高级债券投资经理，现任富荣基金管理有限公司副总经理。</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孙万龙先生，副总经理，北京大学金融学硕士，曾任平安养老保险股份有限公司云南分公司年金部经理、博时基金机构南方客户总监、华安基金华南机构业务负责人，现任富荣基金管理有限公司副总经理。</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4、本基金基金经理</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吕晓蓉女士，清华大学工商管理硕士，曾任普华永道中天会计师事务所审计师、嘉实基金管理有限公司组合头寸管理、新股、信用债、转债研究员，现任富荣基金管理有限公司基金经理。</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5、投资决策委员会成员的姓名、职务</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郭容辰女士，投资决策委员会召集人，公司董事、总经理。</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胡长虹先生，投资决策委员会成员。</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于涛先生，投资决策委员会成员。</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吕晓蓉女士，投资决策委员会成员。</w:t>
      </w:r>
    </w:p>
    <w:p w:rsidR="0089278D" w:rsidRPr="0089278D" w:rsidRDefault="0089278D" w:rsidP="0089278D">
      <w:pPr>
        <w:spacing w:line="360" w:lineRule="auto"/>
        <w:ind w:firstLineChars="200" w:firstLine="480"/>
        <w:rPr>
          <w:rFonts w:ascii="宋体" w:hAnsi="宋体"/>
          <w:color w:val="000000"/>
          <w:kern w:val="0"/>
          <w:sz w:val="24"/>
        </w:rPr>
      </w:pPr>
      <w:r w:rsidRPr="0089278D">
        <w:rPr>
          <w:rFonts w:ascii="宋体" w:hAnsi="宋体" w:hint="eastAsia"/>
          <w:color w:val="000000"/>
          <w:kern w:val="0"/>
          <w:sz w:val="24"/>
        </w:rPr>
        <w:t>6、上述人员之间不存在近亲属关系。</w:t>
      </w:r>
    </w:p>
    <w:p w:rsidR="002C7B11" w:rsidRDefault="0089278D" w:rsidP="0089278D">
      <w:pPr>
        <w:pStyle w:val="1"/>
        <w:spacing w:beforeLines="50" w:before="120" w:afterLines="50" w:after="120" w:line="360" w:lineRule="auto"/>
        <w:ind w:firstLineChars="100" w:firstLine="241"/>
        <w:jc w:val="center"/>
        <w:rPr>
          <w:rFonts w:ascii="宋体" w:hAnsi="宋体"/>
          <w:b w:val="0"/>
          <w:color w:val="000000"/>
          <w:kern w:val="0"/>
          <w:sz w:val="24"/>
        </w:rPr>
      </w:pPr>
      <w:bookmarkStart w:id="6" w:name="_Toc26099"/>
      <w:bookmarkStart w:id="7" w:name="_Toc482624792"/>
      <w:bookmarkEnd w:id="5"/>
      <w:r>
        <w:rPr>
          <w:rFonts w:ascii="宋体" w:hAnsi="宋体" w:hint="eastAsia"/>
          <w:color w:val="000000"/>
          <w:kern w:val="0"/>
          <w:sz w:val="24"/>
          <w:szCs w:val="24"/>
        </w:rPr>
        <w:lastRenderedPageBreak/>
        <w:t>二、基金托管人</w:t>
      </w:r>
      <w:bookmarkEnd w:id="6"/>
      <w:bookmarkEnd w:id="7"/>
    </w:p>
    <w:p w:rsidR="0089278D" w:rsidRPr="0089278D" w:rsidRDefault="0089278D" w:rsidP="0089278D">
      <w:pPr>
        <w:spacing w:line="360" w:lineRule="auto"/>
        <w:ind w:firstLine="420"/>
        <w:rPr>
          <w:rFonts w:ascii="宋体" w:hAnsi="宋体"/>
          <w:color w:val="000000"/>
          <w:kern w:val="0"/>
          <w:sz w:val="24"/>
        </w:rPr>
      </w:pPr>
      <w:r>
        <w:rPr>
          <w:rFonts w:ascii="宋体" w:hAnsi="宋体" w:hint="eastAsia"/>
          <w:color w:val="000000"/>
          <w:kern w:val="0"/>
          <w:sz w:val="24"/>
        </w:rPr>
        <w:t>（一）</w:t>
      </w:r>
      <w:r w:rsidRPr="0089278D">
        <w:rPr>
          <w:rFonts w:ascii="宋体" w:hAnsi="宋体" w:hint="eastAsia"/>
          <w:color w:val="000000"/>
          <w:kern w:val="0"/>
          <w:sz w:val="24"/>
        </w:rPr>
        <w:t>基本情况</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名称：中国光大银行股份有限公司</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住所及办公地址：北京市西城区太平桥大街25 号、甲25 号中国光大中心</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成立日期：1992年6月18日</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批准设立机关和批准设立文号：国务院、国函[1992]7号</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组织形式：股份有限公司</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注册资本：466.79095亿元人民币</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法定代表人：唐双宁</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基金托管业务批准文号：中国证监会证监基字【2002】75号</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投资与托管业务部总经理：曾闻学</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电话：（010） 63636363</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传真：（010） 63639132</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网址：www.cebbank.com</w:t>
      </w:r>
    </w:p>
    <w:p w:rsidR="0089278D" w:rsidRPr="0089278D" w:rsidRDefault="0089278D" w:rsidP="0089278D">
      <w:pPr>
        <w:spacing w:line="360" w:lineRule="auto"/>
        <w:ind w:firstLine="420"/>
        <w:rPr>
          <w:rFonts w:ascii="宋体" w:hAnsi="宋体"/>
          <w:color w:val="000000"/>
          <w:kern w:val="0"/>
          <w:sz w:val="24"/>
        </w:rPr>
      </w:pPr>
      <w:r>
        <w:rPr>
          <w:rFonts w:ascii="宋体" w:hAnsi="宋体" w:hint="eastAsia"/>
          <w:color w:val="000000"/>
          <w:kern w:val="0"/>
          <w:sz w:val="24"/>
        </w:rPr>
        <w:t>（二）</w:t>
      </w:r>
      <w:r w:rsidRPr="0089278D">
        <w:rPr>
          <w:rFonts w:ascii="宋体" w:hAnsi="宋体" w:hint="eastAsia"/>
          <w:color w:val="000000"/>
          <w:kern w:val="0"/>
          <w:sz w:val="24"/>
        </w:rPr>
        <w:t>投资与托管业务部部门及主要人员情况</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法定代表人唐双宁先生，历任中国人民建设银行沈阳市分行常务副行长、中国人民银行沈阳市分行行长，中国人民银行信贷管理司司长、货币金银局局长、银行监管一司司长，中国银行业监督管理委员会副主席，中国光大（集团）总公司董事长、党委书记等职务。现任十二届全国人大农业与农村委员会副主任，十一届全国政协委员，中国光大集团股份公司董事长、党委书记，中国光大集团有限公司董事长，兼任中国光大银行股份有限公司董事长、党委书记，中国光大控股有限公司董事局主席，中国光大国际有限公司董事局主席。</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行长张金良先生， 曾任中国银行财会部会计制度处副处长、处长、副总经理兼任IT蓝图实施办公室主任、总经理，中国银行北京市分行行长、党委书记，中国银行副行长、党委委员。现任中国光大集团股份公司党委委员，兼任中国光大银行行长、党委副书记。</w:t>
      </w:r>
    </w:p>
    <w:p w:rsidR="0089278D" w:rsidRPr="0089278D" w:rsidRDefault="0089278D" w:rsidP="0089278D">
      <w:pPr>
        <w:spacing w:line="360" w:lineRule="auto"/>
        <w:ind w:firstLine="420"/>
        <w:rPr>
          <w:rFonts w:ascii="宋体" w:hAnsi="宋体"/>
          <w:color w:val="000000"/>
          <w:kern w:val="0"/>
          <w:sz w:val="24"/>
        </w:rPr>
      </w:pPr>
      <w:r w:rsidRPr="0089278D">
        <w:rPr>
          <w:rFonts w:ascii="宋体" w:hAnsi="宋体" w:hint="eastAsia"/>
          <w:color w:val="000000"/>
          <w:kern w:val="0"/>
          <w:sz w:val="24"/>
        </w:rPr>
        <w:t>曾闻学先生，曾任中国光大银行办公室副总经理，中国光大银行北京分行副行</w:t>
      </w:r>
      <w:r w:rsidRPr="0089278D">
        <w:rPr>
          <w:rFonts w:ascii="宋体" w:hAnsi="宋体" w:hint="eastAsia"/>
          <w:color w:val="000000"/>
          <w:kern w:val="0"/>
          <w:sz w:val="24"/>
        </w:rPr>
        <w:lastRenderedPageBreak/>
        <w:t>长。现任中国光大银行股份有限公司投资与托管业务部总经理。</w:t>
      </w:r>
    </w:p>
    <w:p w:rsidR="0089278D" w:rsidRPr="0089278D" w:rsidRDefault="0089278D" w:rsidP="0089278D">
      <w:pPr>
        <w:spacing w:line="360" w:lineRule="auto"/>
        <w:ind w:firstLine="420"/>
        <w:rPr>
          <w:rFonts w:ascii="宋体" w:hAnsi="宋体"/>
          <w:color w:val="000000"/>
          <w:kern w:val="0"/>
          <w:sz w:val="24"/>
        </w:rPr>
      </w:pPr>
      <w:r>
        <w:rPr>
          <w:rFonts w:ascii="宋体" w:hAnsi="宋体" w:hint="eastAsia"/>
          <w:color w:val="000000"/>
          <w:kern w:val="0"/>
          <w:sz w:val="24"/>
        </w:rPr>
        <w:t>（三）</w:t>
      </w:r>
      <w:r w:rsidRPr="0089278D">
        <w:rPr>
          <w:rFonts w:ascii="宋体" w:hAnsi="宋体" w:hint="eastAsia"/>
          <w:color w:val="000000"/>
          <w:kern w:val="0"/>
          <w:sz w:val="24"/>
        </w:rPr>
        <w:t>证券投资基金托管情况</w:t>
      </w:r>
    </w:p>
    <w:p w:rsidR="0089278D" w:rsidRDefault="0089278D" w:rsidP="0089278D">
      <w:pPr>
        <w:spacing w:line="360" w:lineRule="auto"/>
        <w:ind w:firstLine="420"/>
        <w:rPr>
          <w:rFonts w:ascii="宋体" w:hAnsi="宋体"/>
          <w:color w:val="000000"/>
          <w:kern w:val="0"/>
          <w:sz w:val="24"/>
          <w:lang w:val="zh-CN"/>
        </w:rPr>
      </w:pPr>
      <w:r w:rsidRPr="0089278D">
        <w:rPr>
          <w:rFonts w:ascii="宋体" w:hAnsi="宋体" w:hint="eastAsia"/>
          <w:color w:val="000000"/>
          <w:kern w:val="0"/>
          <w:sz w:val="24"/>
        </w:rPr>
        <w:t>截至2017年6月30日，中国光大银行股份有限公司托管国投瑞银创新动力混合型证券投资基金、摩根士丹利华鑫资源优选混合型证券投资基金(LOF)、工银瑞信丰实三年定期开放债券型证券投资基金等共87只证券投资基金，托管基金资产规模1,914.93亿元。同时，开展了证券公司资产管理计划、专户理财、企业年金基金、QDII、银行理财、保险债权投资计划等资产的托管及信托公司资金信托计划、产业投资基金、股权基金等产品的保管业务。</w:t>
      </w:r>
    </w:p>
    <w:p w:rsidR="002C7B11" w:rsidRDefault="0089278D">
      <w:pPr>
        <w:pStyle w:val="1"/>
        <w:spacing w:beforeLines="50" w:before="120" w:afterLines="50" w:after="120" w:line="360" w:lineRule="auto"/>
        <w:ind w:firstLineChars="200" w:firstLine="482"/>
        <w:jc w:val="center"/>
        <w:rPr>
          <w:rFonts w:ascii="宋体" w:hAnsi="宋体"/>
          <w:color w:val="000000"/>
          <w:kern w:val="0"/>
          <w:sz w:val="24"/>
          <w:szCs w:val="24"/>
        </w:rPr>
      </w:pPr>
      <w:bookmarkStart w:id="8" w:name="_Toc256666786"/>
      <w:bookmarkStart w:id="9" w:name="_Toc256666914"/>
      <w:bookmarkStart w:id="10" w:name="_Toc6210"/>
      <w:bookmarkStart w:id="11" w:name="_Toc482624793"/>
      <w:r>
        <w:rPr>
          <w:rFonts w:ascii="宋体" w:hAnsi="宋体" w:hint="eastAsia"/>
          <w:color w:val="000000"/>
          <w:kern w:val="0"/>
          <w:sz w:val="24"/>
        </w:rPr>
        <w:t>三、</w:t>
      </w:r>
      <w:r>
        <w:rPr>
          <w:rFonts w:ascii="宋体" w:hAnsi="宋体" w:hint="eastAsia"/>
          <w:color w:val="000000"/>
          <w:kern w:val="0"/>
          <w:sz w:val="24"/>
          <w:szCs w:val="24"/>
        </w:rPr>
        <w:t>相关服务机构</w:t>
      </w:r>
      <w:bookmarkEnd w:id="8"/>
      <w:bookmarkEnd w:id="9"/>
      <w:bookmarkEnd w:id="10"/>
      <w:bookmarkEnd w:id="11"/>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Pr>
          <w:rFonts w:ascii="宋体" w:hAnsi="宋体" w:hint="eastAsia"/>
          <w:color w:val="000000"/>
          <w:kern w:val="0"/>
          <w:sz w:val="24"/>
        </w:rPr>
        <w:t>（一）</w:t>
      </w:r>
      <w:r w:rsidRPr="0089278D">
        <w:rPr>
          <w:rFonts w:ascii="宋体" w:hAnsi="宋体" w:hint="eastAsia"/>
          <w:color w:val="000000"/>
          <w:kern w:val="0"/>
          <w:sz w:val="24"/>
        </w:rPr>
        <w:t>基金份额发售机构</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1、直销机构：富荣基金管理有限公司直销中心</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 xml:space="preserve">注册地址：广州市南沙区海滨路171号南沙金融大厦11楼1101之一J20室 </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办公地址：深圳市福田区深南大道2012号深圳证券交易所广场3501室</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法定代表人： 刘志军</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电话：0755-84356629</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传真：0755-83230902</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客服电话：4006855600</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网址：www.furamc.com.cn</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2、其他销售机构：具体名单详见本基金份额发售公告以及基金管理人届时发布的调整销售机构的相关公告。</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Pr>
          <w:rFonts w:ascii="宋体" w:hAnsi="宋体" w:hint="eastAsia"/>
          <w:color w:val="000000"/>
          <w:kern w:val="0"/>
          <w:sz w:val="24"/>
        </w:rPr>
        <w:t>（二）</w:t>
      </w:r>
      <w:r w:rsidRPr="0089278D">
        <w:rPr>
          <w:rFonts w:ascii="宋体" w:hAnsi="宋体" w:hint="eastAsia"/>
          <w:color w:val="000000"/>
          <w:kern w:val="0"/>
          <w:sz w:val="24"/>
        </w:rPr>
        <w:t>登记机构</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 xml:space="preserve">名称：富荣基金管理有限公司 </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 xml:space="preserve">住所：广东省广州市南沙区海滨路171号南沙金融大厦11楼1101之一J20 </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 xml:space="preserve">办公地址：深圳市福田区深南大道2012号深圳证券交易所广场3501室 </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 xml:space="preserve">法定代表人：刘志军 </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联系人：黄文飞</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电话： 0755-84356604</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lastRenderedPageBreak/>
        <w:t>传真： 0755-83230787</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Pr>
          <w:rFonts w:ascii="宋体" w:hAnsi="宋体" w:hint="eastAsia"/>
          <w:color w:val="000000"/>
          <w:kern w:val="0"/>
          <w:sz w:val="24"/>
        </w:rPr>
        <w:t>（三）</w:t>
      </w:r>
      <w:r w:rsidRPr="0089278D">
        <w:rPr>
          <w:rFonts w:ascii="宋体" w:hAnsi="宋体" w:hint="eastAsia"/>
          <w:color w:val="000000"/>
          <w:kern w:val="0"/>
          <w:sz w:val="24"/>
        </w:rPr>
        <w:t>出具法律意见书的律师事务所</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名称：上海市通力律师事务所</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住所：上海市银城中路68号时代金融中心19楼</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办公地址：上海市银城中路68号时代金融中心19楼</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负责人：俞卫锋</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电话：021-31358666</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传真：021-31358600</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经办律师：安冬 陆奇</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联系人： 安冬</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Pr>
          <w:rFonts w:ascii="宋体" w:hAnsi="宋体" w:hint="eastAsia"/>
          <w:color w:val="000000"/>
          <w:kern w:val="0"/>
          <w:sz w:val="24"/>
        </w:rPr>
        <w:t>（四）</w:t>
      </w:r>
      <w:r w:rsidRPr="0089278D">
        <w:rPr>
          <w:rFonts w:ascii="宋体" w:hAnsi="宋体" w:hint="eastAsia"/>
          <w:color w:val="000000"/>
          <w:kern w:val="0"/>
          <w:sz w:val="24"/>
        </w:rPr>
        <w:t>审计基金财产的会计师事务所</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名称：普华永道中天会计师事务所（特殊普通合伙）</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住所：上海市浦东新区陆家嘴环路1318号星展银行大厦6楼</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办公地址：上海市黄浦区湖滨路202号普华永道中心11楼</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法定代表人：李丹</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电话：（021）2323 8888</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传真：（021）2323 8800</w:t>
      </w:r>
    </w:p>
    <w:p w:rsidR="0089278D" w:rsidRPr="0089278D" w:rsidRDefault="0089278D" w:rsidP="0089278D">
      <w:pPr>
        <w:adjustRightInd w:val="0"/>
        <w:snapToGrid w:val="0"/>
        <w:spacing w:line="360" w:lineRule="auto"/>
        <w:ind w:firstLineChars="177" w:firstLine="425"/>
        <w:rPr>
          <w:rFonts w:ascii="宋体" w:hAnsi="宋体"/>
          <w:color w:val="000000"/>
          <w:kern w:val="0"/>
          <w:sz w:val="24"/>
        </w:rPr>
      </w:pPr>
      <w:r w:rsidRPr="0089278D">
        <w:rPr>
          <w:rFonts w:ascii="宋体" w:hAnsi="宋体" w:hint="eastAsia"/>
          <w:color w:val="000000"/>
          <w:kern w:val="0"/>
          <w:sz w:val="24"/>
        </w:rPr>
        <w:t>签字注册会计师：曹翠丽、边晓红</w:t>
      </w:r>
    </w:p>
    <w:p w:rsidR="0089278D" w:rsidRDefault="0089278D" w:rsidP="0089278D">
      <w:pPr>
        <w:adjustRightInd w:val="0"/>
        <w:snapToGrid w:val="0"/>
        <w:spacing w:line="360" w:lineRule="auto"/>
        <w:ind w:firstLineChars="177" w:firstLine="425"/>
        <w:rPr>
          <w:rFonts w:ascii="宋体" w:hAnsi="宋体"/>
          <w:color w:val="000000"/>
          <w:sz w:val="24"/>
        </w:rPr>
      </w:pPr>
      <w:r w:rsidRPr="0089278D">
        <w:rPr>
          <w:rFonts w:ascii="宋体" w:hAnsi="宋体" w:hint="eastAsia"/>
          <w:color w:val="000000"/>
          <w:kern w:val="0"/>
          <w:sz w:val="24"/>
        </w:rPr>
        <w:t>联系人：边晓红</w:t>
      </w:r>
    </w:p>
    <w:p w:rsidR="002C7B11" w:rsidRDefault="0089278D">
      <w:pPr>
        <w:pStyle w:val="1"/>
        <w:numPr>
          <w:ilvl w:val="0"/>
          <w:numId w:val="3"/>
        </w:numPr>
        <w:spacing w:before="100" w:after="120" w:line="579" w:lineRule="auto"/>
        <w:jc w:val="center"/>
        <w:rPr>
          <w:rFonts w:ascii="宋体" w:hAnsi="宋体"/>
          <w:color w:val="000000"/>
          <w:kern w:val="0"/>
          <w:sz w:val="24"/>
          <w:szCs w:val="24"/>
        </w:rPr>
      </w:pPr>
      <w:bookmarkStart w:id="12" w:name="_Toc482624795"/>
      <w:bookmarkStart w:id="13" w:name="_Toc256666915"/>
      <w:bookmarkStart w:id="14" w:name="_Toc256666795"/>
      <w:bookmarkStart w:id="15" w:name="_Toc28223"/>
      <w:r>
        <w:rPr>
          <w:rFonts w:ascii="宋体" w:hAnsi="宋体" w:hint="eastAsia"/>
          <w:color w:val="000000"/>
          <w:kern w:val="0"/>
          <w:sz w:val="24"/>
          <w:szCs w:val="24"/>
        </w:rPr>
        <w:t>基金的名称</w:t>
      </w:r>
    </w:p>
    <w:p w:rsidR="002C7B11" w:rsidRDefault="0089278D">
      <w:pPr>
        <w:ind w:firstLineChars="200" w:firstLine="480"/>
        <w:rPr>
          <w:rFonts w:ascii="宋体" w:hAnsi="宋体"/>
          <w:color w:val="000000"/>
          <w:kern w:val="0"/>
          <w:sz w:val="24"/>
        </w:rPr>
      </w:pPr>
      <w:r>
        <w:rPr>
          <w:rFonts w:ascii="宋体" w:hAnsi="宋体" w:hint="eastAsia"/>
          <w:color w:val="000000"/>
          <w:kern w:val="0"/>
          <w:sz w:val="24"/>
        </w:rPr>
        <w:t>基金的名称：</w:t>
      </w:r>
      <w:r w:rsidRPr="0089278D">
        <w:rPr>
          <w:rFonts w:ascii="宋体" w:hAnsi="宋体" w:hint="eastAsia"/>
          <w:color w:val="000000"/>
          <w:kern w:val="0"/>
          <w:sz w:val="24"/>
        </w:rPr>
        <w:t>富荣富祥纯债债券型证券投资基金</w:t>
      </w:r>
      <w:r>
        <w:rPr>
          <w:rFonts w:ascii="宋体" w:hAnsi="宋体" w:hint="eastAsia"/>
          <w:color w:val="000000"/>
          <w:kern w:val="0"/>
          <w:sz w:val="24"/>
        </w:rPr>
        <w:t>。</w:t>
      </w:r>
    </w:p>
    <w:p w:rsidR="002C7B11" w:rsidRDefault="002C7B11">
      <w:pPr>
        <w:ind w:firstLineChars="200" w:firstLine="480"/>
        <w:rPr>
          <w:rFonts w:ascii="宋体" w:hAnsi="宋体"/>
          <w:color w:val="000000"/>
          <w:kern w:val="0"/>
          <w:sz w:val="24"/>
        </w:rPr>
      </w:pPr>
    </w:p>
    <w:p w:rsidR="002C7B11" w:rsidRDefault="002C7B11"/>
    <w:p w:rsidR="002C7B11" w:rsidRDefault="0089278D">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rsidR="002C7B11" w:rsidRDefault="0089278D">
      <w:pPr>
        <w:ind w:firstLineChars="200" w:firstLine="480"/>
        <w:rPr>
          <w:rFonts w:ascii="宋体" w:hAnsi="宋体"/>
          <w:color w:val="000000"/>
          <w:kern w:val="0"/>
          <w:sz w:val="24"/>
        </w:rPr>
      </w:pPr>
      <w:r>
        <w:rPr>
          <w:rFonts w:ascii="宋体" w:hAnsi="宋体" w:hint="eastAsia"/>
          <w:color w:val="000000"/>
          <w:kern w:val="0"/>
          <w:sz w:val="24"/>
        </w:rPr>
        <w:t>基金的类型：</w:t>
      </w:r>
      <w:r w:rsidR="00C566A1" w:rsidRPr="00C566A1">
        <w:rPr>
          <w:rFonts w:ascii="宋体" w:hAnsi="宋体" w:hint="eastAsia"/>
          <w:color w:val="000000"/>
          <w:kern w:val="0"/>
          <w:sz w:val="24"/>
        </w:rPr>
        <w:t>债券型证券投资基金</w:t>
      </w:r>
      <w:r>
        <w:rPr>
          <w:rFonts w:ascii="宋体" w:hAnsi="宋体" w:hint="eastAsia"/>
          <w:color w:val="000000"/>
          <w:kern w:val="0"/>
          <w:sz w:val="24"/>
        </w:rPr>
        <w:t>。</w:t>
      </w:r>
    </w:p>
    <w:p w:rsidR="002C7B11" w:rsidRPr="00C566A1" w:rsidRDefault="002C7B11">
      <w:pPr>
        <w:pStyle w:val="22"/>
        <w:adjustRightInd w:val="0"/>
        <w:snapToGrid w:val="0"/>
        <w:spacing w:after="0" w:line="360" w:lineRule="auto"/>
        <w:ind w:firstLineChars="200" w:firstLine="480"/>
        <w:jc w:val="left"/>
        <w:rPr>
          <w:sz w:val="24"/>
        </w:rPr>
      </w:pPr>
      <w:bookmarkStart w:id="16" w:name="_Toc55791176"/>
      <w:bookmarkStart w:id="17" w:name="_Toc256666918"/>
      <w:bookmarkStart w:id="18" w:name="_Toc256666798"/>
      <w:bookmarkStart w:id="19" w:name="_Toc88969266"/>
      <w:bookmarkEnd w:id="12"/>
      <w:bookmarkEnd w:id="13"/>
      <w:bookmarkEnd w:id="14"/>
      <w:bookmarkEnd w:id="15"/>
    </w:p>
    <w:p w:rsidR="002C7B11" w:rsidRDefault="0089278D">
      <w:pPr>
        <w:pStyle w:val="1"/>
        <w:spacing w:beforeLines="50" w:before="120" w:afterLines="50" w:after="120" w:line="360" w:lineRule="auto"/>
        <w:ind w:firstLineChars="100" w:firstLine="241"/>
        <w:jc w:val="center"/>
        <w:rPr>
          <w:rFonts w:ascii="宋体" w:hAnsi="宋体"/>
          <w:color w:val="000000"/>
          <w:kern w:val="0"/>
          <w:sz w:val="24"/>
          <w:szCs w:val="24"/>
        </w:rPr>
      </w:pPr>
      <w:bookmarkStart w:id="20" w:name="_Toc482624798"/>
      <w:bookmarkStart w:id="21" w:name="_Toc23324"/>
      <w:r>
        <w:rPr>
          <w:rFonts w:ascii="宋体" w:hAnsi="宋体" w:hint="eastAsia"/>
          <w:color w:val="000000"/>
          <w:kern w:val="0"/>
          <w:sz w:val="24"/>
          <w:szCs w:val="24"/>
        </w:rPr>
        <w:lastRenderedPageBreak/>
        <w:t>六、基金的投资</w:t>
      </w:r>
      <w:bookmarkEnd w:id="20"/>
      <w:bookmarkEnd w:id="21"/>
    </w:p>
    <w:p w:rsidR="0089278D" w:rsidRPr="00963E6A" w:rsidRDefault="00963E6A" w:rsidP="00963E6A">
      <w:pPr>
        <w:spacing w:line="360" w:lineRule="auto"/>
        <w:ind w:firstLineChars="200" w:firstLine="480"/>
        <w:rPr>
          <w:rFonts w:ascii="Arial Unicode MS" w:hAnsi="Arial Unicode MS" w:cs="Arial"/>
          <w:bCs/>
          <w:sz w:val="24"/>
        </w:rPr>
      </w:pPr>
      <w:bookmarkStart w:id="22" w:name="_Toc88969271"/>
      <w:bookmarkStart w:id="23" w:name="_Toc256666799"/>
      <w:bookmarkStart w:id="24" w:name="_Toc256666919"/>
      <w:bookmarkEnd w:id="16"/>
      <w:bookmarkEnd w:id="17"/>
      <w:bookmarkEnd w:id="18"/>
      <w:bookmarkEnd w:id="19"/>
      <w:r w:rsidRPr="00963E6A">
        <w:rPr>
          <w:rFonts w:ascii="Arial Unicode MS" w:hAnsi="Arial Unicode MS" w:cs="Arial" w:hint="eastAsia"/>
          <w:bCs/>
          <w:sz w:val="24"/>
        </w:rPr>
        <w:t>（一）</w:t>
      </w:r>
      <w:r w:rsidR="0089278D" w:rsidRPr="00963E6A">
        <w:rPr>
          <w:rFonts w:ascii="Arial Unicode MS" w:hAnsi="Arial Unicode MS" w:cs="Arial"/>
          <w:bCs/>
          <w:sz w:val="24"/>
        </w:rPr>
        <w:t>投资目标</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在一定程度上控制组合净值波动率的前提下，力争长期内实现超越业绩比较基准的投资回报。</w:t>
      </w:r>
    </w:p>
    <w:p w:rsidR="0089278D" w:rsidRPr="00963E6A" w:rsidRDefault="00963E6A"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（二）</w:t>
      </w:r>
      <w:r w:rsidR="0089278D" w:rsidRPr="00963E6A">
        <w:rPr>
          <w:rFonts w:ascii="Arial Unicode MS" w:hAnsi="Arial Unicode MS" w:cs="Arial"/>
          <w:bCs/>
          <w:sz w:val="24"/>
        </w:rPr>
        <w:t>投资范围</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的投资范围主要为具有良好流动性的金融工具，包括国债、金融债、企业债、公司债、央行票据、中期票据、短期融资券、中小企业私募债券、资产支持证券、次级债、可分离交易可转债的纯债部分、债券回购、银行存款等法律法规或中国证监会允许基金投资的其他金融工具（但须符合中国证监会的相关规定）。</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本基金不投资于股票或权证，也不投资于可转换债券（可分离交易可转债的纯债部分除外）、可交换债券。</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基金的投资组合比例为：本基金对债券的投资比例不低于基金资产的</w:t>
      </w:r>
      <w:r w:rsidRPr="00963E6A">
        <w:rPr>
          <w:rFonts w:ascii="Arial Unicode MS" w:hAnsi="Arial Unicode MS" w:cs="Arial" w:hint="eastAsia"/>
          <w:bCs/>
          <w:sz w:val="24"/>
        </w:rPr>
        <w:t>80</w:t>
      </w:r>
      <w:r w:rsidRPr="00963E6A">
        <w:rPr>
          <w:rFonts w:ascii="Arial Unicode MS" w:hAnsi="Arial Unicode MS" w:cs="Arial" w:hint="eastAsia"/>
          <w:bCs/>
          <w:sz w:val="24"/>
        </w:rPr>
        <w:t>％；本基金持有现金或者到期日在一年以内的政府债券投资比例不低于基金资产净值的</w:t>
      </w:r>
      <w:r w:rsidRPr="00963E6A">
        <w:rPr>
          <w:rFonts w:ascii="Arial Unicode MS" w:hAnsi="Arial Unicode MS" w:cs="Arial" w:hint="eastAsia"/>
          <w:bCs/>
          <w:sz w:val="24"/>
        </w:rPr>
        <w:t>5%</w:t>
      </w:r>
      <w:r w:rsidRPr="00963E6A">
        <w:rPr>
          <w:rFonts w:ascii="Arial Unicode MS" w:hAnsi="Arial Unicode MS" w:cs="Arial" w:hint="eastAsia"/>
          <w:bCs/>
          <w:sz w:val="24"/>
        </w:rPr>
        <w:t>。</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如法律法规或监管机构以后允许基金投资的其他品种，基金管理人在履行适当程序后，可以将其纳入投资范围。</w:t>
      </w:r>
    </w:p>
    <w:p w:rsidR="0089278D" w:rsidRPr="00963E6A" w:rsidRDefault="00963E6A"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（三）</w:t>
      </w:r>
      <w:r w:rsidR="0089278D" w:rsidRPr="00963E6A">
        <w:rPr>
          <w:rFonts w:ascii="Arial Unicode MS" w:hAnsi="Arial Unicode MS" w:cs="Arial"/>
          <w:bCs/>
          <w:sz w:val="24"/>
        </w:rPr>
        <w:t>投资策略</w:t>
      </w:r>
    </w:p>
    <w:p w:rsidR="0089278D" w:rsidRPr="00963E6A" w:rsidRDefault="0089278D" w:rsidP="00963E6A">
      <w:pPr>
        <w:spacing w:line="360" w:lineRule="auto"/>
        <w:ind w:firstLineChars="200" w:firstLine="480"/>
        <w:rPr>
          <w:rFonts w:ascii="Arial Unicode MS" w:hAnsi="Arial Unicode MS" w:cs="Arial"/>
          <w:bCs/>
          <w:sz w:val="24"/>
        </w:rPr>
      </w:pPr>
      <w:bookmarkStart w:id="25" w:name="_Toc148867251"/>
      <w:bookmarkStart w:id="26" w:name="_Toc149105517"/>
      <w:bookmarkStart w:id="27" w:name="_Toc212891567"/>
      <w:r w:rsidRPr="00963E6A">
        <w:rPr>
          <w:rFonts w:ascii="Arial Unicode MS" w:hAnsi="Arial Unicode MS" w:cs="Arial" w:hint="eastAsia"/>
          <w:bCs/>
          <w:sz w:val="24"/>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个券挖掘策略等。</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首先，本组合宏观周期研究的基础上，决定整体组合的久期、杠杆率策略。</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一方面，本基金将分析众多的宏观经济变量（包括</w:t>
      </w:r>
      <w:r w:rsidRPr="00963E6A">
        <w:rPr>
          <w:rFonts w:ascii="Arial Unicode MS" w:hAnsi="Arial Unicode MS" w:cs="Arial" w:hint="eastAsia"/>
          <w:bCs/>
          <w:sz w:val="24"/>
        </w:rPr>
        <w:t>GDP</w:t>
      </w:r>
      <w:r w:rsidRPr="00963E6A">
        <w:rPr>
          <w:rFonts w:ascii="Arial Unicode MS" w:hAnsi="Arial Unicode MS" w:cs="Arial" w:hint="eastAsia"/>
          <w:bCs/>
          <w:sz w:val="24"/>
        </w:rPr>
        <w:t>增长率、</w:t>
      </w:r>
      <w:r w:rsidRPr="00963E6A">
        <w:rPr>
          <w:rFonts w:ascii="Arial Unicode MS" w:hAnsi="Arial Unicode MS" w:cs="Arial" w:hint="eastAsia"/>
          <w:bCs/>
          <w:sz w:val="24"/>
        </w:rPr>
        <w:t>CPI</w:t>
      </w:r>
      <w:r w:rsidRPr="00963E6A">
        <w:rPr>
          <w:rFonts w:ascii="Arial Unicode MS" w:hAnsi="Arial Unicode MS" w:cs="Arial" w:hint="eastAsia"/>
          <w:bCs/>
          <w:sz w:val="24"/>
        </w:rPr>
        <w:t>走势、</w:t>
      </w:r>
      <w:r w:rsidRPr="00963E6A">
        <w:rPr>
          <w:rFonts w:ascii="Arial Unicode MS" w:hAnsi="Arial Unicode MS" w:cs="Arial" w:hint="eastAsia"/>
          <w:bCs/>
          <w:sz w:val="24"/>
        </w:rPr>
        <w:t>M2</w:t>
      </w:r>
      <w:r w:rsidRPr="00963E6A">
        <w:rPr>
          <w:rFonts w:ascii="Arial Unicode MS" w:hAnsi="Arial Unicode MS" w:cs="Arial" w:hint="eastAsia"/>
          <w:bCs/>
          <w:sz w:val="24"/>
        </w:rPr>
        <w:t>的绝对水平和增长率、利率水平与走势等），并关注国家财政、税收、货币、</w:t>
      </w:r>
      <w:r w:rsidRPr="00963E6A">
        <w:rPr>
          <w:rFonts w:ascii="Arial Unicode MS" w:hAnsi="Arial Unicode MS" w:cs="Arial" w:hint="eastAsia"/>
          <w:bCs/>
          <w:sz w:val="24"/>
        </w:rPr>
        <w:lastRenderedPageBreak/>
        <w:t>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久期范围以及杠杆率水平。</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其次，本组合将在期限结构策略、行业轮动策略的基础上获得债券市场整体回报率，通过息差策略、个券挖掘策略获得超额收益。</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1</w:t>
      </w:r>
      <w:r w:rsidRPr="00963E6A">
        <w:rPr>
          <w:rFonts w:ascii="Arial Unicode MS" w:hAnsi="Arial Unicode MS" w:cs="Arial" w:hint="eastAsia"/>
          <w:bCs/>
          <w:sz w:val="24"/>
        </w:rPr>
        <w:t>、期限结构策略。通过预测收益率曲线的形状和变化趋势，对各类型债券进行久期配置；当收益率曲线走势难以判断时，参考基准指数的样本券久期构建组合久期，确保组合收益超过基准收益。具体来看，又分为跟踪收益率曲线的骑乘策略和基于收益率曲线变化的子弹策略、杠铃策略及梯式策略。</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1</w:t>
      </w:r>
      <w:r w:rsidRPr="00963E6A">
        <w:rPr>
          <w:rFonts w:ascii="Arial Unicode MS" w:hAnsi="Arial Unicode MS" w:cs="Arial" w:hint="eastAsia"/>
          <w:bCs/>
          <w:sz w:val="24"/>
        </w:rPr>
        <w:t>）骑乘策略是当收益率曲线比较陡峭时，也即相邻期限利差较大时，买入期限位于收益率曲线陡峭处的债券，通过债券的收益率的下滑，进而获得资本利得收益。</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2</w:t>
      </w:r>
      <w:r w:rsidRPr="00963E6A">
        <w:rPr>
          <w:rFonts w:ascii="Arial Unicode MS" w:hAnsi="Arial Unicode MS" w:cs="Arial" w:hint="eastAsia"/>
          <w:bCs/>
          <w:sz w:val="24"/>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2</w:t>
      </w:r>
      <w:r w:rsidRPr="00963E6A">
        <w:rPr>
          <w:rFonts w:ascii="Arial Unicode MS" w:hAnsi="Arial Unicode MS" w:cs="Arial" w:hint="eastAsia"/>
          <w:bCs/>
          <w:sz w:val="24"/>
        </w:rPr>
        <w:t>、行业配置策略。债券市场所涉及行业众多，同样宏观周期背景下不同行业的景气度的发生，本基金分别采用以下的分析策略：</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1</w:t>
      </w:r>
      <w:r w:rsidRPr="00963E6A">
        <w:rPr>
          <w:rFonts w:ascii="Arial Unicode MS" w:hAnsi="Arial Unicode MS" w:cs="Arial" w:hint="eastAsia"/>
          <w:bCs/>
          <w:sz w:val="24"/>
        </w:rPr>
        <w:t>）分散化投资：发行人涉及众多行业，本组合将保持在各行业配置比例上的分散化结构，避免过度集中配置在产业链高度相关的上中下游行业。</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2</w:t>
      </w:r>
      <w:r w:rsidRPr="00963E6A">
        <w:rPr>
          <w:rFonts w:ascii="Arial Unicode MS" w:hAnsi="Arial Unicode MS" w:cs="Arial" w:hint="eastAsia"/>
          <w:bCs/>
          <w:sz w:val="24"/>
        </w:rPr>
        <w:t>）行业投资：本组合将依据对下一阶段各行业景气度特征的研判，确定在下一阶段在各行业的配置比例，卖出景气度降低行业的债券，提前布局景气度提升行业的债券。</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3</w:t>
      </w:r>
      <w:r w:rsidRPr="00963E6A">
        <w:rPr>
          <w:rFonts w:ascii="Arial Unicode MS" w:hAnsi="Arial Unicode MS" w:cs="Arial" w:hint="eastAsia"/>
          <w:bCs/>
          <w:sz w:val="24"/>
        </w:rPr>
        <w:t>、息差策略。通过正回购，融资买入收益率高于回购成本的债券，从而获得</w:t>
      </w:r>
      <w:r w:rsidRPr="00963E6A">
        <w:rPr>
          <w:rFonts w:ascii="Arial Unicode MS" w:hAnsi="Arial Unicode MS" w:cs="Arial" w:hint="eastAsia"/>
          <w:bCs/>
          <w:sz w:val="24"/>
        </w:rPr>
        <w:lastRenderedPageBreak/>
        <w:t>杠杆放大收益。</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本组合将采取低杠杆、高流动性策略，适当运用杠杆息差方式来获取主动管理回报，选取具有较好流动性的债券作为杠杆买入品种，灵活控制杠杆组合仓位，降低组合波动率。</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4</w:t>
      </w:r>
      <w:r w:rsidRPr="00963E6A">
        <w:rPr>
          <w:rFonts w:ascii="Arial Unicode MS" w:hAnsi="Arial Unicode MS" w:cs="Arial" w:hint="eastAsia"/>
          <w:bCs/>
          <w:sz w:val="24"/>
        </w:rPr>
        <w:t>、</w:t>
      </w:r>
      <w:r w:rsidRPr="00963E6A">
        <w:rPr>
          <w:rFonts w:ascii="Arial Unicode MS" w:hAnsi="Arial Unicode MS" w:cs="Arial"/>
          <w:bCs/>
          <w:sz w:val="24"/>
        </w:rPr>
        <w:t>中小企业私募债策略</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针对中小企业私募债券，本基金以持有到期，获得本金和票息收入为主要投资策略，同时，密切关注债券的信用风险变化，力争在控制风险的前提下，获得较高收益。本基金投资中小企业私募债</w:t>
      </w:r>
      <w:r w:rsidRPr="00963E6A">
        <w:rPr>
          <w:rFonts w:ascii="Arial Unicode MS" w:hAnsi="Arial Unicode MS" w:cs="Arial" w:hint="eastAsia"/>
          <w:bCs/>
          <w:sz w:val="24"/>
        </w:rPr>
        <w:t>,</w:t>
      </w:r>
      <w:r w:rsidRPr="00963E6A">
        <w:rPr>
          <w:rFonts w:ascii="Arial Unicode MS" w:hAnsi="Arial Unicode MS" w:cs="Arial" w:hint="eastAsia"/>
          <w:bCs/>
          <w:sz w:val="24"/>
        </w:rPr>
        <w:t>基金管理人将根据审慎原则，制定严格的投资决策流程、风险控制制度和信用风险、流动性风险处置预案，并经董事会批准，以防范信用风险、流动性风险等各种风险。</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bCs/>
          <w:sz w:val="24"/>
        </w:rPr>
        <w:t>5</w:t>
      </w:r>
      <w:r w:rsidRPr="00963E6A">
        <w:rPr>
          <w:rFonts w:ascii="Arial Unicode MS" w:hAnsi="Arial Unicode MS" w:cs="Arial" w:hint="eastAsia"/>
          <w:bCs/>
          <w:sz w:val="24"/>
        </w:rPr>
        <w:t>、个券挖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p>
    <w:p w:rsidR="0089278D" w:rsidRPr="00963E6A" w:rsidRDefault="00963E6A"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（四）</w:t>
      </w:r>
      <w:r w:rsidR="0089278D" w:rsidRPr="00963E6A">
        <w:rPr>
          <w:rFonts w:ascii="Arial Unicode MS" w:hAnsi="Arial Unicode MS" w:cs="Arial" w:hint="eastAsia"/>
          <w:bCs/>
          <w:sz w:val="24"/>
        </w:rPr>
        <w:t>投资决策流程</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具体的投资流程为：</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1</w:t>
      </w:r>
      <w:r w:rsidRPr="00963E6A">
        <w:rPr>
          <w:rFonts w:ascii="Arial Unicode MS" w:hAnsi="Arial Unicode MS" w:cs="Arial" w:hint="eastAsia"/>
          <w:bCs/>
          <w:sz w:val="24"/>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2</w:t>
      </w:r>
      <w:r w:rsidRPr="00963E6A">
        <w:rPr>
          <w:rFonts w:ascii="Arial Unicode MS" w:hAnsi="Arial Unicode MS" w:cs="Arial" w:hint="eastAsia"/>
          <w:bCs/>
          <w:sz w:val="24"/>
        </w:rPr>
        <w:t>）固定收益部定期召开例会讨论固定收益产品投资方案和未来的行情判断，结合宏观经济、债券市场两方面研究结果确定下期的固定收益产品投资策略</w:t>
      </w:r>
      <w:r w:rsidRPr="00963E6A">
        <w:rPr>
          <w:rFonts w:ascii="Arial Unicode MS" w:hAnsi="Arial Unicode MS" w:cs="Arial" w:hint="eastAsia"/>
          <w:bCs/>
          <w:sz w:val="24"/>
        </w:rPr>
        <w:t>,</w:t>
      </w:r>
      <w:r w:rsidRPr="00963E6A">
        <w:rPr>
          <w:rFonts w:ascii="Arial Unicode MS" w:hAnsi="Arial Unicode MS" w:cs="Arial" w:hint="eastAsia"/>
          <w:bCs/>
          <w:sz w:val="24"/>
        </w:rPr>
        <w:t>并报投资决策委员会备案。</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3</w:t>
      </w:r>
      <w:r w:rsidRPr="00963E6A">
        <w:rPr>
          <w:rFonts w:ascii="Arial Unicode MS" w:hAnsi="Arial Unicode MS" w:cs="Arial" w:hint="eastAsia"/>
          <w:bCs/>
          <w:sz w:val="24"/>
        </w:rPr>
        <w:t>）基金经理负责执行投资方案。</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4</w:t>
      </w:r>
      <w:r w:rsidRPr="00963E6A">
        <w:rPr>
          <w:rFonts w:ascii="Arial Unicode MS" w:hAnsi="Arial Unicode MS" w:cs="Arial" w:hint="eastAsia"/>
          <w:bCs/>
          <w:sz w:val="24"/>
        </w:rPr>
        <w:t>）公司所管理的基金投资交易均采用集中交易制度。投资执行与投资决策严格分离，基金的所有证券买卖活动须通过交易部统一分配，集中交易完成。</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lastRenderedPageBreak/>
        <w:t>（</w:t>
      </w:r>
      <w:r w:rsidRPr="00963E6A">
        <w:rPr>
          <w:rFonts w:ascii="Arial Unicode MS" w:hAnsi="Arial Unicode MS" w:cs="Arial" w:hint="eastAsia"/>
          <w:bCs/>
          <w:sz w:val="24"/>
        </w:rPr>
        <w:t>5</w:t>
      </w:r>
      <w:r w:rsidRPr="00963E6A">
        <w:rPr>
          <w:rFonts w:ascii="Arial Unicode MS" w:hAnsi="Arial Unicode MS" w:cs="Arial" w:hint="eastAsia"/>
          <w:bCs/>
          <w:sz w:val="24"/>
        </w:rPr>
        <w:t>）基金经理根据市场变化在权限范围及时进行投资策略调整，超过投资权限的报投资决策委员会审议。</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投资合规性控制从以下方面展开：</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1</w:t>
      </w:r>
      <w:r w:rsidRPr="00963E6A">
        <w:rPr>
          <w:rFonts w:ascii="Arial Unicode MS" w:hAnsi="Arial Unicode MS" w:cs="Arial" w:hint="eastAsia"/>
          <w:bCs/>
          <w:sz w:val="24"/>
        </w:rPr>
        <w:t>）风险管理委员会：通过对基金投资的研究、决策、执行等，从制度上、操作程序上进行控制，保证公司管理基金投资的各项制度、措施、工作流程符合相关法律、法规和基金合同的要求。</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2</w:t>
      </w:r>
      <w:r w:rsidRPr="00963E6A">
        <w:rPr>
          <w:rFonts w:ascii="Arial Unicode MS" w:hAnsi="Arial Unicode MS" w:cs="Arial" w:hint="eastAsia"/>
          <w:bCs/>
          <w:sz w:val="24"/>
        </w:rPr>
        <w:t>）督察长：可列席公司投资决策委员会议，全程监控交易指令的执行情况，保证合规性控制的实施。</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3</w:t>
      </w:r>
      <w:r w:rsidRPr="00963E6A">
        <w:rPr>
          <w:rFonts w:ascii="Arial Unicode MS" w:hAnsi="Arial Unicode MS" w:cs="Arial" w:hint="eastAsia"/>
          <w:bCs/>
          <w:sz w:val="24"/>
        </w:rPr>
        <w:t>）监察稽核部：可对基金投资管理过程的各环节进行例行和专项稽核，根据授权察看基金的交易情况，确保投资决策和交易指令得到全面、准确的执行。</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4</w:t>
      </w:r>
      <w:r w:rsidRPr="00963E6A">
        <w:rPr>
          <w:rFonts w:ascii="Arial Unicode MS" w:hAnsi="Arial Unicode MS" w:cs="Arial" w:hint="eastAsia"/>
          <w:bCs/>
          <w:sz w:val="24"/>
        </w:rPr>
        <w:t>）交易部负责对投资指令进行审核，对日常交易行为实时监控。</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5</w:t>
      </w:r>
      <w:r w:rsidRPr="00963E6A">
        <w:rPr>
          <w:rFonts w:ascii="Arial Unicode MS" w:hAnsi="Arial Unicode MS" w:cs="Arial" w:hint="eastAsia"/>
          <w:bCs/>
          <w:sz w:val="24"/>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25"/>
    <w:bookmarkEnd w:id="26"/>
    <w:bookmarkEnd w:id="27"/>
    <w:p w:rsidR="0089278D" w:rsidRPr="00963E6A" w:rsidRDefault="00963E6A"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（五）</w:t>
      </w:r>
      <w:r w:rsidR="0089278D" w:rsidRPr="00963E6A">
        <w:rPr>
          <w:rFonts w:ascii="Arial Unicode MS" w:hAnsi="Arial Unicode MS" w:cs="Arial"/>
          <w:bCs/>
          <w:sz w:val="24"/>
        </w:rPr>
        <w:t>投资限制</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1</w:t>
      </w:r>
      <w:r w:rsidRPr="00963E6A">
        <w:rPr>
          <w:rFonts w:ascii="Arial Unicode MS" w:hAnsi="Arial Unicode MS" w:cs="Arial" w:hint="eastAsia"/>
          <w:bCs/>
          <w:sz w:val="24"/>
        </w:rPr>
        <w:t>、组合限制</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基金的投资组合应遵循以下限制：</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1</w:t>
      </w:r>
      <w:r w:rsidRPr="00963E6A">
        <w:rPr>
          <w:rFonts w:ascii="Arial Unicode MS" w:hAnsi="Arial Unicode MS" w:cs="Arial" w:hint="eastAsia"/>
          <w:bCs/>
          <w:sz w:val="24"/>
        </w:rPr>
        <w:t>）本基金对债券的投资比例不低于基金资产的</w:t>
      </w:r>
      <w:r w:rsidRPr="00963E6A">
        <w:rPr>
          <w:rFonts w:ascii="Arial Unicode MS" w:hAnsi="Arial Unicode MS" w:cs="Arial" w:hint="eastAsia"/>
          <w:bCs/>
          <w:sz w:val="24"/>
        </w:rPr>
        <w:t>80%</w:t>
      </w:r>
      <w:r w:rsidRPr="00963E6A">
        <w:rPr>
          <w:rFonts w:ascii="Arial Unicode MS" w:hAnsi="Arial Unicode MS" w:cs="Arial" w:hint="eastAsia"/>
          <w:bCs/>
          <w:sz w:val="24"/>
        </w:rPr>
        <w:t>；</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2</w:t>
      </w:r>
      <w:r w:rsidRPr="00963E6A">
        <w:rPr>
          <w:rFonts w:ascii="Arial Unicode MS" w:hAnsi="Arial Unicode MS" w:cs="Arial" w:hint="eastAsia"/>
          <w:bCs/>
          <w:sz w:val="24"/>
        </w:rPr>
        <w:t>）</w:t>
      </w:r>
      <w:r w:rsidRPr="00963E6A">
        <w:rPr>
          <w:rFonts w:ascii="Arial Unicode MS" w:hAnsi="Arial Unicode MS" w:cs="Arial"/>
          <w:bCs/>
          <w:sz w:val="24"/>
        </w:rPr>
        <w:t>本基金</w:t>
      </w:r>
      <w:r w:rsidRPr="00963E6A">
        <w:rPr>
          <w:rFonts w:ascii="Arial Unicode MS" w:hAnsi="Arial Unicode MS" w:cs="Arial" w:hint="eastAsia"/>
          <w:bCs/>
          <w:sz w:val="24"/>
        </w:rPr>
        <w:t>持有现金或者到期日在一年以内的政府债券投资比例合计不低于基金资产净值的</w:t>
      </w:r>
      <w:r w:rsidRPr="00963E6A">
        <w:rPr>
          <w:rFonts w:ascii="Arial Unicode MS" w:hAnsi="Arial Unicode MS" w:cs="Arial"/>
          <w:bCs/>
          <w:sz w:val="24"/>
        </w:rPr>
        <w:t>5%</w:t>
      </w:r>
      <w:r w:rsidRPr="00963E6A">
        <w:rPr>
          <w:rFonts w:ascii="Arial Unicode MS" w:hAnsi="Arial Unicode MS" w:cs="Arial" w:hint="eastAsia"/>
          <w:bCs/>
          <w:sz w:val="24"/>
        </w:rPr>
        <w:t>；</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bCs/>
          <w:sz w:val="24"/>
        </w:rPr>
        <w:t>（</w:t>
      </w:r>
      <w:r w:rsidRPr="00963E6A">
        <w:rPr>
          <w:rFonts w:ascii="Arial Unicode MS" w:hAnsi="Arial Unicode MS" w:cs="Arial" w:hint="eastAsia"/>
          <w:bCs/>
          <w:sz w:val="24"/>
        </w:rPr>
        <w:t>3</w:t>
      </w:r>
      <w:r w:rsidRPr="00963E6A">
        <w:rPr>
          <w:rFonts w:ascii="Arial Unicode MS" w:hAnsi="Arial Unicode MS" w:cs="Arial"/>
          <w:bCs/>
          <w:sz w:val="24"/>
        </w:rPr>
        <w:t>）本基金持有一家公司</w:t>
      </w:r>
      <w:r w:rsidRPr="00963E6A">
        <w:rPr>
          <w:rFonts w:ascii="Arial Unicode MS" w:hAnsi="Arial Unicode MS" w:cs="Arial" w:hint="eastAsia"/>
          <w:bCs/>
          <w:sz w:val="24"/>
        </w:rPr>
        <w:t>发行</w:t>
      </w:r>
      <w:r w:rsidRPr="00963E6A">
        <w:rPr>
          <w:rFonts w:ascii="Arial Unicode MS" w:hAnsi="Arial Unicode MS" w:cs="Arial"/>
          <w:bCs/>
          <w:sz w:val="24"/>
        </w:rPr>
        <w:t>的</w:t>
      </w:r>
      <w:r w:rsidRPr="00963E6A">
        <w:rPr>
          <w:rFonts w:ascii="Arial Unicode MS" w:hAnsi="Arial Unicode MS" w:cs="Arial" w:hint="eastAsia"/>
          <w:bCs/>
          <w:sz w:val="24"/>
        </w:rPr>
        <w:t>证券</w:t>
      </w:r>
      <w:r w:rsidRPr="00963E6A">
        <w:rPr>
          <w:rFonts w:ascii="Arial Unicode MS" w:hAnsi="Arial Unicode MS" w:cs="Arial"/>
          <w:bCs/>
          <w:sz w:val="24"/>
        </w:rPr>
        <w:t>，其市值不超过基金资产净值的</w:t>
      </w:r>
      <w:r w:rsidRPr="00963E6A">
        <w:rPr>
          <w:rFonts w:ascii="Arial Unicode MS" w:hAnsi="Arial Unicode MS" w:cs="Arial"/>
          <w:bCs/>
          <w:sz w:val="24"/>
        </w:rPr>
        <w:t>10</w:t>
      </w:r>
      <w:r w:rsidRPr="00963E6A">
        <w:rPr>
          <w:rFonts w:ascii="Arial Unicode MS" w:hAnsi="Arial Unicode MS" w:cs="Arial"/>
          <w:bCs/>
          <w:sz w:val="24"/>
        </w:rPr>
        <w:t>％；</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bCs/>
          <w:sz w:val="24"/>
        </w:rPr>
        <w:t>（</w:t>
      </w:r>
      <w:r w:rsidRPr="00963E6A">
        <w:rPr>
          <w:rFonts w:ascii="Arial Unicode MS" w:hAnsi="Arial Unicode MS" w:cs="Arial" w:hint="eastAsia"/>
          <w:bCs/>
          <w:sz w:val="24"/>
        </w:rPr>
        <w:t>4</w:t>
      </w:r>
      <w:r w:rsidRPr="00963E6A">
        <w:rPr>
          <w:rFonts w:ascii="Arial Unicode MS" w:hAnsi="Arial Unicode MS" w:cs="Arial"/>
          <w:bCs/>
          <w:sz w:val="24"/>
        </w:rPr>
        <w:t>）本基金管理人管理的全部基金持有一家公司发行的证券，不超过该证券</w:t>
      </w:r>
      <w:r w:rsidRPr="00963E6A">
        <w:rPr>
          <w:rFonts w:ascii="Arial Unicode MS" w:hAnsi="Arial Unicode MS" w:cs="Arial"/>
          <w:bCs/>
          <w:sz w:val="24"/>
        </w:rPr>
        <w:lastRenderedPageBreak/>
        <w:t>的</w:t>
      </w:r>
      <w:r w:rsidRPr="00963E6A">
        <w:rPr>
          <w:rFonts w:ascii="Arial Unicode MS" w:hAnsi="Arial Unicode MS" w:cs="Arial"/>
          <w:bCs/>
          <w:sz w:val="24"/>
        </w:rPr>
        <w:t>10</w:t>
      </w:r>
      <w:r w:rsidRPr="00963E6A">
        <w:rPr>
          <w:rFonts w:ascii="Arial Unicode MS" w:hAnsi="Arial Unicode MS" w:cs="Arial"/>
          <w:bCs/>
          <w:sz w:val="24"/>
        </w:rPr>
        <w:t>％；</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5</w:t>
      </w:r>
      <w:r w:rsidRPr="00963E6A">
        <w:rPr>
          <w:rFonts w:ascii="Arial Unicode MS" w:hAnsi="Arial Unicode MS" w:cs="Arial" w:hint="eastAsia"/>
          <w:bCs/>
          <w:sz w:val="24"/>
        </w:rPr>
        <w:t>）本基金进入全国银行间同业市场进行债券回购的资金余额不得超过基金资产净值的</w:t>
      </w:r>
      <w:r w:rsidRPr="00963E6A">
        <w:rPr>
          <w:rFonts w:ascii="Arial Unicode MS" w:hAnsi="Arial Unicode MS" w:cs="Arial" w:hint="eastAsia"/>
          <w:bCs/>
          <w:sz w:val="24"/>
        </w:rPr>
        <w:t>40%</w:t>
      </w:r>
      <w:r w:rsidRPr="00963E6A">
        <w:rPr>
          <w:rFonts w:ascii="Arial Unicode MS" w:hAnsi="Arial Unicode MS" w:cs="Arial" w:hint="eastAsia"/>
          <w:bCs/>
          <w:sz w:val="24"/>
        </w:rPr>
        <w:t>，在全国银行间同业市场中的债券回购最长期限为</w:t>
      </w:r>
      <w:r w:rsidRPr="00963E6A">
        <w:rPr>
          <w:rFonts w:ascii="Arial Unicode MS" w:hAnsi="Arial Unicode MS" w:cs="Arial" w:hint="eastAsia"/>
          <w:bCs/>
          <w:sz w:val="24"/>
        </w:rPr>
        <w:t>1</w:t>
      </w:r>
      <w:r w:rsidRPr="00963E6A">
        <w:rPr>
          <w:rFonts w:ascii="Arial Unicode MS" w:hAnsi="Arial Unicode MS" w:cs="Arial" w:hint="eastAsia"/>
          <w:bCs/>
          <w:sz w:val="24"/>
        </w:rPr>
        <w:t>年，债券回购到期后不展期；</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6</w:t>
      </w:r>
      <w:r w:rsidRPr="00963E6A">
        <w:rPr>
          <w:rFonts w:ascii="Arial Unicode MS" w:hAnsi="Arial Unicode MS" w:cs="Arial" w:hint="eastAsia"/>
          <w:bCs/>
          <w:sz w:val="24"/>
        </w:rPr>
        <w:t>）本基金投资于同一原始权益人的各类资产支持证券的比例，不得超过基金资产净值的</w:t>
      </w:r>
      <w:r w:rsidRPr="00963E6A">
        <w:rPr>
          <w:rFonts w:ascii="Arial Unicode MS" w:hAnsi="Arial Unicode MS" w:cs="Arial" w:hint="eastAsia"/>
          <w:bCs/>
          <w:sz w:val="24"/>
        </w:rPr>
        <w:t>10</w:t>
      </w:r>
      <w:r w:rsidRPr="00963E6A">
        <w:rPr>
          <w:rFonts w:ascii="Arial Unicode MS" w:hAnsi="Arial Unicode MS" w:cs="Arial" w:hint="eastAsia"/>
          <w:bCs/>
          <w:sz w:val="24"/>
        </w:rPr>
        <w:t>％；</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7</w:t>
      </w:r>
      <w:r w:rsidRPr="00963E6A">
        <w:rPr>
          <w:rFonts w:ascii="Arial Unicode MS" w:hAnsi="Arial Unicode MS" w:cs="Arial" w:hint="eastAsia"/>
          <w:bCs/>
          <w:sz w:val="24"/>
        </w:rPr>
        <w:t>）本基金持有的全部资产支持证券，其市值不得超过基金资产净值的</w:t>
      </w:r>
      <w:r w:rsidRPr="00963E6A">
        <w:rPr>
          <w:rFonts w:ascii="Arial Unicode MS" w:hAnsi="Arial Unicode MS" w:cs="Arial" w:hint="eastAsia"/>
          <w:bCs/>
          <w:sz w:val="24"/>
        </w:rPr>
        <w:t>20</w:t>
      </w:r>
      <w:r w:rsidRPr="00963E6A">
        <w:rPr>
          <w:rFonts w:ascii="Arial Unicode MS" w:hAnsi="Arial Unicode MS" w:cs="Arial" w:hint="eastAsia"/>
          <w:bCs/>
          <w:sz w:val="24"/>
        </w:rPr>
        <w:t>％；</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8</w:t>
      </w:r>
      <w:r w:rsidRPr="00963E6A">
        <w:rPr>
          <w:rFonts w:ascii="Arial Unicode MS" w:hAnsi="Arial Unicode MS" w:cs="Arial" w:hint="eastAsia"/>
          <w:bCs/>
          <w:sz w:val="24"/>
        </w:rPr>
        <w:t>）本基金持有的同一</w:t>
      </w:r>
      <w:r w:rsidRPr="00963E6A">
        <w:rPr>
          <w:rFonts w:ascii="Arial Unicode MS" w:hAnsi="Arial Unicode MS" w:cs="Arial"/>
          <w:bCs/>
          <w:sz w:val="24"/>
        </w:rPr>
        <w:t>(</w:t>
      </w:r>
      <w:r w:rsidRPr="00963E6A">
        <w:rPr>
          <w:rFonts w:ascii="Arial Unicode MS" w:hAnsi="Arial Unicode MS" w:cs="Arial" w:hint="eastAsia"/>
          <w:bCs/>
          <w:sz w:val="24"/>
        </w:rPr>
        <w:t>指同一信用级别</w:t>
      </w:r>
      <w:r w:rsidRPr="00963E6A">
        <w:rPr>
          <w:rFonts w:ascii="Arial Unicode MS" w:hAnsi="Arial Unicode MS" w:cs="Arial"/>
          <w:bCs/>
          <w:sz w:val="24"/>
        </w:rPr>
        <w:t>)</w:t>
      </w:r>
      <w:r w:rsidRPr="00963E6A">
        <w:rPr>
          <w:rFonts w:ascii="Arial Unicode MS" w:hAnsi="Arial Unicode MS" w:cs="Arial" w:hint="eastAsia"/>
          <w:bCs/>
          <w:sz w:val="24"/>
        </w:rPr>
        <w:t>资产支持证券的比例，不得超过该资产支持证券规模的</w:t>
      </w:r>
      <w:r w:rsidRPr="00963E6A">
        <w:rPr>
          <w:rFonts w:ascii="Arial Unicode MS" w:hAnsi="Arial Unicode MS" w:cs="Arial"/>
          <w:bCs/>
          <w:sz w:val="24"/>
        </w:rPr>
        <w:t>10</w:t>
      </w:r>
      <w:r w:rsidRPr="00963E6A">
        <w:rPr>
          <w:rFonts w:ascii="Arial Unicode MS" w:hAnsi="Arial Unicode MS" w:cs="Arial" w:hint="eastAsia"/>
          <w:bCs/>
          <w:sz w:val="24"/>
        </w:rPr>
        <w:t>％；</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9</w:t>
      </w:r>
      <w:r w:rsidRPr="00963E6A">
        <w:rPr>
          <w:rFonts w:ascii="Arial Unicode MS" w:hAnsi="Arial Unicode MS" w:cs="Arial" w:hint="eastAsia"/>
          <w:bCs/>
          <w:sz w:val="24"/>
        </w:rPr>
        <w:t>）本基金管理人管理的全部基金投资于同一原始权益人的各类资产支持证券，不得超过其各类资产支持证券合计规模的</w:t>
      </w:r>
      <w:r w:rsidRPr="00963E6A">
        <w:rPr>
          <w:rFonts w:ascii="Arial Unicode MS" w:hAnsi="Arial Unicode MS" w:cs="Arial" w:hint="eastAsia"/>
          <w:bCs/>
          <w:sz w:val="24"/>
        </w:rPr>
        <w:t>10</w:t>
      </w:r>
      <w:r w:rsidRPr="00963E6A">
        <w:rPr>
          <w:rFonts w:ascii="Arial Unicode MS" w:hAnsi="Arial Unicode MS" w:cs="Arial" w:hint="eastAsia"/>
          <w:bCs/>
          <w:sz w:val="24"/>
        </w:rPr>
        <w:t>％；</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10</w:t>
      </w:r>
      <w:r w:rsidRPr="00963E6A">
        <w:rPr>
          <w:rFonts w:ascii="Arial Unicode MS" w:hAnsi="Arial Unicode MS" w:cs="Arial" w:hint="eastAsia"/>
          <w:bCs/>
          <w:sz w:val="24"/>
        </w:rPr>
        <w:t>）本基金应投资于信用级别评级为</w:t>
      </w:r>
      <w:r w:rsidRPr="00963E6A">
        <w:rPr>
          <w:rFonts w:ascii="Arial Unicode MS" w:hAnsi="Arial Unicode MS" w:cs="Arial" w:hint="eastAsia"/>
          <w:bCs/>
          <w:sz w:val="24"/>
        </w:rPr>
        <w:t>BBB</w:t>
      </w:r>
      <w:r w:rsidRPr="00963E6A">
        <w:rPr>
          <w:rFonts w:ascii="Arial Unicode MS" w:hAnsi="Arial Unicode MS" w:cs="Arial" w:hint="eastAsia"/>
          <w:bCs/>
          <w:sz w:val="24"/>
        </w:rPr>
        <w:t>以上</w:t>
      </w:r>
      <w:r w:rsidRPr="00963E6A">
        <w:rPr>
          <w:rFonts w:ascii="Arial Unicode MS" w:hAnsi="Arial Unicode MS" w:cs="Arial" w:hint="eastAsia"/>
          <w:bCs/>
          <w:sz w:val="24"/>
        </w:rPr>
        <w:t>(</w:t>
      </w:r>
      <w:r w:rsidRPr="00963E6A">
        <w:rPr>
          <w:rFonts w:ascii="Arial Unicode MS" w:hAnsi="Arial Unicode MS" w:cs="Arial" w:hint="eastAsia"/>
          <w:bCs/>
          <w:sz w:val="24"/>
        </w:rPr>
        <w:t>含</w:t>
      </w:r>
      <w:r w:rsidRPr="00963E6A">
        <w:rPr>
          <w:rFonts w:ascii="Arial Unicode MS" w:hAnsi="Arial Unicode MS" w:cs="Arial" w:hint="eastAsia"/>
          <w:bCs/>
          <w:sz w:val="24"/>
        </w:rPr>
        <w:t>BBB)</w:t>
      </w:r>
      <w:r w:rsidRPr="00963E6A">
        <w:rPr>
          <w:rFonts w:ascii="Arial Unicode MS" w:hAnsi="Arial Unicode MS" w:cs="Arial" w:hint="eastAsia"/>
          <w:bCs/>
          <w:sz w:val="24"/>
        </w:rPr>
        <w:t>的资产支持证券。基金持有资产支持证券期间，如果其信用等级下降、不再符合投资标准，应在评级报告发布之日起</w:t>
      </w:r>
      <w:r w:rsidRPr="00963E6A">
        <w:rPr>
          <w:rFonts w:ascii="Arial Unicode MS" w:hAnsi="Arial Unicode MS" w:cs="Arial" w:hint="eastAsia"/>
          <w:bCs/>
          <w:sz w:val="24"/>
        </w:rPr>
        <w:t>3</w:t>
      </w:r>
      <w:r w:rsidRPr="00963E6A">
        <w:rPr>
          <w:rFonts w:ascii="Arial Unicode MS" w:hAnsi="Arial Unicode MS" w:cs="Arial" w:hint="eastAsia"/>
          <w:bCs/>
          <w:sz w:val="24"/>
        </w:rPr>
        <w:t>个月内予以全部卖出；</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11</w:t>
      </w:r>
      <w:r w:rsidRPr="00963E6A">
        <w:rPr>
          <w:rFonts w:ascii="Arial Unicode MS" w:hAnsi="Arial Unicode MS" w:cs="Arial" w:hint="eastAsia"/>
          <w:bCs/>
          <w:sz w:val="24"/>
        </w:rPr>
        <w:t>）本基金投资于中小企业私募债券比例合计不高于基金资产净值的</w:t>
      </w:r>
      <w:r w:rsidRPr="00963E6A">
        <w:rPr>
          <w:rFonts w:ascii="Arial Unicode MS" w:hAnsi="Arial Unicode MS" w:cs="Arial" w:hint="eastAsia"/>
          <w:bCs/>
          <w:sz w:val="24"/>
        </w:rPr>
        <w:t>10%</w:t>
      </w:r>
      <w:r w:rsidRPr="00963E6A">
        <w:rPr>
          <w:rFonts w:ascii="Arial Unicode MS" w:hAnsi="Arial Unicode MS" w:cs="Arial" w:hint="eastAsia"/>
          <w:bCs/>
          <w:sz w:val="24"/>
        </w:rPr>
        <w:t>；</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12</w:t>
      </w:r>
      <w:r w:rsidRPr="00963E6A">
        <w:rPr>
          <w:rFonts w:ascii="Arial Unicode MS" w:hAnsi="Arial Unicode MS" w:cs="Arial" w:hint="eastAsia"/>
          <w:bCs/>
          <w:sz w:val="24"/>
        </w:rPr>
        <w:t>）基金资产总值不得超过基金资产净值的</w:t>
      </w:r>
      <w:r w:rsidRPr="00963E6A">
        <w:rPr>
          <w:rFonts w:ascii="Arial Unicode MS" w:hAnsi="Arial Unicode MS" w:cs="Arial" w:hint="eastAsia"/>
          <w:bCs/>
          <w:sz w:val="24"/>
        </w:rPr>
        <w:t>140%</w:t>
      </w:r>
      <w:r w:rsidRPr="00963E6A">
        <w:rPr>
          <w:rFonts w:ascii="Arial Unicode MS" w:hAnsi="Arial Unicode MS" w:cs="Arial" w:hint="eastAsia"/>
          <w:bCs/>
          <w:sz w:val="24"/>
        </w:rPr>
        <w:t>；</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13</w:t>
      </w:r>
      <w:r w:rsidRPr="00963E6A">
        <w:rPr>
          <w:rFonts w:ascii="Arial Unicode MS" w:hAnsi="Arial Unicode MS" w:cs="Arial"/>
          <w:bCs/>
          <w:sz w:val="24"/>
        </w:rPr>
        <w:t>）</w:t>
      </w:r>
      <w:r w:rsidRPr="00963E6A">
        <w:rPr>
          <w:rFonts w:ascii="Arial Unicode MS" w:hAnsi="Arial Unicode MS" w:cs="Arial" w:hint="eastAsia"/>
          <w:bCs/>
          <w:sz w:val="24"/>
        </w:rPr>
        <w:t>法律法规及中国证监会规定的和《基金合同》约定的其他投资限制。</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除上述第（</w:t>
      </w:r>
      <w:r w:rsidRPr="00963E6A">
        <w:rPr>
          <w:rFonts w:ascii="Arial Unicode MS" w:hAnsi="Arial Unicode MS" w:cs="Arial" w:hint="eastAsia"/>
          <w:bCs/>
          <w:sz w:val="24"/>
        </w:rPr>
        <w:t>10</w:t>
      </w:r>
      <w:r w:rsidRPr="00963E6A">
        <w:rPr>
          <w:rFonts w:ascii="Arial Unicode MS" w:hAnsi="Arial Unicode MS" w:cs="Arial" w:hint="eastAsia"/>
          <w:bCs/>
          <w:sz w:val="24"/>
        </w:rPr>
        <w:t>）条外，因证券市场波动、证券发行人合并、基金规模变动等基金管理人之外的因素致使基金投资比例不符合上述规定投资比例的，基金管理人应当在</w:t>
      </w:r>
      <w:r w:rsidRPr="00963E6A">
        <w:rPr>
          <w:rFonts w:ascii="Arial Unicode MS" w:hAnsi="Arial Unicode MS" w:cs="Arial" w:hint="eastAsia"/>
          <w:bCs/>
          <w:sz w:val="24"/>
        </w:rPr>
        <w:t>10</w:t>
      </w:r>
      <w:r w:rsidRPr="00963E6A">
        <w:rPr>
          <w:rFonts w:ascii="Arial Unicode MS" w:hAnsi="Arial Unicode MS" w:cs="Arial" w:hint="eastAsia"/>
          <w:bCs/>
          <w:sz w:val="24"/>
        </w:rPr>
        <w:t>个交易日内进行调整，但中国证监会规定的特殊情形除外。</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基金管理人应当自基金合同生效之日起</w:t>
      </w:r>
      <w:r w:rsidRPr="00963E6A">
        <w:rPr>
          <w:rFonts w:ascii="Arial Unicode MS" w:hAnsi="Arial Unicode MS" w:cs="Arial" w:hint="eastAsia"/>
          <w:bCs/>
          <w:sz w:val="24"/>
        </w:rPr>
        <w:t>6</w:t>
      </w:r>
      <w:r w:rsidRPr="00963E6A">
        <w:rPr>
          <w:rFonts w:ascii="Arial Unicode MS" w:hAnsi="Arial Unicode MS" w:cs="Arial" w:hint="eastAsia"/>
          <w:bCs/>
          <w:sz w:val="24"/>
        </w:rPr>
        <w:t>个月内使基金的投资组合比例符合基</w:t>
      </w:r>
      <w:r w:rsidRPr="00963E6A">
        <w:rPr>
          <w:rFonts w:ascii="Arial Unicode MS" w:hAnsi="Arial Unicode MS" w:cs="Arial" w:hint="eastAsia"/>
          <w:bCs/>
          <w:sz w:val="24"/>
        </w:rPr>
        <w:lastRenderedPageBreak/>
        <w:t>金合同的有关约定。在上述期间内，本基金的投资范围、投资策略应当符合基金合同的约定。基金托管人对基金的投资的监督与检查自基金合同生效之日起开始。</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法律法规或监管部门取消或调整上述限制，如适用于本基金，基金管理人在履行适当程序后，则本基金投资不再受相关限制或按调整后的规定执行。</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2</w:t>
      </w:r>
      <w:r w:rsidRPr="00963E6A">
        <w:rPr>
          <w:rFonts w:ascii="Arial Unicode MS" w:hAnsi="Arial Unicode MS" w:cs="Arial" w:hint="eastAsia"/>
          <w:bCs/>
          <w:sz w:val="24"/>
        </w:rPr>
        <w:t>、禁止行为</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为维护基金份额持有人的合法权益，基金财产不得用于下列投资或者活动：</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1</w:t>
      </w:r>
      <w:r w:rsidRPr="00963E6A">
        <w:rPr>
          <w:rFonts w:ascii="Arial Unicode MS" w:hAnsi="Arial Unicode MS" w:cs="Arial" w:hint="eastAsia"/>
          <w:bCs/>
          <w:sz w:val="24"/>
        </w:rPr>
        <w:t>）承销证券；</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2</w:t>
      </w:r>
      <w:r w:rsidRPr="00963E6A">
        <w:rPr>
          <w:rFonts w:ascii="Arial Unicode MS" w:hAnsi="Arial Unicode MS" w:cs="Arial" w:hint="eastAsia"/>
          <w:bCs/>
          <w:sz w:val="24"/>
        </w:rPr>
        <w:t>）违反规定向他人贷款或者提供担保；</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3</w:t>
      </w:r>
      <w:r w:rsidRPr="00963E6A">
        <w:rPr>
          <w:rFonts w:ascii="Arial Unicode MS" w:hAnsi="Arial Unicode MS" w:cs="Arial" w:hint="eastAsia"/>
          <w:bCs/>
          <w:sz w:val="24"/>
        </w:rPr>
        <w:t>）从事承担无限责任的投资；</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4</w:t>
      </w:r>
      <w:r w:rsidRPr="00963E6A">
        <w:rPr>
          <w:rFonts w:ascii="Arial Unicode MS" w:hAnsi="Arial Unicode MS" w:cs="Arial" w:hint="eastAsia"/>
          <w:bCs/>
          <w:sz w:val="24"/>
        </w:rPr>
        <w:t>）买卖其他基金份额，但是中国证监会另有规定的除外；</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5</w:t>
      </w:r>
      <w:r w:rsidRPr="00963E6A">
        <w:rPr>
          <w:rFonts w:ascii="Arial Unicode MS" w:hAnsi="Arial Unicode MS" w:cs="Arial" w:hint="eastAsia"/>
          <w:bCs/>
          <w:sz w:val="24"/>
        </w:rPr>
        <w:t>）向其基金管理人、基金托管人出资；</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6</w:t>
      </w:r>
      <w:r w:rsidRPr="00963E6A">
        <w:rPr>
          <w:rFonts w:ascii="Arial Unicode MS" w:hAnsi="Arial Unicode MS" w:cs="Arial" w:hint="eastAsia"/>
          <w:bCs/>
          <w:sz w:val="24"/>
        </w:rPr>
        <w:t>）从事内幕交易、操纵证券交易价格及其他不正当的证券交易活动；</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7</w:t>
      </w:r>
      <w:r w:rsidRPr="00963E6A">
        <w:rPr>
          <w:rFonts w:ascii="Arial Unicode MS" w:hAnsi="Arial Unicode MS" w:cs="Arial" w:hint="eastAsia"/>
          <w:bCs/>
          <w:sz w:val="24"/>
        </w:rPr>
        <w:t>）法律、行政法规和中国证监会规定禁止的其他活动。</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法律、行政法规或监管部门取消或变更上述禁止性规定，如适用于本基金，基金管理人在履行适当程序后，则本基金投资不再受相关限制或按变更后的规定执行。</w:t>
      </w:r>
    </w:p>
    <w:p w:rsidR="0089278D" w:rsidRPr="00963E6A" w:rsidRDefault="00963E6A"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（六）</w:t>
      </w:r>
      <w:r w:rsidR="0089278D" w:rsidRPr="00963E6A">
        <w:rPr>
          <w:rFonts w:ascii="Arial Unicode MS" w:hAnsi="Arial Unicode MS" w:cs="Arial"/>
          <w:bCs/>
          <w:sz w:val="24"/>
        </w:rPr>
        <w:t>业绩比较基准</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本基金的业绩比较基准为：中债综合指数（总财富）收益率×</w:t>
      </w:r>
      <w:r w:rsidRPr="00963E6A">
        <w:rPr>
          <w:rFonts w:ascii="Arial Unicode MS" w:hAnsi="Arial Unicode MS" w:cs="Arial" w:hint="eastAsia"/>
          <w:bCs/>
          <w:sz w:val="24"/>
        </w:rPr>
        <w:t>90%+1</w:t>
      </w:r>
      <w:r w:rsidRPr="00963E6A">
        <w:rPr>
          <w:rFonts w:ascii="Arial Unicode MS" w:hAnsi="Arial Unicode MS" w:cs="Arial" w:hint="eastAsia"/>
          <w:bCs/>
          <w:sz w:val="24"/>
        </w:rPr>
        <w:t>年期定期</w:t>
      </w:r>
      <w:r w:rsidRPr="00963E6A">
        <w:rPr>
          <w:rFonts w:ascii="Arial Unicode MS" w:hAnsi="Arial Unicode MS" w:cs="Arial" w:hint="eastAsia"/>
          <w:bCs/>
          <w:sz w:val="24"/>
        </w:rPr>
        <w:lastRenderedPageBreak/>
        <w:t>存款利率（税后）×</w:t>
      </w:r>
      <w:r w:rsidRPr="00963E6A">
        <w:rPr>
          <w:rFonts w:ascii="Arial Unicode MS" w:hAnsi="Arial Unicode MS" w:cs="Arial" w:hint="eastAsia"/>
          <w:bCs/>
          <w:sz w:val="24"/>
        </w:rPr>
        <w:t>10%</w:t>
      </w:r>
      <w:r w:rsidRPr="00963E6A">
        <w:rPr>
          <w:rFonts w:ascii="Arial Unicode MS" w:hAnsi="Arial Unicode MS" w:cs="Arial" w:hint="eastAsia"/>
          <w:bCs/>
          <w:sz w:val="24"/>
        </w:rPr>
        <w:t>。</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选择上述业绩比较基准的原因为本基金是通过债券资产的配置和个券的选择来增强债券投资的收益。中债综合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963E6A">
        <w:rPr>
          <w:rFonts w:ascii="Arial Unicode MS" w:hAnsi="Arial Unicode MS" w:cs="Arial" w:hint="eastAsia"/>
          <w:bCs/>
          <w:sz w:val="24"/>
        </w:rPr>
        <w:t>80%</w:t>
      </w:r>
      <w:r w:rsidRPr="00963E6A">
        <w:rPr>
          <w:rFonts w:ascii="Arial Unicode MS" w:hAnsi="Arial Unicode MS" w:cs="Arial" w:hint="eastAsia"/>
          <w:bCs/>
          <w:sz w:val="24"/>
        </w:rPr>
        <w:t>，持有现金或者到期日在一年以内的政府债券不低于基金资产净值的</w:t>
      </w:r>
      <w:r w:rsidRPr="00963E6A">
        <w:rPr>
          <w:rFonts w:ascii="Arial Unicode MS" w:hAnsi="Arial Unicode MS" w:cs="Arial" w:hint="eastAsia"/>
          <w:bCs/>
          <w:sz w:val="24"/>
        </w:rPr>
        <w:t>5%</w:t>
      </w:r>
      <w:r w:rsidRPr="00963E6A">
        <w:rPr>
          <w:rFonts w:ascii="Arial Unicode MS" w:hAnsi="Arial Unicode MS" w:cs="Arial" w:hint="eastAsia"/>
          <w:bCs/>
          <w:sz w:val="24"/>
        </w:rPr>
        <w:t>，采用</w:t>
      </w:r>
      <w:r w:rsidRPr="00963E6A">
        <w:rPr>
          <w:rFonts w:ascii="Arial Unicode MS" w:hAnsi="Arial Unicode MS" w:cs="Arial" w:hint="eastAsia"/>
          <w:bCs/>
          <w:sz w:val="24"/>
        </w:rPr>
        <w:t>90%</w:t>
      </w:r>
      <w:r w:rsidRPr="00963E6A">
        <w:rPr>
          <w:rFonts w:ascii="Arial Unicode MS" w:hAnsi="Arial Unicode MS" w:cs="Arial" w:hint="eastAsia"/>
          <w:bCs/>
          <w:sz w:val="24"/>
        </w:rPr>
        <w:t>作为业绩比较基准中债券投资所代表的权重，</w:t>
      </w:r>
      <w:r w:rsidRPr="00963E6A">
        <w:rPr>
          <w:rFonts w:ascii="Arial Unicode MS" w:hAnsi="Arial Unicode MS" w:cs="Arial" w:hint="eastAsia"/>
          <w:bCs/>
          <w:sz w:val="24"/>
        </w:rPr>
        <w:t>10%</w:t>
      </w:r>
      <w:r w:rsidRPr="00963E6A">
        <w:rPr>
          <w:rFonts w:ascii="Arial Unicode MS" w:hAnsi="Arial Unicode MS" w:cs="Arial" w:hint="eastAsia"/>
          <w:bCs/>
          <w:sz w:val="24"/>
        </w:rPr>
        <w:t>乘以</w:t>
      </w:r>
      <w:r w:rsidRPr="00963E6A">
        <w:rPr>
          <w:rFonts w:ascii="Arial Unicode MS" w:hAnsi="Arial Unicode MS" w:cs="Arial" w:hint="eastAsia"/>
          <w:bCs/>
          <w:sz w:val="24"/>
        </w:rPr>
        <w:t>1</w:t>
      </w:r>
      <w:r w:rsidRPr="00963E6A">
        <w:rPr>
          <w:rFonts w:ascii="Arial Unicode MS" w:hAnsi="Arial Unicode MS" w:cs="Arial" w:hint="eastAsia"/>
          <w:bCs/>
          <w:sz w:val="24"/>
        </w:rPr>
        <w:t>年定期银行存款利率（税后）作为资产所对应的权重可以较好的反映本基金的风险收益特征。</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若未来法律法规发生变化，或者有更权威的、更能为市场普遍接受的业绩比较基准推出，或者市场发生变化导致本业绩比较基准不再适用，本基金管理人可以依据维护投资者合法权益的原则，在与基金托管人协商一致并报中国证监会备案后，适当调整业绩比较基准并及时公告，而无需召开基金份额持有人大会。</w:t>
      </w:r>
    </w:p>
    <w:p w:rsidR="0089278D" w:rsidRPr="00963E6A" w:rsidRDefault="00963E6A"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（七）</w:t>
      </w:r>
      <w:r w:rsidR="0089278D" w:rsidRPr="00963E6A">
        <w:rPr>
          <w:rFonts w:ascii="Arial Unicode MS" w:hAnsi="Arial Unicode MS" w:cs="Arial"/>
          <w:bCs/>
          <w:sz w:val="24"/>
        </w:rPr>
        <w:t>风险收益特征</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本基金为债券型基金，预期收益和预期风险高于货币市场基金，但低于混合型基金、股票型基金，属于证券投资基金中的中低风险品种。</w:t>
      </w:r>
    </w:p>
    <w:p w:rsidR="0089278D" w:rsidRPr="00963E6A" w:rsidRDefault="00963E6A"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（八）</w:t>
      </w:r>
      <w:r w:rsidR="0089278D" w:rsidRPr="00963E6A">
        <w:rPr>
          <w:rFonts w:ascii="Arial Unicode MS" w:hAnsi="Arial Unicode MS" w:cs="Arial" w:hint="eastAsia"/>
          <w:bCs/>
          <w:sz w:val="24"/>
        </w:rPr>
        <w:t>基金管理人代表基金行使相关权利的处理原则及方法</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1</w:t>
      </w:r>
      <w:r w:rsidRPr="00963E6A">
        <w:rPr>
          <w:rFonts w:ascii="Arial Unicode MS" w:hAnsi="Arial Unicode MS" w:cs="Arial" w:hint="eastAsia"/>
          <w:bCs/>
          <w:sz w:val="24"/>
        </w:rPr>
        <w:t>、基金管理人按照国家有关规定代表基金独立行使相关权利，保护基金份额持有人的利益；</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2</w:t>
      </w:r>
      <w:r w:rsidRPr="00963E6A">
        <w:rPr>
          <w:rFonts w:ascii="Arial Unicode MS" w:hAnsi="Arial Unicode MS" w:cs="Arial" w:hint="eastAsia"/>
          <w:bCs/>
          <w:sz w:val="24"/>
        </w:rPr>
        <w:t>、有利于基金资产的安全与增值；</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3</w:t>
      </w:r>
      <w:r w:rsidRPr="00963E6A">
        <w:rPr>
          <w:rFonts w:ascii="Arial Unicode MS" w:hAnsi="Arial Unicode MS" w:cs="Arial" w:hint="eastAsia"/>
          <w:bCs/>
          <w:sz w:val="24"/>
        </w:rPr>
        <w:t>、不通过关联交易为自身、雇员、授权代理人或任何存在利害关系的第三人牟取任何不当利益。</w:t>
      </w:r>
    </w:p>
    <w:p w:rsidR="0089278D" w:rsidRPr="00963E6A" w:rsidRDefault="00963E6A"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（九）</w:t>
      </w:r>
      <w:r w:rsidR="0089278D" w:rsidRPr="00963E6A">
        <w:rPr>
          <w:rFonts w:ascii="Arial Unicode MS" w:hAnsi="Arial Unicode MS" w:cs="Arial" w:hint="eastAsia"/>
          <w:bCs/>
          <w:sz w:val="24"/>
        </w:rPr>
        <w:t>基金投资组合报告</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基金管理人的董事会及董事保证本报告所载资料不存在虚假记载、误导性陈述或重大遗漏，并对其内容的真实性、准确性和完整性承担个别及连带责任。</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lastRenderedPageBreak/>
        <w:t>基金托管人中国光大银行股份有限公司根据本基金合同规定，于</w:t>
      </w:r>
      <w:r w:rsidRPr="00963E6A">
        <w:rPr>
          <w:rFonts w:ascii="Arial Unicode MS" w:hAnsi="Arial Unicode MS" w:cs="Arial" w:hint="eastAsia"/>
          <w:bCs/>
          <w:sz w:val="24"/>
        </w:rPr>
        <w:t>2017</w:t>
      </w:r>
      <w:r w:rsidRPr="00963E6A">
        <w:rPr>
          <w:rFonts w:ascii="Arial Unicode MS" w:hAnsi="Arial Unicode MS" w:cs="Arial" w:hint="eastAsia"/>
          <w:bCs/>
          <w:sz w:val="24"/>
        </w:rPr>
        <w:t>年</w:t>
      </w:r>
      <w:r w:rsidRPr="00963E6A">
        <w:rPr>
          <w:rFonts w:ascii="Arial Unicode MS" w:hAnsi="Arial Unicode MS" w:cs="Arial" w:hint="eastAsia"/>
          <w:bCs/>
          <w:sz w:val="24"/>
        </w:rPr>
        <w:t>7</w:t>
      </w:r>
      <w:r w:rsidRPr="00963E6A">
        <w:rPr>
          <w:rFonts w:ascii="Arial Unicode MS" w:hAnsi="Arial Unicode MS" w:cs="Arial" w:hint="eastAsia"/>
          <w:bCs/>
          <w:sz w:val="24"/>
        </w:rPr>
        <w:t>月</w:t>
      </w:r>
      <w:r w:rsidRPr="00963E6A">
        <w:rPr>
          <w:rFonts w:ascii="Arial Unicode MS" w:hAnsi="Arial Unicode MS" w:cs="Arial" w:hint="eastAsia"/>
          <w:bCs/>
          <w:sz w:val="24"/>
        </w:rPr>
        <w:t>17</w:t>
      </w:r>
      <w:r w:rsidRPr="00963E6A">
        <w:rPr>
          <w:rFonts w:ascii="Arial Unicode MS" w:hAnsi="Arial Unicode MS" w:cs="Arial" w:hint="eastAsia"/>
          <w:bCs/>
          <w:sz w:val="24"/>
        </w:rPr>
        <w:t>日复核了本报告中的财务指标、净值表现和投资组合报告等内容，保证复核内容不存在虚假记载、误导性陈述或者重大遗漏。</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本投资组合报告所载数据截至</w:t>
      </w:r>
      <w:r w:rsidRPr="00963E6A">
        <w:rPr>
          <w:rFonts w:ascii="Arial Unicode MS" w:hAnsi="Arial Unicode MS" w:cs="Arial" w:hint="eastAsia"/>
          <w:bCs/>
          <w:sz w:val="24"/>
        </w:rPr>
        <w:t>2017</w:t>
      </w:r>
      <w:r w:rsidRPr="00963E6A">
        <w:rPr>
          <w:rFonts w:ascii="Arial Unicode MS" w:hAnsi="Arial Unicode MS" w:cs="Arial" w:hint="eastAsia"/>
          <w:bCs/>
          <w:sz w:val="24"/>
        </w:rPr>
        <w:t>年</w:t>
      </w:r>
      <w:r w:rsidRPr="00963E6A">
        <w:rPr>
          <w:rFonts w:ascii="Arial Unicode MS" w:hAnsi="Arial Unicode MS" w:cs="Arial" w:hint="eastAsia"/>
          <w:bCs/>
          <w:sz w:val="24"/>
        </w:rPr>
        <w:t>6</w:t>
      </w:r>
      <w:r w:rsidRPr="00963E6A">
        <w:rPr>
          <w:rFonts w:ascii="Arial Unicode MS" w:hAnsi="Arial Unicode MS" w:cs="Arial" w:hint="eastAsia"/>
          <w:bCs/>
          <w:sz w:val="24"/>
        </w:rPr>
        <w:t>月</w:t>
      </w:r>
      <w:r w:rsidRPr="00963E6A">
        <w:rPr>
          <w:rFonts w:ascii="Arial Unicode MS" w:hAnsi="Arial Unicode MS" w:cs="Arial" w:hint="eastAsia"/>
          <w:bCs/>
          <w:sz w:val="24"/>
        </w:rPr>
        <w:t>30</w:t>
      </w:r>
      <w:r w:rsidRPr="00963E6A">
        <w:rPr>
          <w:rFonts w:ascii="Arial Unicode MS" w:hAnsi="Arial Unicode MS" w:cs="Arial" w:hint="eastAsia"/>
          <w:bCs/>
          <w:sz w:val="24"/>
        </w:rPr>
        <w:t>日，本报告中所列财务数据未经审计。</w:t>
      </w:r>
    </w:p>
    <w:p w:rsidR="0089278D" w:rsidRPr="00963E6A" w:rsidRDefault="0089278D" w:rsidP="00963E6A">
      <w:pPr>
        <w:spacing w:line="360" w:lineRule="auto"/>
        <w:ind w:firstLineChars="200" w:firstLine="480"/>
        <w:rPr>
          <w:rFonts w:ascii="Arial Unicode MS" w:hAnsi="Arial Unicode MS" w:cs="Arial"/>
          <w:bCs/>
          <w:sz w:val="24"/>
        </w:rPr>
      </w:pPr>
      <w:bookmarkStart w:id="28" w:name="_Toc490848871"/>
      <w:r w:rsidRPr="00963E6A">
        <w:rPr>
          <w:rFonts w:ascii="Arial Unicode MS" w:hAnsi="Arial Unicode MS" w:cs="Arial" w:hint="eastAsia"/>
          <w:bCs/>
          <w:sz w:val="24"/>
        </w:rPr>
        <w:t>1</w:t>
      </w:r>
      <w:r w:rsidRPr="00963E6A">
        <w:rPr>
          <w:rFonts w:ascii="Arial Unicode MS" w:hAnsi="Arial Unicode MS" w:cs="Arial" w:hint="eastAsia"/>
          <w:bCs/>
          <w:sz w:val="24"/>
        </w:rPr>
        <w:t>、期末基金资产组合情况</w:t>
      </w:r>
      <w:bookmarkEnd w:id="28"/>
    </w:p>
    <w:p w:rsidR="0089278D" w:rsidRPr="00963E6A" w:rsidRDefault="0089278D" w:rsidP="0089278D">
      <w:pPr>
        <w:pStyle w:val="biaogeright"/>
        <w:spacing w:line="360" w:lineRule="auto"/>
      </w:pPr>
      <w:r w:rsidRPr="00963E6A">
        <w:rPr>
          <w:rFonts w:hAnsi="Calibri" w:hint="eastAsia"/>
          <w:color w:val="000000"/>
        </w:rPr>
        <w:t>金额单位：人民币元</w:t>
      </w:r>
    </w:p>
    <w:tbl>
      <w:tblPr>
        <w:tblW w:w="0" w:type="auto"/>
        <w:tblInd w:w="108" w:type="dxa"/>
        <w:tblLook w:val="04A0" w:firstRow="1" w:lastRow="0" w:firstColumn="1" w:lastColumn="0" w:noHBand="0" w:noVBand="1"/>
      </w:tblPr>
      <w:tblGrid>
        <w:gridCol w:w="710"/>
        <w:gridCol w:w="3496"/>
        <w:gridCol w:w="2442"/>
        <w:gridCol w:w="2100"/>
      </w:tblGrid>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序号</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项目</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金额</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占基金总资产的比例(%)</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1</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权益投资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tcPr>
          <w:p w:rsidR="0089278D" w:rsidRPr="00963E6A" w:rsidRDefault="0089278D" w:rsidP="0089278D">
            <w:pPr>
              <w:pStyle w:val="biaogecenter"/>
              <w:wordWrap w:val="0"/>
              <w:spacing w:line="360" w:lineRule="auto"/>
              <w:rPr>
                <w:rFonts w:hAnsi="Calibri"/>
                <w:color w:val="000000"/>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其中：股票</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2</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固定收益投资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242,892,557.26</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97.95</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tcPr>
          <w:p w:rsidR="0089278D" w:rsidRPr="00963E6A" w:rsidRDefault="0089278D" w:rsidP="0089278D">
            <w:pPr>
              <w:pStyle w:val="biaogecenter"/>
              <w:wordWrap w:val="0"/>
              <w:spacing w:line="360" w:lineRule="auto"/>
              <w:rPr>
                <w:rFonts w:hAnsi="Calibri"/>
                <w:color w:val="000000"/>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其中：债券</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242,892,557.26</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97.95</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tcPr>
          <w:p w:rsidR="0089278D" w:rsidRPr="00963E6A" w:rsidRDefault="0089278D" w:rsidP="0089278D">
            <w:pPr>
              <w:pStyle w:val="biaogecenter"/>
              <w:wordWrap w:val="0"/>
              <w:spacing w:line="360" w:lineRule="auto"/>
              <w:rPr>
                <w:rFonts w:hAnsi="Calibri"/>
                <w:color w:val="000000"/>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ind w:left="420"/>
            </w:pPr>
            <w:r w:rsidRPr="00963E6A">
              <w:rPr>
                <w:rFonts w:hAnsi="Calibri" w:hint="eastAsia"/>
                <w:color w:val="000000"/>
              </w:rPr>
              <w:t>资产支持证券</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3</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贵金属投资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4</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金融衍生品投资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5</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买入返售金融资产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tcPr>
          <w:p w:rsidR="0089278D" w:rsidRPr="00963E6A" w:rsidRDefault="0089278D" w:rsidP="0089278D">
            <w:pPr>
              <w:pStyle w:val="biaogecenter"/>
              <w:wordWrap w:val="0"/>
              <w:spacing w:line="360" w:lineRule="auto"/>
              <w:rPr>
                <w:rFonts w:hAnsi="Calibri"/>
                <w:color w:val="000000"/>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其中：买断式回购的买入返售金融资产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6</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银行存款和结算备付金合计</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2,876,787.50</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1.16</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7</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其他各项资产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2,214,744.91</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0.89</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8</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合计</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247,984,089.67</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100.00</w:t>
            </w:r>
          </w:p>
        </w:tc>
      </w:tr>
    </w:tbl>
    <w:p w:rsidR="0089278D" w:rsidRPr="00963E6A" w:rsidRDefault="0089278D" w:rsidP="0089278D">
      <w:pPr>
        <w:widowControl/>
        <w:spacing w:line="360" w:lineRule="auto"/>
        <w:jc w:val="left"/>
        <w:rPr>
          <w:rFonts w:ascii="宋体" w:hAnsi="宋体" w:cs="宋体"/>
          <w:kern w:val="0"/>
          <w:sz w:val="24"/>
        </w:rPr>
      </w:pPr>
    </w:p>
    <w:p w:rsidR="0089278D" w:rsidRPr="00963E6A" w:rsidRDefault="0089278D" w:rsidP="00963E6A">
      <w:pPr>
        <w:spacing w:line="360" w:lineRule="auto"/>
        <w:ind w:firstLineChars="200" w:firstLine="480"/>
        <w:rPr>
          <w:rFonts w:ascii="Arial Unicode MS" w:hAnsi="Arial Unicode MS" w:cs="Arial"/>
          <w:bCs/>
          <w:sz w:val="24"/>
        </w:rPr>
      </w:pPr>
      <w:bookmarkStart w:id="29" w:name="_Toc490848872"/>
      <w:r w:rsidRPr="00963E6A">
        <w:rPr>
          <w:rFonts w:ascii="Arial Unicode MS" w:hAnsi="Arial Unicode MS" w:cs="Arial" w:hint="eastAsia"/>
          <w:bCs/>
          <w:sz w:val="24"/>
        </w:rPr>
        <w:t>2</w:t>
      </w:r>
      <w:r w:rsidRPr="00963E6A">
        <w:rPr>
          <w:rFonts w:ascii="Arial Unicode MS" w:hAnsi="Arial Unicode MS" w:cs="Arial" w:hint="eastAsia"/>
          <w:bCs/>
          <w:sz w:val="24"/>
        </w:rPr>
        <w:t>、</w:t>
      </w:r>
      <w:r w:rsidRPr="00963E6A">
        <w:rPr>
          <w:rFonts w:ascii="Arial Unicode MS" w:hAnsi="Arial Unicode MS" w:cs="Arial" w:hint="eastAsia"/>
          <w:bCs/>
          <w:sz w:val="24"/>
        </w:rPr>
        <w:t xml:space="preserve"> </w:t>
      </w:r>
      <w:r w:rsidRPr="00963E6A">
        <w:rPr>
          <w:rFonts w:ascii="Arial Unicode MS" w:hAnsi="Arial Unicode MS" w:cs="Arial" w:hint="eastAsia"/>
          <w:bCs/>
          <w:sz w:val="24"/>
        </w:rPr>
        <w:t>报告期末按行业分类的股票投资组合</w:t>
      </w:r>
      <w:bookmarkEnd w:id="29"/>
    </w:p>
    <w:p w:rsidR="0089278D" w:rsidRPr="00963E6A" w:rsidRDefault="0089278D" w:rsidP="00963E6A">
      <w:pPr>
        <w:spacing w:line="360" w:lineRule="auto"/>
        <w:ind w:firstLineChars="200" w:firstLine="480"/>
        <w:rPr>
          <w:rFonts w:ascii="Arial Unicode MS" w:hAnsi="Arial Unicode MS" w:cs="Arial"/>
          <w:bCs/>
          <w:sz w:val="24"/>
        </w:rPr>
      </w:pPr>
      <w:bookmarkStart w:id="30" w:name="_Toc490848873"/>
      <w:r w:rsidRPr="00963E6A">
        <w:rPr>
          <w:rFonts w:ascii="Arial Unicode MS" w:hAnsi="Arial Unicode MS" w:cs="Arial" w:hint="eastAsia"/>
          <w:bCs/>
          <w:sz w:val="24"/>
        </w:rPr>
        <w:lastRenderedPageBreak/>
        <w:t>（</w:t>
      </w:r>
      <w:r w:rsidRPr="00963E6A">
        <w:rPr>
          <w:rFonts w:ascii="Arial Unicode MS" w:hAnsi="Arial Unicode MS" w:cs="Arial" w:hint="eastAsia"/>
          <w:bCs/>
          <w:sz w:val="24"/>
        </w:rPr>
        <w:t>1</w:t>
      </w:r>
      <w:r w:rsidRPr="00963E6A">
        <w:rPr>
          <w:rFonts w:ascii="Arial Unicode MS" w:hAnsi="Arial Unicode MS" w:cs="Arial" w:hint="eastAsia"/>
          <w:bCs/>
          <w:sz w:val="24"/>
        </w:rPr>
        <w:t>）</w:t>
      </w:r>
      <w:r w:rsidRPr="00963E6A">
        <w:rPr>
          <w:rFonts w:ascii="Arial Unicode MS" w:hAnsi="Arial Unicode MS" w:cs="Arial" w:hint="eastAsia"/>
          <w:bCs/>
          <w:sz w:val="24"/>
        </w:rPr>
        <w:t xml:space="preserve"> </w:t>
      </w:r>
      <w:r w:rsidRPr="00963E6A">
        <w:rPr>
          <w:rFonts w:ascii="Arial Unicode MS" w:hAnsi="Arial Unicode MS" w:cs="Arial" w:hint="eastAsia"/>
          <w:bCs/>
          <w:sz w:val="24"/>
        </w:rPr>
        <w:t>报告期末按行业分类的境内股票投资组合</w:t>
      </w:r>
      <w:bookmarkEnd w:id="30"/>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本基金报告期末未持有股票。</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2</w:t>
      </w:r>
      <w:r w:rsidRPr="00963E6A">
        <w:rPr>
          <w:rFonts w:ascii="Arial Unicode MS" w:hAnsi="Arial Unicode MS" w:cs="Arial" w:hint="eastAsia"/>
          <w:bCs/>
          <w:sz w:val="24"/>
        </w:rPr>
        <w:t>）报告期末按行业分类的港股通投资股票投资组合</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本基金报告期末未持有沪港通股票。</w:t>
      </w:r>
    </w:p>
    <w:p w:rsidR="0089278D" w:rsidRPr="00963E6A" w:rsidRDefault="0089278D" w:rsidP="009D08F3">
      <w:pPr>
        <w:spacing w:line="360" w:lineRule="auto"/>
        <w:ind w:firstLineChars="200" w:firstLine="480"/>
        <w:rPr>
          <w:rFonts w:ascii="Arial Unicode MS" w:hAnsi="Arial Unicode MS" w:cs="Arial"/>
          <w:bCs/>
          <w:sz w:val="24"/>
        </w:rPr>
      </w:pPr>
      <w:bookmarkStart w:id="31" w:name="_Toc490848874"/>
      <w:r w:rsidRPr="00963E6A">
        <w:rPr>
          <w:rFonts w:ascii="Arial Unicode MS" w:hAnsi="Arial Unicode MS" w:cs="Arial" w:hint="eastAsia"/>
          <w:bCs/>
          <w:sz w:val="24"/>
        </w:rPr>
        <w:t>3</w:t>
      </w:r>
      <w:r w:rsidRPr="00963E6A">
        <w:rPr>
          <w:rFonts w:ascii="Arial Unicode MS" w:hAnsi="Arial Unicode MS" w:cs="Arial" w:hint="eastAsia"/>
          <w:bCs/>
          <w:sz w:val="24"/>
        </w:rPr>
        <w:t>、期末按公允价值占基金资产净值比例大小排序的所有股票投资明细</w:t>
      </w:r>
      <w:bookmarkEnd w:id="31"/>
    </w:p>
    <w:tbl>
      <w:tblPr>
        <w:tblW w:w="0" w:type="auto"/>
        <w:tblInd w:w="108" w:type="dxa"/>
        <w:tblLook w:val="04A0" w:firstRow="1" w:lastRow="0" w:firstColumn="1" w:lastColumn="0" w:noHBand="0" w:noVBand="1"/>
      </w:tblPr>
      <w:tblGrid>
        <w:gridCol w:w="222"/>
      </w:tblGrid>
      <w:tr w:rsidR="0089278D" w:rsidRPr="00963E6A" w:rsidTr="0089278D">
        <w:tc>
          <w:tcPr>
            <w:tcW w:w="0" w:type="auto"/>
            <w:vAlign w:val="center"/>
            <w:hideMark/>
          </w:tcPr>
          <w:p w:rsidR="0089278D" w:rsidRPr="00963E6A" w:rsidRDefault="0089278D" w:rsidP="00963E6A">
            <w:pPr>
              <w:spacing w:line="360" w:lineRule="auto"/>
              <w:ind w:firstLineChars="200" w:firstLine="480"/>
              <w:rPr>
                <w:rFonts w:ascii="Arial Unicode MS" w:hAnsi="Arial Unicode MS" w:cs="Arial"/>
                <w:bCs/>
                <w:sz w:val="24"/>
              </w:rPr>
            </w:pPr>
          </w:p>
        </w:tc>
      </w:tr>
    </w:tbl>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本基金报告期末未持有股票。</w:t>
      </w:r>
      <w:r w:rsidRPr="00963E6A">
        <w:rPr>
          <w:rFonts w:ascii="Arial Unicode MS" w:hAnsi="Arial Unicode MS" w:cs="Arial" w:hint="eastAsia"/>
          <w:bCs/>
          <w:sz w:val="24"/>
        </w:rPr>
        <w:t> </w:t>
      </w:r>
    </w:p>
    <w:p w:rsidR="0089278D" w:rsidRPr="00963E6A" w:rsidRDefault="0089278D" w:rsidP="00963E6A">
      <w:pPr>
        <w:spacing w:line="360" w:lineRule="auto"/>
        <w:ind w:firstLineChars="200" w:firstLine="480"/>
        <w:rPr>
          <w:rFonts w:ascii="Arial Unicode MS" w:hAnsi="Arial Unicode MS" w:cs="Arial"/>
          <w:bCs/>
          <w:sz w:val="24"/>
        </w:rPr>
      </w:pPr>
      <w:bookmarkStart w:id="32" w:name="_Toc490848875"/>
      <w:r w:rsidRPr="00963E6A">
        <w:rPr>
          <w:rFonts w:ascii="Arial Unicode MS" w:hAnsi="Arial Unicode MS" w:cs="Arial" w:hint="eastAsia"/>
          <w:bCs/>
          <w:sz w:val="24"/>
        </w:rPr>
        <w:t>4</w:t>
      </w:r>
      <w:r w:rsidRPr="00963E6A">
        <w:rPr>
          <w:rFonts w:ascii="Arial Unicode MS" w:hAnsi="Arial Unicode MS" w:cs="Arial" w:hint="eastAsia"/>
          <w:bCs/>
          <w:sz w:val="24"/>
        </w:rPr>
        <w:t>、报告期内股票投资组合的重大变动</w:t>
      </w:r>
      <w:bookmarkEnd w:id="32"/>
    </w:p>
    <w:p w:rsidR="0089278D" w:rsidRPr="00963E6A" w:rsidRDefault="0089278D" w:rsidP="009D08F3">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1</w:t>
      </w:r>
      <w:r w:rsidRPr="00963E6A">
        <w:rPr>
          <w:rFonts w:ascii="Arial Unicode MS" w:hAnsi="Arial Unicode MS" w:cs="Arial" w:hint="eastAsia"/>
          <w:bCs/>
          <w:sz w:val="24"/>
        </w:rPr>
        <w:t>）</w:t>
      </w:r>
      <w:r w:rsidRPr="00963E6A">
        <w:rPr>
          <w:rFonts w:ascii="Arial Unicode MS" w:hAnsi="Arial Unicode MS" w:cs="Arial" w:hint="eastAsia"/>
          <w:bCs/>
          <w:sz w:val="24"/>
        </w:rPr>
        <w:t xml:space="preserve"> </w:t>
      </w:r>
      <w:r w:rsidRPr="00963E6A">
        <w:rPr>
          <w:rFonts w:ascii="Arial Unicode MS" w:hAnsi="Arial Unicode MS" w:cs="Arial" w:hint="eastAsia"/>
          <w:bCs/>
          <w:sz w:val="24"/>
        </w:rPr>
        <w:t>累计买入金额超出期初基金资产净值</w:t>
      </w:r>
      <w:r w:rsidRPr="00963E6A">
        <w:rPr>
          <w:rFonts w:ascii="Arial Unicode MS" w:hAnsi="Arial Unicode MS" w:cs="Arial" w:hint="eastAsia"/>
          <w:bCs/>
          <w:sz w:val="24"/>
        </w:rPr>
        <w:t>2%</w:t>
      </w:r>
      <w:r w:rsidRPr="00963E6A">
        <w:rPr>
          <w:rFonts w:ascii="Arial Unicode MS" w:hAnsi="Arial Unicode MS" w:cs="Arial" w:hint="eastAsia"/>
          <w:bCs/>
          <w:sz w:val="24"/>
        </w:rPr>
        <w:t>或前</w:t>
      </w:r>
      <w:r w:rsidRPr="00963E6A">
        <w:rPr>
          <w:rFonts w:ascii="Arial Unicode MS" w:hAnsi="Arial Unicode MS" w:cs="Arial" w:hint="eastAsia"/>
          <w:bCs/>
          <w:sz w:val="24"/>
        </w:rPr>
        <w:t>20</w:t>
      </w:r>
      <w:r w:rsidRPr="00963E6A">
        <w:rPr>
          <w:rFonts w:ascii="Arial Unicode MS" w:hAnsi="Arial Unicode MS" w:cs="Arial" w:hint="eastAsia"/>
          <w:bCs/>
          <w:sz w:val="24"/>
        </w:rPr>
        <w:t>名的股票明细</w:t>
      </w:r>
    </w:p>
    <w:tbl>
      <w:tblPr>
        <w:tblW w:w="0" w:type="auto"/>
        <w:tblInd w:w="108" w:type="dxa"/>
        <w:tblLook w:val="04A0" w:firstRow="1" w:lastRow="0" w:firstColumn="1" w:lastColumn="0" w:noHBand="0" w:noVBand="1"/>
      </w:tblPr>
      <w:tblGrid>
        <w:gridCol w:w="222"/>
      </w:tblGrid>
      <w:tr w:rsidR="0089278D" w:rsidRPr="00963E6A" w:rsidTr="0089278D">
        <w:tc>
          <w:tcPr>
            <w:tcW w:w="0" w:type="auto"/>
            <w:vAlign w:val="center"/>
            <w:hideMark/>
          </w:tcPr>
          <w:p w:rsidR="0089278D" w:rsidRPr="00963E6A" w:rsidRDefault="0089278D" w:rsidP="00963E6A">
            <w:pPr>
              <w:spacing w:line="360" w:lineRule="auto"/>
              <w:ind w:firstLineChars="200" w:firstLine="480"/>
              <w:rPr>
                <w:rFonts w:ascii="Arial Unicode MS" w:hAnsi="Arial Unicode MS" w:cs="Arial"/>
                <w:bCs/>
                <w:sz w:val="24"/>
              </w:rPr>
            </w:pPr>
          </w:p>
        </w:tc>
      </w:tr>
    </w:tbl>
    <w:p w:rsidR="0089278D" w:rsidRPr="00963E6A" w:rsidRDefault="0089278D" w:rsidP="009D08F3">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本基金报告期末未持有股票。</w:t>
      </w:r>
      <w:r w:rsidRPr="00963E6A">
        <w:rPr>
          <w:rFonts w:ascii="Arial Unicode MS" w:hAnsi="Arial Unicode MS" w:cs="Arial" w:hint="eastAsia"/>
          <w:bCs/>
          <w:sz w:val="24"/>
        </w:rPr>
        <w:t> </w:t>
      </w:r>
    </w:p>
    <w:p w:rsidR="0089278D" w:rsidRPr="00963E6A" w:rsidRDefault="0089278D" w:rsidP="009D08F3">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2</w:t>
      </w:r>
      <w:r w:rsidRPr="00963E6A">
        <w:rPr>
          <w:rFonts w:ascii="Arial Unicode MS" w:hAnsi="Arial Unicode MS" w:cs="Arial" w:hint="eastAsia"/>
          <w:bCs/>
          <w:sz w:val="24"/>
        </w:rPr>
        <w:t>）</w:t>
      </w:r>
      <w:r w:rsidRPr="00963E6A">
        <w:rPr>
          <w:rFonts w:ascii="Arial Unicode MS" w:hAnsi="Arial Unicode MS" w:cs="Arial" w:hint="eastAsia"/>
          <w:bCs/>
          <w:sz w:val="24"/>
        </w:rPr>
        <w:t xml:space="preserve"> </w:t>
      </w:r>
      <w:r w:rsidRPr="00963E6A">
        <w:rPr>
          <w:rFonts w:ascii="Arial Unicode MS" w:hAnsi="Arial Unicode MS" w:cs="Arial" w:hint="eastAsia"/>
          <w:bCs/>
          <w:sz w:val="24"/>
        </w:rPr>
        <w:t>累计卖出金额超出期初基金资产净值</w:t>
      </w:r>
      <w:r w:rsidRPr="00963E6A">
        <w:rPr>
          <w:rFonts w:ascii="Arial Unicode MS" w:hAnsi="Arial Unicode MS" w:cs="Arial" w:hint="eastAsia"/>
          <w:bCs/>
          <w:sz w:val="24"/>
        </w:rPr>
        <w:t>2%</w:t>
      </w:r>
      <w:r w:rsidRPr="00963E6A">
        <w:rPr>
          <w:rFonts w:ascii="Arial Unicode MS" w:hAnsi="Arial Unicode MS" w:cs="Arial" w:hint="eastAsia"/>
          <w:bCs/>
          <w:sz w:val="24"/>
        </w:rPr>
        <w:t>或前</w:t>
      </w:r>
      <w:r w:rsidRPr="00963E6A">
        <w:rPr>
          <w:rFonts w:ascii="Arial Unicode MS" w:hAnsi="Arial Unicode MS" w:cs="Arial" w:hint="eastAsia"/>
          <w:bCs/>
          <w:sz w:val="24"/>
        </w:rPr>
        <w:t>20</w:t>
      </w:r>
      <w:r w:rsidRPr="00963E6A">
        <w:rPr>
          <w:rFonts w:ascii="Arial Unicode MS" w:hAnsi="Arial Unicode MS" w:cs="Arial" w:hint="eastAsia"/>
          <w:bCs/>
          <w:sz w:val="24"/>
        </w:rPr>
        <w:t>名的股票明细</w:t>
      </w:r>
    </w:p>
    <w:tbl>
      <w:tblPr>
        <w:tblW w:w="0" w:type="auto"/>
        <w:tblInd w:w="108" w:type="dxa"/>
        <w:tblLook w:val="04A0" w:firstRow="1" w:lastRow="0" w:firstColumn="1" w:lastColumn="0" w:noHBand="0" w:noVBand="1"/>
      </w:tblPr>
      <w:tblGrid>
        <w:gridCol w:w="222"/>
      </w:tblGrid>
      <w:tr w:rsidR="0089278D" w:rsidRPr="00963E6A" w:rsidTr="0089278D">
        <w:tc>
          <w:tcPr>
            <w:tcW w:w="0" w:type="auto"/>
            <w:vAlign w:val="center"/>
            <w:hideMark/>
          </w:tcPr>
          <w:p w:rsidR="0089278D" w:rsidRPr="00963E6A" w:rsidRDefault="0089278D" w:rsidP="00963E6A">
            <w:pPr>
              <w:spacing w:line="360" w:lineRule="auto"/>
              <w:ind w:firstLineChars="200" w:firstLine="480"/>
              <w:rPr>
                <w:rFonts w:ascii="Arial Unicode MS" w:hAnsi="Arial Unicode MS" w:cs="Arial"/>
                <w:bCs/>
                <w:sz w:val="24"/>
              </w:rPr>
            </w:pPr>
          </w:p>
        </w:tc>
      </w:tr>
    </w:tbl>
    <w:p w:rsidR="0089278D" w:rsidRPr="00963E6A" w:rsidRDefault="0089278D" w:rsidP="009D08F3">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本基金报告期末未持有股票。</w:t>
      </w:r>
      <w:r w:rsidRPr="00963E6A">
        <w:rPr>
          <w:rFonts w:ascii="Arial Unicode MS" w:hAnsi="Arial Unicode MS" w:cs="Arial" w:hint="eastAsia"/>
          <w:bCs/>
          <w:sz w:val="24"/>
        </w:rPr>
        <w:t> </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3</w:t>
      </w:r>
      <w:r w:rsidRPr="00963E6A">
        <w:rPr>
          <w:rFonts w:ascii="Arial Unicode MS" w:hAnsi="Arial Unicode MS" w:cs="Arial" w:hint="eastAsia"/>
          <w:bCs/>
          <w:sz w:val="24"/>
        </w:rPr>
        <w:t>）买入股票的成本总额及卖出股票的收入总额</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本基金报告期末未持有股票。</w:t>
      </w:r>
      <w:r w:rsidRPr="00963E6A">
        <w:rPr>
          <w:rFonts w:ascii="Arial Unicode MS" w:hAnsi="Arial Unicode MS" w:cs="Arial" w:hint="eastAsia"/>
          <w:bCs/>
          <w:sz w:val="24"/>
        </w:rPr>
        <w:t> </w:t>
      </w:r>
    </w:p>
    <w:p w:rsidR="0089278D" w:rsidRPr="00963E6A" w:rsidRDefault="0089278D" w:rsidP="00963E6A">
      <w:pPr>
        <w:spacing w:line="360" w:lineRule="auto"/>
        <w:ind w:firstLineChars="200" w:firstLine="480"/>
        <w:rPr>
          <w:rFonts w:ascii="Arial Unicode MS" w:hAnsi="Arial Unicode MS" w:cs="Arial"/>
          <w:bCs/>
          <w:sz w:val="24"/>
        </w:rPr>
      </w:pPr>
      <w:bookmarkStart w:id="33" w:name="_Toc490848876"/>
      <w:r w:rsidRPr="00963E6A">
        <w:rPr>
          <w:rFonts w:ascii="Arial Unicode MS" w:hAnsi="Arial Unicode MS" w:cs="Arial" w:hint="eastAsia"/>
          <w:bCs/>
          <w:sz w:val="24"/>
        </w:rPr>
        <w:t>5</w:t>
      </w:r>
      <w:r w:rsidRPr="00963E6A">
        <w:rPr>
          <w:rFonts w:ascii="Arial Unicode MS" w:hAnsi="Arial Unicode MS" w:cs="Arial" w:hint="eastAsia"/>
          <w:bCs/>
          <w:sz w:val="24"/>
        </w:rPr>
        <w:t>、期末按债券品种分类的债券投资组合</w:t>
      </w:r>
      <w:bookmarkEnd w:id="33"/>
    </w:p>
    <w:p w:rsidR="0089278D" w:rsidRPr="00963E6A" w:rsidRDefault="0089278D" w:rsidP="0089278D">
      <w:pPr>
        <w:pStyle w:val="biaogeright"/>
        <w:spacing w:line="360" w:lineRule="auto"/>
      </w:pPr>
      <w:r w:rsidRPr="00963E6A">
        <w:rPr>
          <w:rFonts w:hAnsi="Calibri" w:hint="eastAsia"/>
          <w:color w:val="000000"/>
        </w:rPr>
        <w:t>金额单位：人民币元</w:t>
      </w:r>
    </w:p>
    <w:tbl>
      <w:tblPr>
        <w:tblW w:w="0" w:type="auto"/>
        <w:tblInd w:w="108" w:type="dxa"/>
        <w:tblLook w:val="04A0" w:firstRow="1" w:lastRow="0" w:firstColumn="1" w:lastColumn="0" w:noHBand="0" w:noVBand="1"/>
      </w:tblPr>
      <w:tblGrid>
        <w:gridCol w:w="710"/>
        <w:gridCol w:w="2454"/>
        <w:gridCol w:w="2443"/>
        <w:gridCol w:w="3141"/>
      </w:tblGrid>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序号</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债券品种</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公允价值</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占基金资产净值比例(%)</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1</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国家债券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9,990,000.00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4.94</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2</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央行票据</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3</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金融债券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tcPr>
          <w:p w:rsidR="0089278D" w:rsidRPr="00963E6A" w:rsidRDefault="0089278D" w:rsidP="0089278D">
            <w:pPr>
              <w:pStyle w:val="biaogecenter"/>
              <w:wordWrap w:val="0"/>
              <w:spacing w:line="360" w:lineRule="auto"/>
            </w:pP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其中：政策性金融债</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4</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企业债券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187,756,557.26</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92.89</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lastRenderedPageBreak/>
              <w:t>5</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企业短期融资券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6</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中期票据</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15,264,000.00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7.55</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7</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可转债</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8</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同业存单</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29,882,000.00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14.78</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9</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其他</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10</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合计</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242,892,557.26</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120.17</w:t>
            </w:r>
          </w:p>
        </w:tc>
      </w:tr>
    </w:tbl>
    <w:p w:rsidR="0089278D" w:rsidRPr="00963E6A" w:rsidRDefault="0089278D" w:rsidP="0089278D">
      <w:pPr>
        <w:widowControl/>
        <w:spacing w:line="360" w:lineRule="auto"/>
        <w:jc w:val="left"/>
        <w:rPr>
          <w:rFonts w:ascii="宋体" w:hAnsi="宋体" w:cs="宋体"/>
          <w:kern w:val="0"/>
          <w:sz w:val="24"/>
        </w:rPr>
      </w:pPr>
    </w:p>
    <w:p w:rsidR="0089278D" w:rsidRPr="00963E6A" w:rsidRDefault="0089278D" w:rsidP="0089278D">
      <w:pPr>
        <w:rPr>
          <w:rFonts w:ascii="宋体" w:hAnsi="宋体" w:cs="宋体"/>
          <w:kern w:val="0"/>
          <w:sz w:val="24"/>
        </w:rPr>
      </w:pPr>
      <w:bookmarkStart w:id="34" w:name="_Toc490848877"/>
      <w:r w:rsidRPr="00963E6A">
        <w:rPr>
          <w:rFonts w:hint="eastAsia"/>
          <w:sz w:val="24"/>
        </w:rPr>
        <w:t>6</w:t>
      </w:r>
      <w:r w:rsidRPr="00963E6A">
        <w:rPr>
          <w:rFonts w:hint="eastAsia"/>
          <w:sz w:val="24"/>
        </w:rPr>
        <w:t>、期末按公允价值占基金资产净值比例大小排序的前五名债券投资明细</w:t>
      </w:r>
      <w:bookmarkEnd w:id="34"/>
    </w:p>
    <w:p w:rsidR="0089278D" w:rsidRPr="00963E6A" w:rsidRDefault="0089278D" w:rsidP="0089278D">
      <w:pPr>
        <w:pStyle w:val="biaogeright"/>
        <w:spacing w:line="360" w:lineRule="auto"/>
      </w:pPr>
      <w:r w:rsidRPr="00963E6A">
        <w:rPr>
          <w:rFonts w:hAnsi="Calibri" w:hint="eastAsia"/>
          <w:color w:val="000000"/>
        </w:rPr>
        <w:t>金额单位：人民币元</w:t>
      </w:r>
    </w:p>
    <w:tbl>
      <w:tblPr>
        <w:tblW w:w="9616" w:type="dxa"/>
        <w:tblInd w:w="108" w:type="dxa"/>
        <w:tblLook w:val="04A0" w:firstRow="1" w:lastRow="0" w:firstColumn="1" w:lastColumn="0" w:noHBand="0" w:noVBand="1"/>
      </w:tblPr>
      <w:tblGrid>
        <w:gridCol w:w="808"/>
        <w:gridCol w:w="1595"/>
        <w:gridCol w:w="2065"/>
        <w:gridCol w:w="1537"/>
        <w:gridCol w:w="1971"/>
        <w:gridCol w:w="1640"/>
      </w:tblGrid>
      <w:tr w:rsidR="0089278D" w:rsidRPr="00963E6A" w:rsidTr="0089278D">
        <w:tc>
          <w:tcPr>
            <w:tcW w:w="80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序号</w:t>
            </w:r>
          </w:p>
        </w:tc>
        <w:tc>
          <w:tcPr>
            <w:tcW w:w="159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债券代码</w:t>
            </w:r>
          </w:p>
        </w:tc>
        <w:tc>
          <w:tcPr>
            <w:tcW w:w="206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债券名称</w:t>
            </w:r>
          </w:p>
        </w:tc>
        <w:tc>
          <w:tcPr>
            <w:tcW w:w="153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数量（张）</w:t>
            </w:r>
          </w:p>
        </w:tc>
        <w:tc>
          <w:tcPr>
            <w:tcW w:w="197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公允价值</w:t>
            </w:r>
          </w:p>
        </w:tc>
        <w:tc>
          <w:tcPr>
            <w:tcW w:w="164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占基金资产净值比例(%)</w:t>
            </w:r>
          </w:p>
        </w:tc>
      </w:tr>
      <w:tr w:rsidR="0089278D" w:rsidRPr="00963E6A" w:rsidTr="0089278D">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1780066</w:t>
            </w:r>
          </w:p>
        </w:tc>
        <w:tc>
          <w:tcPr>
            <w:tcW w:w="206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17威高新</w:t>
            </w:r>
          </w:p>
        </w:tc>
        <w:tc>
          <w:tcPr>
            <w:tcW w:w="153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200,000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20,038,000.00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9.91</w:t>
            </w:r>
          </w:p>
        </w:tc>
      </w:tr>
      <w:tr w:rsidR="0089278D" w:rsidRPr="00963E6A" w:rsidTr="0089278D">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143024</w:t>
            </w:r>
          </w:p>
        </w:tc>
        <w:tc>
          <w:tcPr>
            <w:tcW w:w="206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17桂农01</w:t>
            </w:r>
          </w:p>
        </w:tc>
        <w:tc>
          <w:tcPr>
            <w:tcW w:w="153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200,000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20,024,000.00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9.91</w:t>
            </w:r>
          </w:p>
        </w:tc>
      </w:tr>
      <w:tr w:rsidR="0089278D" w:rsidRPr="00963E6A" w:rsidTr="0089278D">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127491</w:t>
            </w:r>
          </w:p>
        </w:tc>
        <w:tc>
          <w:tcPr>
            <w:tcW w:w="206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17灌东经开债</w:t>
            </w:r>
          </w:p>
        </w:tc>
        <w:tc>
          <w:tcPr>
            <w:tcW w:w="153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200,000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19,991,557.26</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9.89</w:t>
            </w:r>
          </w:p>
        </w:tc>
      </w:tr>
      <w:tr w:rsidR="0089278D" w:rsidRPr="00963E6A" w:rsidTr="0089278D">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1780087</w:t>
            </w:r>
          </w:p>
        </w:tc>
        <w:tc>
          <w:tcPr>
            <w:tcW w:w="206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17六盘水交投债</w:t>
            </w:r>
          </w:p>
        </w:tc>
        <w:tc>
          <w:tcPr>
            <w:tcW w:w="153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200,000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19,864,000.00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9.83</w:t>
            </w:r>
          </w:p>
        </w:tc>
      </w:tr>
      <w:tr w:rsidR="0089278D" w:rsidRPr="00963E6A" w:rsidTr="0089278D">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5</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1580063</w:t>
            </w:r>
          </w:p>
        </w:tc>
        <w:tc>
          <w:tcPr>
            <w:tcW w:w="206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Ansi="Calibri" w:hint="eastAsia"/>
                <w:color w:val="000000"/>
              </w:rPr>
              <w:t>15吐鲁番国投债</w:t>
            </w:r>
          </w:p>
        </w:tc>
        <w:tc>
          <w:tcPr>
            <w:tcW w:w="1537"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150,000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15,336,000.00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7.59</w:t>
            </w:r>
          </w:p>
        </w:tc>
      </w:tr>
    </w:tbl>
    <w:p w:rsidR="0089278D" w:rsidRPr="00963E6A" w:rsidRDefault="0089278D" w:rsidP="00963E6A">
      <w:pPr>
        <w:spacing w:line="360" w:lineRule="auto"/>
        <w:ind w:firstLineChars="200" w:firstLine="480"/>
        <w:rPr>
          <w:rFonts w:ascii="Arial Unicode MS" w:hAnsi="Arial Unicode MS" w:cs="Arial"/>
          <w:bCs/>
          <w:sz w:val="24"/>
        </w:rPr>
      </w:pPr>
    </w:p>
    <w:p w:rsidR="0089278D" w:rsidRPr="00963E6A" w:rsidRDefault="0089278D" w:rsidP="001F0BFF">
      <w:pPr>
        <w:spacing w:line="360" w:lineRule="auto"/>
        <w:ind w:firstLineChars="200" w:firstLine="480"/>
        <w:rPr>
          <w:rFonts w:ascii="Arial Unicode MS" w:hAnsi="Arial Unicode MS" w:cs="Arial"/>
          <w:bCs/>
          <w:sz w:val="24"/>
        </w:rPr>
      </w:pPr>
      <w:bookmarkStart w:id="35" w:name="_Toc490848878"/>
      <w:r w:rsidRPr="00963E6A">
        <w:rPr>
          <w:rFonts w:ascii="Arial Unicode MS" w:hAnsi="Arial Unicode MS" w:cs="Arial" w:hint="eastAsia"/>
          <w:bCs/>
          <w:sz w:val="24"/>
        </w:rPr>
        <w:t>7</w:t>
      </w:r>
      <w:r w:rsidRPr="00963E6A">
        <w:rPr>
          <w:rFonts w:ascii="Arial Unicode MS" w:hAnsi="Arial Unicode MS" w:cs="Arial" w:hint="eastAsia"/>
          <w:bCs/>
          <w:sz w:val="24"/>
        </w:rPr>
        <w:t>、</w:t>
      </w:r>
      <w:r w:rsidRPr="00963E6A">
        <w:rPr>
          <w:rFonts w:ascii="Arial Unicode MS" w:hAnsi="Arial Unicode MS" w:cs="Arial" w:hint="eastAsia"/>
          <w:bCs/>
          <w:sz w:val="24"/>
        </w:rPr>
        <w:t xml:space="preserve"> </w:t>
      </w:r>
      <w:r w:rsidRPr="00963E6A">
        <w:rPr>
          <w:rFonts w:ascii="Arial Unicode MS" w:hAnsi="Arial Unicode MS" w:cs="Arial" w:hint="eastAsia"/>
          <w:bCs/>
          <w:sz w:val="24"/>
        </w:rPr>
        <w:t>期末按公允价值占基金资产净值比例大小排序的所有资产支持证券投资明细</w:t>
      </w:r>
      <w:bookmarkEnd w:id="35"/>
    </w:p>
    <w:tbl>
      <w:tblPr>
        <w:tblW w:w="0" w:type="auto"/>
        <w:tblInd w:w="108" w:type="dxa"/>
        <w:tblLook w:val="04A0" w:firstRow="1" w:lastRow="0" w:firstColumn="1" w:lastColumn="0" w:noHBand="0" w:noVBand="1"/>
      </w:tblPr>
      <w:tblGrid>
        <w:gridCol w:w="222"/>
      </w:tblGrid>
      <w:tr w:rsidR="0089278D" w:rsidRPr="00963E6A" w:rsidTr="0089278D">
        <w:tc>
          <w:tcPr>
            <w:tcW w:w="0" w:type="auto"/>
            <w:vAlign w:val="center"/>
            <w:hideMark/>
          </w:tcPr>
          <w:p w:rsidR="0089278D" w:rsidRPr="00963E6A" w:rsidRDefault="0089278D" w:rsidP="00963E6A">
            <w:pPr>
              <w:spacing w:line="360" w:lineRule="auto"/>
              <w:ind w:firstLineChars="200" w:firstLine="480"/>
              <w:rPr>
                <w:rFonts w:ascii="Arial Unicode MS" w:hAnsi="Arial Unicode MS" w:cs="Arial"/>
                <w:bCs/>
                <w:sz w:val="24"/>
              </w:rPr>
            </w:pPr>
          </w:p>
        </w:tc>
      </w:tr>
    </w:tbl>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本基金本报告期末未持有资产支持证券。</w:t>
      </w:r>
    </w:p>
    <w:p w:rsidR="0089278D" w:rsidRPr="00963E6A" w:rsidRDefault="0089278D" w:rsidP="00963E6A">
      <w:pPr>
        <w:spacing w:line="360" w:lineRule="auto"/>
        <w:ind w:firstLineChars="200" w:firstLine="480"/>
        <w:rPr>
          <w:rFonts w:ascii="Arial Unicode MS" w:hAnsi="Arial Unicode MS" w:cs="Arial"/>
          <w:bCs/>
          <w:sz w:val="24"/>
        </w:rPr>
      </w:pPr>
      <w:bookmarkStart w:id="36" w:name="_Toc490848879"/>
      <w:r w:rsidRPr="00963E6A">
        <w:rPr>
          <w:rFonts w:ascii="Arial Unicode MS" w:hAnsi="Arial Unicode MS" w:cs="Arial" w:hint="eastAsia"/>
          <w:bCs/>
          <w:sz w:val="24"/>
        </w:rPr>
        <w:t>8</w:t>
      </w:r>
      <w:r w:rsidRPr="00963E6A">
        <w:rPr>
          <w:rFonts w:ascii="Arial Unicode MS" w:hAnsi="Arial Unicode MS" w:cs="Arial" w:hint="eastAsia"/>
          <w:bCs/>
          <w:sz w:val="24"/>
        </w:rPr>
        <w:t>、报告期末按公允价值占基金资产净值比例大小排序的前五名贵金属投资明细</w:t>
      </w:r>
      <w:bookmarkEnd w:id="36"/>
    </w:p>
    <w:tbl>
      <w:tblPr>
        <w:tblW w:w="0" w:type="auto"/>
        <w:tblInd w:w="108" w:type="dxa"/>
        <w:tblLook w:val="04A0" w:firstRow="1" w:lastRow="0" w:firstColumn="1" w:lastColumn="0" w:noHBand="0" w:noVBand="1"/>
      </w:tblPr>
      <w:tblGrid>
        <w:gridCol w:w="222"/>
      </w:tblGrid>
      <w:tr w:rsidR="0089278D" w:rsidRPr="00963E6A" w:rsidTr="0089278D">
        <w:tc>
          <w:tcPr>
            <w:tcW w:w="0" w:type="auto"/>
            <w:vAlign w:val="center"/>
            <w:hideMark/>
          </w:tcPr>
          <w:p w:rsidR="0089278D" w:rsidRPr="00963E6A" w:rsidRDefault="0089278D" w:rsidP="00963E6A">
            <w:pPr>
              <w:spacing w:line="360" w:lineRule="auto"/>
              <w:ind w:firstLineChars="200" w:firstLine="480"/>
              <w:rPr>
                <w:rFonts w:ascii="Arial Unicode MS" w:hAnsi="Arial Unicode MS" w:cs="Arial"/>
                <w:bCs/>
                <w:sz w:val="24"/>
              </w:rPr>
            </w:pPr>
          </w:p>
        </w:tc>
      </w:tr>
    </w:tbl>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本基金报告期末未持有贵金属。</w:t>
      </w:r>
      <w:r w:rsidRPr="00963E6A">
        <w:rPr>
          <w:rFonts w:ascii="Arial Unicode MS" w:hAnsi="Arial Unicode MS" w:cs="Arial" w:hint="eastAsia"/>
          <w:bCs/>
          <w:sz w:val="24"/>
        </w:rPr>
        <w:t> </w:t>
      </w:r>
    </w:p>
    <w:p w:rsidR="0089278D" w:rsidRPr="00963E6A" w:rsidRDefault="0089278D" w:rsidP="001F0BFF">
      <w:pPr>
        <w:spacing w:line="360" w:lineRule="auto"/>
        <w:ind w:firstLineChars="200" w:firstLine="480"/>
        <w:rPr>
          <w:rFonts w:ascii="Arial Unicode MS" w:hAnsi="Arial Unicode MS" w:cs="Arial"/>
          <w:bCs/>
          <w:sz w:val="24"/>
        </w:rPr>
      </w:pPr>
      <w:bookmarkStart w:id="37" w:name="_Toc490848880"/>
      <w:r w:rsidRPr="00963E6A">
        <w:rPr>
          <w:rFonts w:ascii="Arial Unicode MS" w:hAnsi="Arial Unicode MS" w:cs="Arial" w:hint="eastAsia"/>
          <w:bCs/>
          <w:sz w:val="24"/>
        </w:rPr>
        <w:t>9</w:t>
      </w:r>
      <w:r w:rsidRPr="00963E6A">
        <w:rPr>
          <w:rFonts w:ascii="Arial Unicode MS" w:hAnsi="Arial Unicode MS" w:cs="Arial" w:hint="eastAsia"/>
          <w:bCs/>
          <w:sz w:val="24"/>
        </w:rPr>
        <w:t>、期末按公允价值占基金资产净值比例大小排序的前五名权证投资明细</w:t>
      </w:r>
      <w:bookmarkEnd w:id="37"/>
    </w:p>
    <w:tbl>
      <w:tblPr>
        <w:tblW w:w="0" w:type="auto"/>
        <w:tblInd w:w="108" w:type="dxa"/>
        <w:tblLook w:val="04A0" w:firstRow="1" w:lastRow="0" w:firstColumn="1" w:lastColumn="0" w:noHBand="0" w:noVBand="1"/>
      </w:tblPr>
      <w:tblGrid>
        <w:gridCol w:w="222"/>
      </w:tblGrid>
      <w:tr w:rsidR="0089278D" w:rsidRPr="00963E6A" w:rsidTr="0089278D">
        <w:tc>
          <w:tcPr>
            <w:tcW w:w="0" w:type="auto"/>
            <w:vAlign w:val="center"/>
            <w:hideMark/>
          </w:tcPr>
          <w:p w:rsidR="0089278D" w:rsidRPr="00963E6A" w:rsidRDefault="0089278D" w:rsidP="00963E6A">
            <w:pPr>
              <w:spacing w:line="360" w:lineRule="auto"/>
              <w:ind w:firstLineChars="200" w:firstLine="480"/>
              <w:rPr>
                <w:rFonts w:ascii="Arial Unicode MS" w:hAnsi="Arial Unicode MS" w:cs="Arial"/>
                <w:bCs/>
                <w:sz w:val="24"/>
              </w:rPr>
            </w:pPr>
          </w:p>
        </w:tc>
      </w:tr>
    </w:tbl>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本基金报告期末未持有权证。</w:t>
      </w:r>
      <w:r w:rsidRPr="00963E6A">
        <w:rPr>
          <w:rFonts w:ascii="Arial Unicode MS" w:hAnsi="Arial Unicode MS" w:cs="Arial" w:hint="eastAsia"/>
          <w:bCs/>
          <w:sz w:val="24"/>
        </w:rPr>
        <w:t> </w:t>
      </w:r>
    </w:p>
    <w:p w:rsidR="0089278D" w:rsidRPr="00963E6A" w:rsidRDefault="0089278D" w:rsidP="00963E6A">
      <w:pPr>
        <w:spacing w:line="360" w:lineRule="auto"/>
        <w:ind w:firstLineChars="200" w:firstLine="480"/>
        <w:rPr>
          <w:rFonts w:ascii="Arial Unicode MS" w:hAnsi="Arial Unicode MS" w:cs="Arial"/>
          <w:bCs/>
          <w:sz w:val="24"/>
        </w:rPr>
      </w:pPr>
      <w:bookmarkStart w:id="38" w:name="_Toc490848881"/>
      <w:r w:rsidRPr="00963E6A">
        <w:rPr>
          <w:rFonts w:ascii="Arial Unicode MS" w:hAnsi="Arial Unicode MS" w:cs="Arial" w:hint="eastAsia"/>
          <w:bCs/>
          <w:sz w:val="24"/>
        </w:rPr>
        <w:lastRenderedPageBreak/>
        <w:t>10</w:t>
      </w:r>
      <w:r w:rsidRPr="00963E6A">
        <w:rPr>
          <w:rFonts w:ascii="Arial Unicode MS" w:hAnsi="Arial Unicode MS" w:cs="Arial" w:hint="eastAsia"/>
          <w:bCs/>
          <w:sz w:val="24"/>
        </w:rPr>
        <w:t>、报告期末本基金投资的股指期货交易情况说明</w:t>
      </w:r>
      <w:bookmarkEnd w:id="38"/>
    </w:p>
    <w:tbl>
      <w:tblPr>
        <w:tblW w:w="0" w:type="auto"/>
        <w:tblInd w:w="108" w:type="dxa"/>
        <w:tblLook w:val="04A0" w:firstRow="1" w:lastRow="0" w:firstColumn="1" w:lastColumn="0" w:noHBand="0" w:noVBand="1"/>
      </w:tblPr>
      <w:tblGrid>
        <w:gridCol w:w="222"/>
      </w:tblGrid>
      <w:tr w:rsidR="0089278D" w:rsidRPr="00963E6A" w:rsidTr="0089278D">
        <w:tc>
          <w:tcPr>
            <w:tcW w:w="0" w:type="auto"/>
            <w:vAlign w:val="center"/>
            <w:hideMark/>
          </w:tcPr>
          <w:p w:rsidR="0089278D" w:rsidRPr="00963E6A" w:rsidRDefault="0089278D" w:rsidP="00963E6A">
            <w:pPr>
              <w:spacing w:line="360" w:lineRule="auto"/>
              <w:ind w:firstLineChars="200" w:firstLine="480"/>
              <w:rPr>
                <w:rFonts w:ascii="Arial Unicode MS" w:hAnsi="Arial Unicode MS" w:cs="Arial"/>
                <w:bCs/>
                <w:sz w:val="24"/>
              </w:rPr>
            </w:pPr>
          </w:p>
        </w:tc>
      </w:tr>
    </w:tbl>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1</w:t>
      </w:r>
      <w:r w:rsidRPr="00963E6A">
        <w:rPr>
          <w:rFonts w:ascii="Arial Unicode MS" w:hAnsi="Arial Unicode MS" w:cs="Arial" w:hint="eastAsia"/>
          <w:bCs/>
          <w:sz w:val="24"/>
        </w:rPr>
        <w:t>）报告期末本基金投资的股指期货持仓和损益明细</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本基金报告期未投资股指期货。</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2</w:t>
      </w:r>
      <w:r w:rsidRPr="00963E6A">
        <w:rPr>
          <w:rFonts w:ascii="Arial Unicode MS" w:hAnsi="Arial Unicode MS" w:cs="Arial" w:hint="eastAsia"/>
          <w:bCs/>
          <w:sz w:val="24"/>
        </w:rPr>
        <w:t>）本基金投资股指期货的投资政策</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本基金报告期未投资股指期货。</w:t>
      </w:r>
      <w:r w:rsidRPr="00963E6A">
        <w:rPr>
          <w:rFonts w:ascii="Arial Unicode MS" w:hAnsi="Arial Unicode MS" w:cs="Arial" w:hint="eastAsia"/>
          <w:bCs/>
          <w:sz w:val="24"/>
        </w:rPr>
        <w:t> </w:t>
      </w:r>
    </w:p>
    <w:p w:rsidR="0089278D" w:rsidRPr="00963E6A" w:rsidRDefault="0089278D" w:rsidP="00963E6A">
      <w:pPr>
        <w:spacing w:line="360" w:lineRule="auto"/>
        <w:ind w:firstLineChars="200" w:firstLine="480"/>
        <w:rPr>
          <w:rFonts w:ascii="Arial Unicode MS" w:hAnsi="Arial Unicode MS" w:cs="Arial"/>
          <w:bCs/>
          <w:sz w:val="24"/>
        </w:rPr>
      </w:pPr>
      <w:bookmarkStart w:id="39" w:name="_Toc490848882"/>
      <w:r w:rsidRPr="00963E6A">
        <w:rPr>
          <w:rFonts w:ascii="Arial Unicode MS" w:hAnsi="Arial Unicode MS" w:cs="Arial" w:hint="eastAsia"/>
          <w:bCs/>
          <w:sz w:val="24"/>
        </w:rPr>
        <w:t>11</w:t>
      </w:r>
      <w:r w:rsidRPr="00963E6A">
        <w:rPr>
          <w:rFonts w:ascii="Arial Unicode MS" w:hAnsi="Arial Unicode MS" w:cs="Arial" w:hint="eastAsia"/>
          <w:bCs/>
          <w:sz w:val="24"/>
        </w:rPr>
        <w:t>、</w:t>
      </w:r>
      <w:r w:rsidRPr="00963E6A">
        <w:rPr>
          <w:rFonts w:ascii="Arial Unicode MS" w:hAnsi="Arial Unicode MS" w:cs="Arial" w:hint="eastAsia"/>
          <w:bCs/>
          <w:sz w:val="24"/>
        </w:rPr>
        <w:t xml:space="preserve"> </w:t>
      </w:r>
      <w:r w:rsidRPr="00963E6A">
        <w:rPr>
          <w:rFonts w:ascii="Arial Unicode MS" w:hAnsi="Arial Unicode MS" w:cs="Arial" w:hint="eastAsia"/>
          <w:bCs/>
          <w:sz w:val="24"/>
        </w:rPr>
        <w:t>报告期末本基金投资的国债期货交易情况说明</w:t>
      </w:r>
      <w:bookmarkEnd w:id="39"/>
    </w:p>
    <w:p w:rsidR="0089278D" w:rsidRPr="00963E6A" w:rsidRDefault="0089278D" w:rsidP="00963E6A">
      <w:pPr>
        <w:spacing w:line="360" w:lineRule="auto"/>
        <w:ind w:firstLineChars="200" w:firstLine="480"/>
        <w:rPr>
          <w:rFonts w:ascii="Arial Unicode MS" w:hAnsi="Arial Unicode MS" w:cs="Arial"/>
          <w:bCs/>
          <w:sz w:val="24"/>
        </w:rPr>
      </w:pPr>
      <w:bookmarkStart w:id="40" w:name="_Toc490848883"/>
      <w:r w:rsidRPr="00963E6A">
        <w:rPr>
          <w:rFonts w:ascii="Arial Unicode MS" w:hAnsi="Arial Unicode MS" w:cs="Arial" w:hint="eastAsia"/>
          <w:bCs/>
          <w:sz w:val="24"/>
        </w:rPr>
        <w:t>（</w:t>
      </w:r>
      <w:r w:rsidRPr="00963E6A">
        <w:rPr>
          <w:rFonts w:ascii="Arial Unicode MS" w:hAnsi="Arial Unicode MS" w:cs="Arial" w:hint="eastAsia"/>
          <w:bCs/>
          <w:sz w:val="24"/>
        </w:rPr>
        <w:t>1</w:t>
      </w:r>
      <w:r w:rsidRPr="00963E6A">
        <w:rPr>
          <w:rFonts w:ascii="Arial Unicode MS" w:hAnsi="Arial Unicode MS" w:cs="Arial" w:hint="eastAsia"/>
          <w:bCs/>
          <w:sz w:val="24"/>
        </w:rPr>
        <w:t>）本期国债期货投资政策</w:t>
      </w:r>
      <w:bookmarkEnd w:id="40"/>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  </w:t>
      </w:r>
      <w:r w:rsidRPr="00963E6A">
        <w:rPr>
          <w:rFonts w:ascii="Arial Unicode MS" w:hAnsi="Arial Unicode MS" w:cs="Arial" w:hint="eastAsia"/>
          <w:bCs/>
          <w:sz w:val="24"/>
        </w:rPr>
        <w:t>本基金报告期末未投资国债期货。</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2</w:t>
      </w:r>
      <w:r w:rsidRPr="00963E6A">
        <w:rPr>
          <w:rFonts w:ascii="Arial Unicode MS" w:hAnsi="Arial Unicode MS" w:cs="Arial" w:hint="eastAsia"/>
          <w:bCs/>
          <w:sz w:val="24"/>
        </w:rPr>
        <w:t>）报告期末本基金投资的国债期货持仓和损益明细</w:t>
      </w:r>
    </w:p>
    <w:tbl>
      <w:tblPr>
        <w:tblW w:w="0" w:type="auto"/>
        <w:tblInd w:w="108" w:type="dxa"/>
        <w:tblLook w:val="04A0" w:firstRow="1" w:lastRow="0" w:firstColumn="1" w:lastColumn="0" w:noHBand="0" w:noVBand="1"/>
      </w:tblPr>
      <w:tblGrid>
        <w:gridCol w:w="222"/>
      </w:tblGrid>
      <w:tr w:rsidR="0089278D" w:rsidRPr="00963E6A" w:rsidTr="0089278D">
        <w:tc>
          <w:tcPr>
            <w:tcW w:w="0" w:type="auto"/>
            <w:vAlign w:val="center"/>
            <w:hideMark/>
          </w:tcPr>
          <w:p w:rsidR="0089278D" w:rsidRPr="00963E6A" w:rsidRDefault="0089278D" w:rsidP="00963E6A">
            <w:pPr>
              <w:spacing w:line="360" w:lineRule="auto"/>
              <w:ind w:firstLineChars="200" w:firstLine="480"/>
              <w:rPr>
                <w:rFonts w:ascii="Arial Unicode MS" w:hAnsi="Arial Unicode MS" w:cs="Arial"/>
                <w:bCs/>
                <w:sz w:val="24"/>
              </w:rPr>
            </w:pPr>
          </w:p>
        </w:tc>
      </w:tr>
    </w:tbl>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本期本报告期末未投资国债期货。</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3</w:t>
      </w:r>
      <w:r w:rsidRPr="00963E6A">
        <w:rPr>
          <w:rFonts w:ascii="Arial Unicode MS" w:hAnsi="Arial Unicode MS" w:cs="Arial"/>
          <w:bCs/>
          <w:sz w:val="24"/>
        </w:rPr>
        <w:t>）</w:t>
      </w:r>
      <w:r w:rsidRPr="00963E6A">
        <w:rPr>
          <w:rFonts w:ascii="Arial Unicode MS" w:hAnsi="Arial Unicode MS" w:cs="Arial" w:hint="eastAsia"/>
          <w:bCs/>
          <w:sz w:val="24"/>
        </w:rPr>
        <w:t>本期国债期货投资评价</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  </w:t>
      </w:r>
      <w:r w:rsidRPr="00963E6A">
        <w:rPr>
          <w:rFonts w:ascii="Arial Unicode MS" w:hAnsi="Arial Unicode MS" w:cs="Arial" w:hint="eastAsia"/>
          <w:bCs/>
          <w:sz w:val="24"/>
        </w:rPr>
        <w:t>本基金本报告期末未投资国债期货。</w:t>
      </w:r>
    </w:p>
    <w:p w:rsidR="0089278D" w:rsidRPr="00963E6A" w:rsidRDefault="0089278D" w:rsidP="00963E6A">
      <w:pPr>
        <w:spacing w:line="360" w:lineRule="auto"/>
        <w:ind w:firstLineChars="200" w:firstLine="480"/>
        <w:rPr>
          <w:rFonts w:ascii="Arial Unicode MS" w:hAnsi="Arial Unicode MS" w:cs="Arial"/>
          <w:bCs/>
          <w:sz w:val="24"/>
        </w:rPr>
      </w:pPr>
      <w:bookmarkStart w:id="41" w:name="_Toc490848884"/>
      <w:r w:rsidRPr="00963E6A">
        <w:rPr>
          <w:rFonts w:ascii="Arial Unicode MS" w:hAnsi="Arial Unicode MS" w:cs="Arial" w:hint="eastAsia"/>
          <w:bCs/>
          <w:sz w:val="24"/>
        </w:rPr>
        <w:t>12</w:t>
      </w:r>
      <w:r w:rsidRPr="00963E6A">
        <w:rPr>
          <w:rFonts w:ascii="Arial Unicode MS" w:hAnsi="Arial Unicode MS" w:cs="Arial" w:hint="eastAsia"/>
          <w:bCs/>
          <w:sz w:val="24"/>
        </w:rPr>
        <w:t>、</w:t>
      </w:r>
      <w:r w:rsidRPr="00963E6A">
        <w:rPr>
          <w:rFonts w:ascii="Arial Unicode MS" w:hAnsi="Arial Unicode MS" w:cs="Arial" w:hint="eastAsia"/>
          <w:bCs/>
          <w:sz w:val="24"/>
        </w:rPr>
        <w:t xml:space="preserve"> </w:t>
      </w:r>
      <w:r w:rsidRPr="00963E6A">
        <w:rPr>
          <w:rFonts w:ascii="Arial Unicode MS" w:hAnsi="Arial Unicode MS" w:cs="Arial" w:hint="eastAsia"/>
          <w:bCs/>
          <w:sz w:val="24"/>
        </w:rPr>
        <w:t>投资组合报告附注</w:t>
      </w:r>
      <w:bookmarkEnd w:id="41"/>
    </w:p>
    <w:p w:rsidR="0089278D" w:rsidRPr="00963E6A" w:rsidRDefault="001F0BFF"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1</w:t>
      </w:r>
      <w:r w:rsidRPr="00963E6A">
        <w:rPr>
          <w:rFonts w:ascii="Arial Unicode MS" w:hAnsi="Arial Unicode MS" w:cs="Arial" w:hint="eastAsia"/>
          <w:bCs/>
          <w:sz w:val="24"/>
        </w:rPr>
        <w:t>）</w:t>
      </w:r>
      <w:r w:rsidR="0089278D" w:rsidRPr="00963E6A">
        <w:rPr>
          <w:rFonts w:ascii="Arial Unicode MS" w:hAnsi="Arial Unicode MS" w:cs="Arial" w:hint="eastAsia"/>
          <w:bCs/>
          <w:sz w:val="24"/>
        </w:rPr>
        <w:t>基金本报告期投资的前十名证券的发行主体</w:t>
      </w:r>
      <w:r w:rsidR="0089278D" w:rsidRPr="00963E6A">
        <w:rPr>
          <w:rFonts w:ascii="Arial Unicode MS" w:hAnsi="Arial Unicode MS" w:cs="Arial" w:hint="eastAsia"/>
          <w:bCs/>
          <w:sz w:val="24"/>
        </w:rPr>
        <w:t>,</w:t>
      </w:r>
      <w:r w:rsidR="0089278D" w:rsidRPr="00963E6A">
        <w:rPr>
          <w:rFonts w:ascii="Arial Unicode MS" w:hAnsi="Arial Unicode MS" w:cs="Arial" w:hint="eastAsia"/>
          <w:bCs/>
          <w:sz w:val="24"/>
        </w:rPr>
        <w:t>本报告期没有出现被监管部门立案调查的情形</w:t>
      </w:r>
      <w:r w:rsidR="0089278D" w:rsidRPr="00963E6A">
        <w:rPr>
          <w:rFonts w:ascii="Arial Unicode MS" w:hAnsi="Arial Unicode MS" w:cs="Arial" w:hint="eastAsia"/>
          <w:bCs/>
          <w:sz w:val="24"/>
        </w:rPr>
        <w:t>,</w:t>
      </w:r>
      <w:r w:rsidR="0089278D" w:rsidRPr="00963E6A">
        <w:rPr>
          <w:rFonts w:ascii="Arial Unicode MS" w:hAnsi="Arial Unicode MS" w:cs="Arial" w:hint="eastAsia"/>
          <w:bCs/>
          <w:sz w:val="24"/>
        </w:rPr>
        <w:t>也没有出现在报告编制日前一年内受到公开谴责、处罚的情形。</w:t>
      </w:r>
      <w:r w:rsidR="0089278D" w:rsidRPr="00963E6A">
        <w:rPr>
          <w:rFonts w:ascii="Arial Unicode MS" w:hAnsi="Arial Unicode MS" w:cs="Arial" w:hint="eastAsia"/>
          <w:bCs/>
          <w:sz w:val="24"/>
        </w:rPr>
        <w:t> </w:t>
      </w:r>
    </w:p>
    <w:p w:rsidR="0089278D" w:rsidRPr="00963E6A" w:rsidRDefault="001F0BFF"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2</w:t>
      </w:r>
      <w:r w:rsidRPr="00963E6A">
        <w:rPr>
          <w:rFonts w:ascii="Arial Unicode MS" w:hAnsi="Arial Unicode MS" w:cs="Arial" w:hint="eastAsia"/>
          <w:bCs/>
          <w:sz w:val="24"/>
        </w:rPr>
        <w:t>）</w:t>
      </w:r>
      <w:r w:rsidR="0089278D" w:rsidRPr="00963E6A">
        <w:rPr>
          <w:rFonts w:ascii="Arial Unicode MS" w:hAnsi="Arial Unicode MS" w:cs="Arial" w:hint="eastAsia"/>
          <w:bCs/>
          <w:sz w:val="24"/>
        </w:rPr>
        <w:t>本基金本报告期末未持有股票。</w:t>
      </w:r>
    </w:p>
    <w:p w:rsidR="0089278D" w:rsidRPr="00963E6A" w:rsidRDefault="001F0BFF"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3</w:t>
      </w:r>
      <w:r w:rsidRPr="00963E6A">
        <w:rPr>
          <w:rFonts w:ascii="Arial Unicode MS" w:hAnsi="Arial Unicode MS" w:cs="Arial"/>
          <w:bCs/>
          <w:sz w:val="24"/>
        </w:rPr>
        <w:t>）</w:t>
      </w:r>
      <w:r w:rsidR="0089278D" w:rsidRPr="00963E6A">
        <w:rPr>
          <w:rFonts w:ascii="Arial Unicode MS" w:hAnsi="Arial Unicode MS" w:cs="Arial" w:hint="eastAsia"/>
          <w:bCs/>
          <w:sz w:val="24"/>
        </w:rPr>
        <w:t>期末其他各项资产构成</w:t>
      </w:r>
    </w:p>
    <w:p w:rsidR="0089278D" w:rsidRPr="00963E6A" w:rsidRDefault="0089278D" w:rsidP="0089278D">
      <w:pPr>
        <w:pStyle w:val="biaogeright"/>
        <w:spacing w:line="360" w:lineRule="auto"/>
      </w:pPr>
      <w:r w:rsidRPr="00963E6A">
        <w:rPr>
          <w:rFonts w:hAnsi="Calibri" w:hint="eastAsia"/>
          <w:color w:val="000000"/>
        </w:rPr>
        <w:t>单位：人民币元</w:t>
      </w:r>
    </w:p>
    <w:tbl>
      <w:tblPr>
        <w:tblW w:w="0" w:type="auto"/>
        <w:tblInd w:w="108" w:type="dxa"/>
        <w:tblLook w:val="04A0" w:firstRow="1" w:lastRow="0" w:firstColumn="1" w:lastColumn="0" w:noHBand="0" w:noVBand="1"/>
      </w:tblPr>
      <w:tblGrid>
        <w:gridCol w:w="710"/>
        <w:gridCol w:w="3497"/>
        <w:gridCol w:w="4541"/>
      </w:tblGrid>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序号</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名称</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金额</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1</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存出保证金</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2,675.04</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2</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应收证券清算款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lastRenderedPageBreak/>
              <w:t>3</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应收股利</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4</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应收利息</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2,212,069.87</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5</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应收申购款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6</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其他应收款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7</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待摊费用</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8</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其他</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w:t>
            </w:r>
          </w:p>
        </w:tc>
      </w:tr>
      <w:tr w:rsidR="0089278D" w:rsidRPr="00963E6A" w:rsidTr="0089278D">
        <w:tc>
          <w:tcPr>
            <w:tcW w:w="72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9</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合计</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2,214,744.91</w:t>
            </w:r>
          </w:p>
        </w:tc>
      </w:tr>
    </w:tbl>
    <w:p w:rsidR="0089278D" w:rsidRPr="00963E6A" w:rsidRDefault="0089278D" w:rsidP="00963E6A">
      <w:pPr>
        <w:spacing w:line="360" w:lineRule="auto"/>
        <w:ind w:firstLineChars="200" w:firstLine="480"/>
        <w:rPr>
          <w:rFonts w:ascii="Arial Unicode MS" w:hAnsi="Arial Unicode MS" w:cs="Arial"/>
          <w:bCs/>
          <w:sz w:val="24"/>
        </w:rPr>
      </w:pPr>
    </w:p>
    <w:p w:rsidR="0089278D" w:rsidRPr="00963E6A" w:rsidRDefault="001F0BFF" w:rsidP="001F0BFF">
      <w:pPr>
        <w:spacing w:line="360" w:lineRule="auto"/>
        <w:ind w:firstLineChars="200" w:firstLine="480"/>
        <w:rPr>
          <w:rFonts w:ascii="Arial Unicode MS" w:hAnsi="Arial Unicode MS" w:cs="Arial"/>
          <w:bCs/>
          <w:sz w:val="24"/>
        </w:rPr>
      </w:pPr>
      <w:r>
        <w:rPr>
          <w:rFonts w:ascii="Arial Unicode MS" w:hAnsi="Arial Unicode MS" w:cs="Arial" w:hint="eastAsia"/>
          <w:bCs/>
          <w:sz w:val="24"/>
        </w:rPr>
        <w:t>（</w:t>
      </w:r>
      <w:r>
        <w:rPr>
          <w:rFonts w:ascii="Arial Unicode MS" w:hAnsi="Arial Unicode MS" w:cs="Arial" w:hint="eastAsia"/>
          <w:bCs/>
          <w:sz w:val="24"/>
        </w:rPr>
        <w:t>4</w:t>
      </w:r>
      <w:r>
        <w:rPr>
          <w:rFonts w:ascii="Arial Unicode MS" w:hAnsi="Arial Unicode MS" w:cs="Arial" w:hint="eastAsia"/>
          <w:bCs/>
          <w:sz w:val="24"/>
        </w:rPr>
        <w:t>）</w:t>
      </w:r>
      <w:r w:rsidR="0089278D" w:rsidRPr="00963E6A">
        <w:rPr>
          <w:rFonts w:ascii="Arial Unicode MS" w:hAnsi="Arial Unicode MS" w:cs="Arial" w:hint="eastAsia"/>
          <w:bCs/>
          <w:sz w:val="24"/>
        </w:rPr>
        <w:t xml:space="preserve"> </w:t>
      </w:r>
      <w:r w:rsidR="0089278D" w:rsidRPr="00963E6A">
        <w:rPr>
          <w:rFonts w:ascii="Arial Unicode MS" w:hAnsi="Arial Unicode MS" w:cs="Arial" w:hint="eastAsia"/>
          <w:bCs/>
          <w:sz w:val="24"/>
        </w:rPr>
        <w:t>期末持有的处于转股期的可转换债券明细</w:t>
      </w:r>
    </w:p>
    <w:tbl>
      <w:tblPr>
        <w:tblW w:w="0" w:type="auto"/>
        <w:tblInd w:w="108" w:type="dxa"/>
        <w:tblLook w:val="04A0" w:firstRow="1" w:lastRow="0" w:firstColumn="1" w:lastColumn="0" w:noHBand="0" w:noVBand="1"/>
      </w:tblPr>
      <w:tblGrid>
        <w:gridCol w:w="222"/>
      </w:tblGrid>
      <w:tr w:rsidR="0089278D" w:rsidRPr="00963E6A" w:rsidTr="0089278D">
        <w:tc>
          <w:tcPr>
            <w:tcW w:w="0" w:type="auto"/>
            <w:vAlign w:val="center"/>
            <w:hideMark/>
          </w:tcPr>
          <w:p w:rsidR="0089278D" w:rsidRPr="00963E6A" w:rsidRDefault="0089278D" w:rsidP="00963E6A">
            <w:pPr>
              <w:spacing w:line="360" w:lineRule="auto"/>
              <w:ind w:firstLineChars="200" w:firstLine="480"/>
              <w:rPr>
                <w:rFonts w:ascii="Arial Unicode MS" w:hAnsi="Arial Unicode MS" w:cs="Arial"/>
                <w:bCs/>
                <w:sz w:val="24"/>
              </w:rPr>
            </w:pPr>
          </w:p>
        </w:tc>
      </w:tr>
    </w:tbl>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本基金报告期末未持有处于转股的可换债券。</w:t>
      </w:r>
    </w:p>
    <w:p w:rsidR="0089278D" w:rsidRPr="00963E6A" w:rsidRDefault="001F0BFF" w:rsidP="001F0BFF">
      <w:pPr>
        <w:spacing w:line="360" w:lineRule="auto"/>
        <w:ind w:firstLineChars="200" w:firstLine="480"/>
        <w:rPr>
          <w:rFonts w:ascii="Arial Unicode MS" w:hAnsi="Arial Unicode MS" w:cs="Arial"/>
          <w:bCs/>
          <w:sz w:val="24"/>
        </w:rPr>
      </w:pPr>
      <w:r>
        <w:rPr>
          <w:rFonts w:ascii="Arial Unicode MS" w:hAnsi="Arial Unicode MS" w:cs="Arial" w:hint="eastAsia"/>
          <w:bCs/>
          <w:sz w:val="24"/>
        </w:rPr>
        <w:t>（</w:t>
      </w:r>
      <w:r>
        <w:rPr>
          <w:rFonts w:ascii="Arial Unicode MS" w:hAnsi="Arial Unicode MS" w:cs="Arial" w:hint="eastAsia"/>
          <w:bCs/>
          <w:sz w:val="24"/>
        </w:rPr>
        <w:t>5</w:t>
      </w:r>
      <w:r>
        <w:rPr>
          <w:rFonts w:ascii="Arial Unicode MS" w:hAnsi="Arial Unicode MS" w:cs="Arial" w:hint="eastAsia"/>
          <w:bCs/>
          <w:sz w:val="24"/>
        </w:rPr>
        <w:t>）</w:t>
      </w:r>
      <w:r w:rsidR="0089278D" w:rsidRPr="00963E6A">
        <w:rPr>
          <w:rFonts w:ascii="Arial Unicode MS" w:hAnsi="Arial Unicode MS" w:cs="Arial" w:hint="eastAsia"/>
          <w:bCs/>
          <w:sz w:val="24"/>
        </w:rPr>
        <w:t>期末前十名股票中存在流通受限情况的说明</w:t>
      </w:r>
    </w:p>
    <w:tbl>
      <w:tblPr>
        <w:tblW w:w="0" w:type="auto"/>
        <w:tblInd w:w="108" w:type="dxa"/>
        <w:tblLook w:val="04A0" w:firstRow="1" w:lastRow="0" w:firstColumn="1" w:lastColumn="0" w:noHBand="0" w:noVBand="1"/>
      </w:tblPr>
      <w:tblGrid>
        <w:gridCol w:w="222"/>
      </w:tblGrid>
      <w:tr w:rsidR="0089278D" w:rsidRPr="00963E6A" w:rsidTr="0089278D">
        <w:tc>
          <w:tcPr>
            <w:tcW w:w="0" w:type="auto"/>
            <w:vAlign w:val="center"/>
            <w:hideMark/>
          </w:tcPr>
          <w:p w:rsidR="0089278D" w:rsidRPr="00963E6A" w:rsidRDefault="0089278D" w:rsidP="00963E6A">
            <w:pPr>
              <w:spacing w:line="360" w:lineRule="auto"/>
              <w:ind w:firstLineChars="200" w:firstLine="480"/>
              <w:rPr>
                <w:rFonts w:ascii="Arial Unicode MS" w:hAnsi="Arial Unicode MS" w:cs="Arial"/>
                <w:bCs/>
                <w:sz w:val="24"/>
              </w:rPr>
            </w:pPr>
          </w:p>
        </w:tc>
      </w:tr>
    </w:tbl>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本基金本报告期末未持有股票。</w:t>
      </w:r>
    </w:p>
    <w:p w:rsidR="0089278D" w:rsidRPr="00963E6A" w:rsidRDefault="001F0BFF" w:rsidP="000B30C8">
      <w:pPr>
        <w:spacing w:line="360" w:lineRule="auto"/>
        <w:ind w:firstLineChars="200" w:firstLine="480"/>
        <w:rPr>
          <w:rFonts w:ascii="Arial Unicode MS" w:hAnsi="Arial Unicode MS" w:cs="Arial"/>
          <w:bCs/>
          <w:sz w:val="24"/>
        </w:rPr>
      </w:pPr>
      <w:r>
        <w:rPr>
          <w:rFonts w:ascii="Arial Unicode MS" w:hAnsi="Arial Unicode MS" w:cs="Arial" w:hint="eastAsia"/>
          <w:bCs/>
          <w:sz w:val="24"/>
        </w:rPr>
        <w:t>（</w:t>
      </w:r>
      <w:r>
        <w:rPr>
          <w:rFonts w:ascii="Arial Unicode MS" w:hAnsi="Arial Unicode MS" w:cs="Arial" w:hint="eastAsia"/>
          <w:bCs/>
          <w:sz w:val="24"/>
        </w:rPr>
        <w:t>6</w:t>
      </w:r>
      <w:r>
        <w:rPr>
          <w:rFonts w:ascii="Arial Unicode MS" w:hAnsi="Arial Unicode MS" w:cs="Arial" w:hint="eastAsia"/>
          <w:bCs/>
          <w:sz w:val="24"/>
        </w:rPr>
        <w:t>）</w:t>
      </w:r>
      <w:r w:rsidR="0089278D" w:rsidRPr="00963E6A">
        <w:rPr>
          <w:rFonts w:ascii="Arial Unicode MS" w:hAnsi="Arial Unicode MS" w:cs="Arial" w:hint="eastAsia"/>
          <w:bCs/>
          <w:sz w:val="24"/>
        </w:rPr>
        <w:t>期末积极投资前五名股票中存在流通受限情况的说明</w:t>
      </w:r>
      <w:bookmarkStart w:id="42" w:name="_GoBack"/>
      <w:bookmarkEnd w:id="42"/>
    </w:p>
    <w:tbl>
      <w:tblPr>
        <w:tblW w:w="0" w:type="auto"/>
        <w:tblInd w:w="108" w:type="dxa"/>
        <w:tblLook w:val="04A0" w:firstRow="1" w:lastRow="0" w:firstColumn="1" w:lastColumn="0" w:noHBand="0" w:noVBand="1"/>
      </w:tblPr>
      <w:tblGrid>
        <w:gridCol w:w="222"/>
      </w:tblGrid>
      <w:tr w:rsidR="0089278D" w:rsidRPr="00963E6A" w:rsidTr="0089278D">
        <w:tc>
          <w:tcPr>
            <w:tcW w:w="0" w:type="auto"/>
            <w:vAlign w:val="center"/>
            <w:hideMark/>
          </w:tcPr>
          <w:p w:rsidR="0089278D" w:rsidRPr="00963E6A" w:rsidRDefault="0089278D" w:rsidP="00963E6A">
            <w:pPr>
              <w:spacing w:line="360" w:lineRule="auto"/>
              <w:ind w:firstLineChars="200" w:firstLine="480"/>
              <w:rPr>
                <w:rFonts w:ascii="Arial Unicode MS" w:hAnsi="Arial Unicode MS" w:cs="Arial"/>
                <w:bCs/>
                <w:sz w:val="24"/>
              </w:rPr>
            </w:pPr>
          </w:p>
        </w:tc>
      </w:tr>
    </w:tbl>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本基金本报告期末未持有股票。</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w:t>
      </w:r>
      <w:r w:rsidRPr="00963E6A">
        <w:rPr>
          <w:rFonts w:ascii="Arial Unicode MS" w:hAnsi="Arial Unicode MS" w:cs="Arial" w:hint="eastAsia"/>
          <w:bCs/>
          <w:sz w:val="24"/>
        </w:rPr>
        <w:t>7</w:t>
      </w:r>
      <w:r w:rsidRPr="00963E6A">
        <w:rPr>
          <w:rFonts w:ascii="Arial Unicode MS" w:hAnsi="Arial Unicode MS" w:cs="Arial" w:hint="eastAsia"/>
          <w:bCs/>
          <w:sz w:val="24"/>
        </w:rPr>
        <w:t>）</w:t>
      </w:r>
      <w:r w:rsidRPr="00963E6A">
        <w:rPr>
          <w:rFonts w:ascii="Arial Unicode MS" w:hAnsi="Arial Unicode MS" w:cs="Arial" w:hint="eastAsia"/>
          <w:bCs/>
          <w:sz w:val="24"/>
        </w:rPr>
        <w:t xml:space="preserve"> </w:t>
      </w:r>
      <w:r w:rsidRPr="00963E6A">
        <w:rPr>
          <w:rFonts w:ascii="Arial Unicode MS" w:hAnsi="Arial Unicode MS" w:cs="Arial" w:hint="eastAsia"/>
          <w:bCs/>
          <w:sz w:val="24"/>
        </w:rPr>
        <w:t>投资组合报告附注的其他文字描述部分</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bCs/>
          <w:sz w:val="24"/>
        </w:rPr>
        <w:t>  </w:t>
      </w:r>
      <w:r w:rsidRPr="00963E6A">
        <w:rPr>
          <w:rFonts w:ascii="Arial Unicode MS" w:hAnsi="Arial Unicode MS" w:cs="Arial" w:hint="eastAsia"/>
          <w:bCs/>
          <w:sz w:val="24"/>
        </w:rPr>
        <w:t>由于四舍五入原因，分项之和与合计可能有尾差。</w:t>
      </w:r>
    </w:p>
    <w:p w:rsidR="0089278D" w:rsidRPr="00963E6A" w:rsidRDefault="00963E6A"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（十）</w:t>
      </w:r>
      <w:r w:rsidR="0089278D" w:rsidRPr="00963E6A">
        <w:rPr>
          <w:rFonts w:ascii="Arial Unicode MS" w:hAnsi="Arial Unicode MS" w:cs="Arial" w:hint="eastAsia"/>
          <w:bCs/>
          <w:sz w:val="24"/>
        </w:rPr>
        <w:t>开放式基金份额变动</w:t>
      </w:r>
    </w:p>
    <w:p w:rsidR="0089278D" w:rsidRPr="00963E6A" w:rsidRDefault="0089278D" w:rsidP="0089278D">
      <w:pPr>
        <w:widowControl/>
        <w:autoSpaceDE w:val="0"/>
        <w:autoSpaceDN w:val="0"/>
        <w:adjustRightInd w:val="0"/>
        <w:spacing w:line="360" w:lineRule="auto"/>
        <w:jc w:val="right"/>
        <w:rPr>
          <w:rFonts w:ascii="宋体" w:hAnsi="宋体" w:cs="宋体"/>
          <w:kern w:val="0"/>
          <w:sz w:val="24"/>
        </w:rPr>
      </w:pPr>
      <w:r w:rsidRPr="00963E6A">
        <w:rPr>
          <w:rFonts w:ascii="宋体" w:cs="宋体" w:hint="eastAsia"/>
          <w:color w:val="000000"/>
          <w:kern w:val="0"/>
          <w:sz w:val="24"/>
        </w:rPr>
        <w:t>单位：份</w:t>
      </w:r>
    </w:p>
    <w:tbl>
      <w:tblPr>
        <w:tblW w:w="0" w:type="auto"/>
        <w:tblInd w:w="108" w:type="dxa"/>
        <w:tblLook w:val="04A0" w:firstRow="1" w:lastRow="0" w:firstColumn="1" w:lastColumn="0" w:noHBand="0" w:noVBand="1"/>
      </w:tblPr>
      <w:tblGrid>
        <w:gridCol w:w="5944"/>
        <w:gridCol w:w="2804"/>
      </w:tblGrid>
      <w:tr w:rsidR="0089278D" w:rsidRPr="00963E6A" w:rsidTr="0089278D">
        <w:tc>
          <w:tcPr>
            <w:tcW w:w="613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基金合同生效日(2017年03月09日)基金份额总额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200,019,971.80</w:t>
            </w:r>
          </w:p>
        </w:tc>
      </w:tr>
      <w:tr w:rsidR="0089278D" w:rsidRPr="00963E6A" w:rsidTr="0089278D">
        <w:tc>
          <w:tcPr>
            <w:tcW w:w="613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基金合同生效日起至报告期期末基金总申购份额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17.86</w:t>
            </w:r>
          </w:p>
        </w:tc>
      </w:tr>
      <w:tr w:rsidR="0089278D" w:rsidRPr="00963E6A" w:rsidTr="0089278D">
        <w:tc>
          <w:tcPr>
            <w:tcW w:w="613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减：基金合同生效日起至报告期期末基金总赎回份额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1,708.30</w:t>
            </w:r>
          </w:p>
        </w:tc>
      </w:tr>
      <w:tr w:rsidR="0089278D" w:rsidRPr="00963E6A" w:rsidTr="0089278D">
        <w:tc>
          <w:tcPr>
            <w:tcW w:w="613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基金合同生效日起至报告期期末基金拆分变动份额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0.00</w:t>
            </w:r>
          </w:p>
        </w:tc>
      </w:tr>
      <w:tr w:rsidR="0089278D" w:rsidRPr="00963E6A" w:rsidTr="0089278D">
        <w:tc>
          <w:tcPr>
            <w:tcW w:w="6138"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本报告期期末基金份额总额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int="eastAsia"/>
              </w:rPr>
              <w:t>200,018,281.36</w:t>
            </w:r>
          </w:p>
        </w:tc>
      </w:tr>
    </w:tbl>
    <w:p w:rsidR="00963E6A" w:rsidRPr="00963E6A" w:rsidRDefault="00963E6A" w:rsidP="00963E6A">
      <w:pPr>
        <w:spacing w:line="360" w:lineRule="auto"/>
        <w:ind w:firstLineChars="200" w:firstLine="480"/>
        <w:rPr>
          <w:rFonts w:ascii="Arial Unicode MS" w:hAnsi="Arial Unicode MS" w:cs="Arial"/>
          <w:bCs/>
          <w:sz w:val="24"/>
        </w:rPr>
      </w:pPr>
    </w:p>
    <w:p w:rsidR="0089278D" w:rsidRPr="00963E6A" w:rsidRDefault="00963E6A"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lastRenderedPageBreak/>
        <w:t>（十一）</w:t>
      </w:r>
      <w:r w:rsidR="0089278D" w:rsidRPr="00963E6A">
        <w:rPr>
          <w:rFonts w:ascii="Arial Unicode MS" w:hAnsi="Arial Unicode MS" w:cs="Arial" w:hint="eastAsia"/>
          <w:bCs/>
          <w:sz w:val="24"/>
        </w:rPr>
        <w:t>基金管理人运用固有资金投资本基金交易明细</w:t>
      </w:r>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本报告期内基金管理人未运用固有资金投资本基金。</w:t>
      </w:r>
    </w:p>
    <w:p w:rsidR="0089278D" w:rsidRPr="00963E6A" w:rsidRDefault="00963E6A"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（十二）</w:t>
      </w:r>
      <w:r w:rsidR="0089278D" w:rsidRPr="00963E6A">
        <w:rPr>
          <w:rFonts w:ascii="Arial Unicode MS" w:hAnsi="Arial Unicode MS" w:cs="Arial" w:hint="eastAsia"/>
          <w:bCs/>
          <w:sz w:val="24"/>
        </w:rPr>
        <w:t>影响投资者决策的其他重要信息</w:t>
      </w:r>
    </w:p>
    <w:p w:rsidR="0089278D" w:rsidRPr="00963E6A" w:rsidRDefault="0089278D" w:rsidP="00963E6A">
      <w:pPr>
        <w:spacing w:line="360" w:lineRule="auto"/>
        <w:ind w:firstLineChars="200" w:firstLine="480"/>
        <w:rPr>
          <w:rFonts w:ascii="Arial Unicode MS" w:hAnsi="Arial Unicode MS" w:cs="Arial"/>
          <w:bCs/>
          <w:sz w:val="24"/>
        </w:rPr>
      </w:pPr>
      <w:bookmarkStart w:id="43" w:name="_Toc490848900"/>
      <w:r w:rsidRPr="00963E6A">
        <w:rPr>
          <w:rFonts w:ascii="Arial Unicode MS" w:hAnsi="Arial Unicode MS" w:cs="Arial" w:hint="eastAsia"/>
          <w:bCs/>
          <w:sz w:val="24"/>
        </w:rPr>
        <w:t>1</w:t>
      </w:r>
      <w:r w:rsidRPr="00963E6A">
        <w:rPr>
          <w:rFonts w:ascii="Arial Unicode MS" w:hAnsi="Arial Unicode MS" w:cs="Arial" w:hint="eastAsia"/>
          <w:bCs/>
          <w:sz w:val="24"/>
        </w:rPr>
        <w:t>、</w:t>
      </w:r>
      <w:r w:rsidRPr="00963E6A">
        <w:rPr>
          <w:rFonts w:ascii="Arial Unicode MS" w:hAnsi="Arial Unicode MS" w:cs="Arial" w:hint="eastAsia"/>
          <w:bCs/>
          <w:sz w:val="24"/>
        </w:rPr>
        <w:t xml:space="preserve"> </w:t>
      </w:r>
      <w:r w:rsidRPr="00963E6A">
        <w:rPr>
          <w:rFonts w:ascii="Arial Unicode MS" w:hAnsi="Arial Unicode MS" w:cs="Arial" w:hint="eastAsia"/>
          <w:bCs/>
          <w:sz w:val="24"/>
        </w:rPr>
        <w:t>报告期内单一投资者持有基金份额比例达到或超过</w:t>
      </w:r>
      <w:r w:rsidRPr="00963E6A">
        <w:rPr>
          <w:rFonts w:ascii="Arial Unicode MS" w:hAnsi="Arial Unicode MS" w:cs="Arial" w:hint="eastAsia"/>
          <w:bCs/>
          <w:sz w:val="24"/>
        </w:rPr>
        <w:t>20%</w:t>
      </w:r>
      <w:r w:rsidRPr="00963E6A">
        <w:rPr>
          <w:rFonts w:ascii="Arial Unicode MS" w:hAnsi="Arial Unicode MS" w:cs="Arial" w:hint="eastAsia"/>
          <w:bCs/>
          <w:sz w:val="24"/>
        </w:rPr>
        <w:t>的情况</w:t>
      </w:r>
      <w:bookmarkEnd w:id="43"/>
    </w:p>
    <w:tbl>
      <w:tblPr>
        <w:tblW w:w="10626" w:type="dxa"/>
        <w:tblInd w:w="-318" w:type="dxa"/>
        <w:tblLook w:val="04A0" w:firstRow="1" w:lastRow="0" w:firstColumn="1" w:lastColumn="0" w:noHBand="0" w:noVBand="1"/>
      </w:tblPr>
      <w:tblGrid>
        <w:gridCol w:w="710"/>
        <w:gridCol w:w="472"/>
        <w:gridCol w:w="1371"/>
        <w:gridCol w:w="2044"/>
        <w:gridCol w:w="1498"/>
        <w:gridCol w:w="1560"/>
        <w:gridCol w:w="2132"/>
        <w:gridCol w:w="839"/>
      </w:tblGrid>
      <w:tr w:rsidR="0089278D" w:rsidRPr="00963E6A" w:rsidTr="0089278D">
        <w:tc>
          <w:tcPr>
            <w:tcW w:w="334" w:type="pct"/>
            <w:vMerge w:val="restar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b/>
                <w:color w:val="000000"/>
              </w:rPr>
              <w:t>投资者类别</w:t>
            </w:r>
          </w:p>
        </w:tc>
        <w:tc>
          <w:tcPr>
            <w:tcW w:w="3268" w:type="pct"/>
            <w:gridSpan w:val="5"/>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报告期内持有基金份额变化情况</w:t>
            </w:r>
          </w:p>
        </w:tc>
        <w:tc>
          <w:tcPr>
            <w:tcW w:w="1398" w:type="pct"/>
            <w:gridSpan w:val="2"/>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报告期末持有基金情况</w:t>
            </w:r>
          </w:p>
        </w:tc>
      </w:tr>
      <w:tr w:rsidR="0089278D" w:rsidRPr="00963E6A" w:rsidTr="0089278D">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widowControl/>
              <w:jc w:val="left"/>
              <w:rPr>
                <w:rFonts w:ascii="宋体" w:hAnsi="宋体" w:cs="宋体"/>
                <w:kern w:val="0"/>
                <w:sz w:val="24"/>
              </w:rPr>
            </w:pPr>
          </w:p>
        </w:tc>
        <w:tc>
          <w:tcPr>
            <w:tcW w:w="222"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序号</w:t>
            </w:r>
          </w:p>
        </w:tc>
        <w:tc>
          <w:tcPr>
            <w:tcW w:w="645"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持有基金份额比例达到或者超过20%的时间区间</w:t>
            </w:r>
          </w:p>
        </w:tc>
        <w:tc>
          <w:tcPr>
            <w:tcW w:w="962"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期初份额</w:t>
            </w:r>
          </w:p>
        </w:tc>
        <w:tc>
          <w:tcPr>
            <w:tcW w:w="705"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申购份额</w:t>
            </w:r>
          </w:p>
        </w:tc>
        <w:tc>
          <w:tcPr>
            <w:tcW w:w="734"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赎回份额</w:t>
            </w:r>
          </w:p>
        </w:tc>
        <w:tc>
          <w:tcPr>
            <w:tcW w:w="1003"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持有份额</w:t>
            </w:r>
          </w:p>
        </w:tc>
        <w:tc>
          <w:tcPr>
            <w:tcW w:w="395"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int="eastAsia"/>
              </w:rPr>
              <w:t>份额占比(%)</w:t>
            </w:r>
          </w:p>
        </w:tc>
      </w:tr>
      <w:tr w:rsidR="0089278D" w:rsidRPr="00963E6A" w:rsidTr="0089278D">
        <w:tc>
          <w:tcPr>
            <w:tcW w:w="334"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机构</w:t>
            </w:r>
          </w:p>
        </w:tc>
        <w:tc>
          <w:tcPr>
            <w:tcW w:w="222"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1</w:t>
            </w:r>
          </w:p>
        </w:tc>
        <w:tc>
          <w:tcPr>
            <w:tcW w:w="645"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20170309 - 20170630</w:t>
            </w:r>
          </w:p>
        </w:tc>
        <w:tc>
          <w:tcPr>
            <w:tcW w:w="962"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199,999,000.00</w:t>
            </w:r>
          </w:p>
        </w:tc>
        <w:tc>
          <w:tcPr>
            <w:tcW w:w="705"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0.00</w:t>
            </w:r>
          </w:p>
        </w:tc>
        <w:tc>
          <w:tcPr>
            <w:tcW w:w="734"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0.00</w:t>
            </w:r>
          </w:p>
        </w:tc>
        <w:tc>
          <w:tcPr>
            <w:tcW w:w="1003"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199,999,000.00</w:t>
            </w:r>
          </w:p>
        </w:tc>
        <w:tc>
          <w:tcPr>
            <w:tcW w:w="395" w:type="pct"/>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99.99</w:t>
            </w:r>
          </w:p>
        </w:tc>
      </w:tr>
      <w:tr w:rsidR="0089278D" w:rsidRPr="00963E6A" w:rsidTr="0089278D">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产品特有风险</w:t>
            </w:r>
          </w:p>
        </w:tc>
      </w:tr>
      <w:tr w:rsidR="0089278D" w:rsidRPr="00963E6A" w:rsidTr="0089278D">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rPr>
              <w:t>  本报告期本基金存在单一投资者持有基金份额比例达到或者超过20%的情况，未来或存在如下风险，敬请投资者留意：</w:t>
            </w:r>
            <w:r w:rsidRPr="00963E6A">
              <w:rPr>
                <w:rFonts w:hint="eastAsia"/>
              </w:rPr>
              <w:br/>
              <w:t>  （1）赎回申请延期办理的风险</w:t>
            </w:r>
            <w:r w:rsidRPr="00963E6A">
              <w:rPr>
                <w:rFonts w:hint="eastAsia"/>
              </w:rPr>
              <w:br/>
              <w:t>  持有份额比例较高的投资者（"高比例投资者"）大额赎回时易构成本基金发生巨额赎回，中小投资者可能面临赎回申请需要与高比例投资者按同比例部分延期办理的风险。</w:t>
            </w:r>
            <w:r w:rsidRPr="00963E6A">
              <w:rPr>
                <w:rFonts w:hint="eastAsia"/>
              </w:rPr>
              <w:br/>
              <w:t>  （2）基金资产净值大幅波动的风险</w:t>
            </w:r>
            <w:r w:rsidRPr="00963E6A">
              <w:rPr>
                <w:rFonts w:hint="eastAsia"/>
              </w:rPr>
              <w:br/>
              <w:t>  高比例投资者大额赎回时，基金管理人进行基金财产变现可能会对基金资产净值造成较大波动。</w:t>
            </w:r>
            <w:r w:rsidRPr="00963E6A">
              <w:rPr>
                <w:rFonts w:hint="eastAsia"/>
              </w:rPr>
              <w:br/>
              <w:t>  （3）提前终止基金合同的风险</w:t>
            </w:r>
            <w:r w:rsidRPr="00963E6A">
              <w:rPr>
                <w:rFonts w:hint="eastAsia"/>
              </w:rPr>
              <w:br/>
              <w:t>  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r w:rsidRPr="00963E6A">
              <w:rPr>
                <w:rFonts w:hint="eastAsia"/>
              </w:rPr>
              <w:br/>
            </w:r>
            <w:r w:rsidRPr="00963E6A">
              <w:rPr>
                <w:rFonts w:hint="eastAsia"/>
              </w:rPr>
              <w:lastRenderedPageBreak/>
              <w:t>  （4）基金规模较小导致的风险</w:t>
            </w:r>
            <w:r w:rsidRPr="00963E6A">
              <w:rPr>
                <w:rFonts w:hint="eastAsia"/>
              </w:rPr>
              <w:br/>
              <w:t>  高比例投资者赎回后，可能导致基金规模较小，基金投资可能面临一定困难。</w:t>
            </w:r>
            <w:r w:rsidRPr="00963E6A">
              <w:rPr>
                <w:rFonts w:hint="eastAsia"/>
              </w:rPr>
              <w:br/>
              <w:t>  本基金管理人将继续勤勉尽责，执行相关投资策略，力争实现投资目标。</w:t>
            </w:r>
          </w:p>
        </w:tc>
      </w:tr>
    </w:tbl>
    <w:p w:rsidR="0089278D" w:rsidRPr="00963E6A" w:rsidRDefault="0089278D" w:rsidP="00963E6A">
      <w:pPr>
        <w:spacing w:line="360" w:lineRule="auto"/>
        <w:ind w:firstLineChars="200" w:firstLine="480"/>
        <w:rPr>
          <w:rFonts w:ascii="Arial Unicode MS" w:hAnsi="Arial Unicode MS" w:cs="Arial"/>
          <w:bCs/>
          <w:sz w:val="24"/>
        </w:rPr>
      </w:pPr>
      <w:bookmarkStart w:id="44" w:name="_Toc490848901"/>
      <w:r w:rsidRPr="00963E6A">
        <w:rPr>
          <w:rFonts w:ascii="Arial Unicode MS" w:hAnsi="Arial Unicode MS" w:cs="Arial" w:hint="eastAsia"/>
          <w:bCs/>
          <w:sz w:val="24"/>
        </w:rPr>
        <w:lastRenderedPageBreak/>
        <w:t>2</w:t>
      </w:r>
      <w:r w:rsidRPr="00963E6A">
        <w:rPr>
          <w:rFonts w:ascii="Arial Unicode MS" w:hAnsi="Arial Unicode MS" w:cs="Arial" w:hint="eastAsia"/>
          <w:bCs/>
          <w:sz w:val="24"/>
        </w:rPr>
        <w:t>、</w:t>
      </w:r>
      <w:r w:rsidRPr="00963E6A">
        <w:rPr>
          <w:rFonts w:ascii="Arial Unicode MS" w:hAnsi="Arial Unicode MS" w:cs="Arial" w:hint="eastAsia"/>
          <w:bCs/>
          <w:sz w:val="24"/>
        </w:rPr>
        <w:t xml:space="preserve"> </w:t>
      </w:r>
      <w:r w:rsidRPr="00963E6A">
        <w:rPr>
          <w:rFonts w:ascii="Arial Unicode MS" w:hAnsi="Arial Unicode MS" w:cs="Arial" w:hint="eastAsia"/>
          <w:bCs/>
          <w:sz w:val="24"/>
        </w:rPr>
        <w:t>影响投资者决策的其他重要信息</w:t>
      </w:r>
      <w:bookmarkEnd w:id="44"/>
    </w:p>
    <w:p w:rsidR="0089278D" w:rsidRPr="00963E6A" w:rsidRDefault="0089278D" w:rsidP="00963E6A">
      <w:pPr>
        <w:spacing w:line="360" w:lineRule="auto"/>
        <w:ind w:firstLineChars="200" w:firstLine="480"/>
        <w:rPr>
          <w:rFonts w:ascii="Arial Unicode MS" w:hAnsi="Arial Unicode MS" w:cs="Arial"/>
          <w:bCs/>
          <w:sz w:val="24"/>
        </w:rPr>
      </w:pPr>
      <w:r w:rsidRPr="00963E6A">
        <w:rPr>
          <w:rFonts w:ascii="Arial Unicode MS" w:hAnsi="Arial Unicode MS" w:cs="Arial"/>
          <w:bCs/>
          <w:sz w:val="24"/>
        </w:rPr>
        <w:t>  </w:t>
      </w:r>
      <w:r w:rsidRPr="00963E6A">
        <w:rPr>
          <w:rFonts w:ascii="Arial Unicode MS" w:hAnsi="Arial Unicode MS" w:cs="Arial" w:hint="eastAsia"/>
          <w:bCs/>
          <w:sz w:val="24"/>
        </w:rPr>
        <w:t>本报告期内未出现影响投资者决策的其他重要信息。</w:t>
      </w:r>
    </w:p>
    <w:p w:rsidR="0089278D" w:rsidRPr="00963E6A" w:rsidRDefault="00963E6A" w:rsidP="00963E6A">
      <w:pPr>
        <w:spacing w:line="360" w:lineRule="auto"/>
        <w:ind w:firstLineChars="200" w:firstLine="480"/>
        <w:rPr>
          <w:rFonts w:ascii="Arial Unicode MS" w:hAnsi="Arial Unicode MS" w:cs="Arial"/>
          <w:bCs/>
          <w:sz w:val="24"/>
        </w:rPr>
      </w:pPr>
      <w:r w:rsidRPr="00963E6A">
        <w:rPr>
          <w:rFonts w:ascii="Arial Unicode MS" w:hAnsi="Arial Unicode MS" w:cs="Arial" w:hint="eastAsia"/>
          <w:bCs/>
          <w:sz w:val="24"/>
        </w:rPr>
        <w:t>（十三）</w:t>
      </w:r>
      <w:r w:rsidR="0089278D" w:rsidRPr="00963E6A">
        <w:rPr>
          <w:rFonts w:ascii="Arial Unicode MS" w:hAnsi="Arial Unicode MS" w:cs="Arial" w:hint="eastAsia"/>
          <w:bCs/>
          <w:sz w:val="24"/>
        </w:rPr>
        <w:t>基金净值表现</w:t>
      </w:r>
    </w:p>
    <w:p w:rsidR="0089278D" w:rsidRPr="00963E6A" w:rsidRDefault="0089278D" w:rsidP="0089278D">
      <w:pPr>
        <w:spacing w:line="360" w:lineRule="auto"/>
        <w:ind w:firstLineChars="200" w:firstLine="480"/>
        <w:rPr>
          <w:rFonts w:ascii="Arial Unicode MS" w:hAnsi="Arial Unicode MS" w:cs="Arial"/>
          <w:sz w:val="24"/>
        </w:rPr>
      </w:pPr>
      <w:r w:rsidRPr="00963E6A">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9576" w:type="dxa"/>
        <w:tblInd w:w="-34" w:type="dxa"/>
        <w:tblLook w:val="04A0" w:firstRow="1" w:lastRow="0" w:firstColumn="1" w:lastColumn="0" w:noHBand="0" w:noVBand="1"/>
      </w:tblPr>
      <w:tblGrid>
        <w:gridCol w:w="2649"/>
        <w:gridCol w:w="1115"/>
        <w:gridCol w:w="1115"/>
        <w:gridCol w:w="1053"/>
        <w:gridCol w:w="1434"/>
        <w:gridCol w:w="1095"/>
        <w:gridCol w:w="1115"/>
      </w:tblGrid>
      <w:tr w:rsidR="0089278D" w:rsidRPr="00963E6A" w:rsidTr="0089278D">
        <w:tc>
          <w:tcPr>
            <w:tcW w:w="264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阶段</w:t>
            </w:r>
          </w:p>
        </w:tc>
        <w:tc>
          <w:tcPr>
            <w:tcW w:w="111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份额净值增长率①</w:t>
            </w:r>
          </w:p>
        </w:tc>
        <w:tc>
          <w:tcPr>
            <w:tcW w:w="111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份额净值增长率标准差②</w:t>
            </w:r>
          </w:p>
        </w:tc>
        <w:tc>
          <w:tcPr>
            <w:tcW w:w="1053"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业绩比较基准收益率③</w:t>
            </w:r>
          </w:p>
        </w:tc>
        <w:tc>
          <w:tcPr>
            <w:tcW w:w="1434"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业绩比较基准收益率标准差④</w:t>
            </w:r>
          </w:p>
        </w:tc>
        <w:tc>
          <w:tcPr>
            <w:tcW w:w="109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①-③</w:t>
            </w:r>
          </w:p>
        </w:tc>
        <w:tc>
          <w:tcPr>
            <w:tcW w:w="111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center"/>
              <w:wordWrap w:val="0"/>
              <w:spacing w:line="360" w:lineRule="auto"/>
            </w:pPr>
            <w:r w:rsidRPr="00963E6A">
              <w:rPr>
                <w:rFonts w:hAnsi="Calibri" w:hint="eastAsia"/>
                <w:color w:val="000000"/>
              </w:rPr>
              <w:t>②-④</w:t>
            </w:r>
          </w:p>
        </w:tc>
      </w:tr>
      <w:tr w:rsidR="0089278D" w:rsidRPr="00963E6A" w:rsidTr="0089278D">
        <w:tc>
          <w:tcPr>
            <w:tcW w:w="264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color w:val="000000"/>
              </w:rPr>
              <w:t>2017.06.01~2017.06.30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0.98%</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0.04%</w:t>
            </w:r>
          </w:p>
        </w:tc>
        <w:tc>
          <w:tcPr>
            <w:tcW w:w="1053"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1.12%</w:t>
            </w:r>
          </w:p>
        </w:tc>
        <w:tc>
          <w:tcPr>
            <w:tcW w:w="1434"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0.06%</w:t>
            </w:r>
          </w:p>
        </w:tc>
        <w:tc>
          <w:tcPr>
            <w:tcW w:w="109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-0.14%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-0.02%</w:t>
            </w:r>
          </w:p>
        </w:tc>
      </w:tr>
      <w:tr w:rsidR="0089278D" w:rsidRPr="00963E6A" w:rsidTr="0089278D">
        <w:tc>
          <w:tcPr>
            <w:tcW w:w="264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color w:val="000000"/>
              </w:rPr>
              <w:t>2017.04.01~2017.06.30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0.84%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0.04%</w:t>
            </w:r>
          </w:p>
        </w:tc>
        <w:tc>
          <w:tcPr>
            <w:tcW w:w="1053"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0.24%</w:t>
            </w:r>
          </w:p>
        </w:tc>
        <w:tc>
          <w:tcPr>
            <w:tcW w:w="1434"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0.07%</w:t>
            </w:r>
          </w:p>
        </w:tc>
        <w:tc>
          <w:tcPr>
            <w:tcW w:w="109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0.60%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-0.03%</w:t>
            </w:r>
          </w:p>
        </w:tc>
      </w:tr>
      <w:tr w:rsidR="0089278D" w:rsidRPr="00963E6A" w:rsidTr="0089278D">
        <w:tc>
          <w:tcPr>
            <w:tcW w:w="2649"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left"/>
              <w:wordWrap w:val="0"/>
              <w:spacing w:line="360" w:lineRule="auto"/>
            </w:pPr>
            <w:r w:rsidRPr="00963E6A">
              <w:rPr>
                <w:rFonts w:hint="eastAsia"/>
                <w:color w:val="000000"/>
              </w:rPr>
              <w:t>2017.3.9~2017.06.30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1.05%</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0.04%</w:t>
            </w:r>
          </w:p>
        </w:tc>
        <w:tc>
          <w:tcPr>
            <w:tcW w:w="1053"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0.46%</w:t>
            </w:r>
          </w:p>
        </w:tc>
        <w:tc>
          <w:tcPr>
            <w:tcW w:w="1434"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0.07%</w:t>
            </w:r>
          </w:p>
        </w:tc>
        <w:tc>
          <w:tcPr>
            <w:tcW w:w="1095" w:type="dxa"/>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0.59%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9278D" w:rsidRPr="00963E6A" w:rsidRDefault="0089278D" w:rsidP="0089278D">
            <w:pPr>
              <w:pStyle w:val="biaogeright"/>
              <w:wordWrap w:val="0"/>
              <w:spacing w:line="360" w:lineRule="auto"/>
            </w:pPr>
            <w:r w:rsidRPr="00963E6A">
              <w:rPr>
                <w:rFonts w:hAnsi="Calibri" w:hint="eastAsia"/>
                <w:color w:val="000000"/>
              </w:rPr>
              <w:t>-0.03%</w:t>
            </w:r>
          </w:p>
        </w:tc>
      </w:tr>
    </w:tbl>
    <w:p w:rsidR="0089278D" w:rsidRPr="00963E6A" w:rsidRDefault="0089278D" w:rsidP="00963E6A">
      <w:pPr>
        <w:spacing w:line="360" w:lineRule="auto"/>
        <w:ind w:firstLineChars="177" w:firstLine="425"/>
        <w:rPr>
          <w:rFonts w:ascii="宋体" w:hAnsi="宋体"/>
          <w:color w:val="000000"/>
          <w:kern w:val="0"/>
          <w:sz w:val="24"/>
        </w:rPr>
      </w:pPr>
      <w:r w:rsidRPr="00963E6A">
        <w:rPr>
          <w:rFonts w:hint="eastAsia"/>
          <w:sz w:val="24"/>
        </w:rPr>
        <w:t>注：本基金的业绩比较基准为：中债综合指数（总财富）收益率×</w:t>
      </w:r>
      <w:r w:rsidRPr="00963E6A">
        <w:rPr>
          <w:sz w:val="24"/>
        </w:rPr>
        <w:t>90%+1</w:t>
      </w:r>
      <w:r w:rsidRPr="00963E6A">
        <w:rPr>
          <w:rFonts w:hint="eastAsia"/>
          <w:sz w:val="24"/>
        </w:rPr>
        <w:t>年期定期存款利率（税后）×</w:t>
      </w:r>
      <w:r w:rsidRPr="00963E6A">
        <w:rPr>
          <w:sz w:val="24"/>
        </w:rPr>
        <w:t>10%</w:t>
      </w:r>
    </w:p>
    <w:p w:rsidR="0089278D" w:rsidRDefault="0089278D" w:rsidP="0089278D">
      <w:pPr>
        <w:spacing w:line="360" w:lineRule="auto"/>
        <w:ind w:firstLineChars="177" w:firstLine="425"/>
        <w:rPr>
          <w:rFonts w:ascii="宋体" w:hAnsi="宋体"/>
          <w:color w:val="000000"/>
          <w:kern w:val="0"/>
          <w:sz w:val="24"/>
        </w:rPr>
      </w:pPr>
    </w:p>
    <w:p w:rsidR="002C7B11" w:rsidRDefault="0089278D">
      <w:pPr>
        <w:pageBreakBefore/>
        <w:spacing w:beforeLines="50" w:before="120" w:afterLines="50" w:after="120" w:line="360" w:lineRule="auto"/>
        <w:ind w:firstLine="420"/>
        <w:jc w:val="center"/>
        <w:outlineLvl w:val="0"/>
        <w:rPr>
          <w:rFonts w:ascii="宋体" w:hAnsi="宋体"/>
          <w:b/>
          <w:color w:val="000000"/>
          <w:kern w:val="0"/>
          <w:sz w:val="24"/>
        </w:rPr>
      </w:pPr>
      <w:bookmarkStart w:id="45" w:name="_Toc256666802"/>
      <w:bookmarkStart w:id="46" w:name="_Toc895"/>
      <w:bookmarkStart w:id="47" w:name="_Toc194043650"/>
      <w:bookmarkStart w:id="48" w:name="_Toc225576446"/>
      <w:bookmarkStart w:id="49" w:name="_Toc256666922"/>
      <w:bookmarkStart w:id="50" w:name="_Toc482624802"/>
      <w:bookmarkStart w:id="51" w:name="_Toc194043155"/>
      <w:bookmarkStart w:id="52" w:name="_Toc230166639"/>
      <w:bookmarkStart w:id="53" w:name="_Toc225445656"/>
      <w:bookmarkEnd w:id="22"/>
      <w:bookmarkEnd w:id="23"/>
      <w:bookmarkEnd w:id="24"/>
      <w:r>
        <w:rPr>
          <w:rFonts w:ascii="宋体" w:hAnsi="宋体" w:hint="eastAsia"/>
          <w:b/>
          <w:sz w:val="24"/>
        </w:rPr>
        <w:lastRenderedPageBreak/>
        <w:t>七、基金的费用与税收</w:t>
      </w:r>
      <w:bookmarkEnd w:id="45"/>
      <w:bookmarkEnd w:id="46"/>
      <w:bookmarkEnd w:id="47"/>
      <w:bookmarkEnd w:id="48"/>
      <w:bookmarkEnd w:id="49"/>
      <w:bookmarkEnd w:id="50"/>
      <w:bookmarkEnd w:id="51"/>
      <w:bookmarkEnd w:id="52"/>
      <w:bookmarkEnd w:id="53"/>
    </w:p>
    <w:p w:rsidR="00963E6A" w:rsidRPr="00963E6A" w:rsidRDefault="00963E6A" w:rsidP="00963E6A">
      <w:pPr>
        <w:spacing w:line="372" w:lineRule="auto"/>
        <w:ind w:firstLineChars="200" w:firstLine="480"/>
        <w:rPr>
          <w:rFonts w:ascii="宋体" w:hAnsi="宋体"/>
          <w:color w:val="000000"/>
          <w:kern w:val="0"/>
          <w:sz w:val="24"/>
        </w:rPr>
      </w:pPr>
      <w:r>
        <w:rPr>
          <w:rFonts w:ascii="宋体" w:hAnsi="宋体" w:hint="eastAsia"/>
          <w:color w:val="000000"/>
          <w:kern w:val="0"/>
          <w:sz w:val="24"/>
        </w:rPr>
        <w:t>（一）</w:t>
      </w:r>
      <w:r w:rsidRPr="00963E6A">
        <w:rPr>
          <w:rFonts w:ascii="宋体" w:hAnsi="宋体" w:hint="eastAsia"/>
          <w:color w:val="000000"/>
          <w:kern w:val="0"/>
          <w:sz w:val="24"/>
        </w:rPr>
        <w:t>基金费用的种类</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1、基金管理人的管理费；</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2、基金托管人的托管费；</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3、《基金合同》生效后与基金相关的信息披露费用；</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4、《基金合同》生效后与基金相关的会计师费、律师费、诉讼费和仲裁费；</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5、基金份额持有人大会费用；</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6、基金的证券交易费用；</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7、基金的银行汇划费用；</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8、基金的开户费用、账户维护费用；</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9、按照国家有关规定和《基金合同》约定，可以在基金财产中列支的其他费用。</w:t>
      </w:r>
    </w:p>
    <w:p w:rsidR="00963E6A" w:rsidRPr="00963E6A" w:rsidRDefault="00963E6A" w:rsidP="00963E6A">
      <w:pPr>
        <w:spacing w:line="372" w:lineRule="auto"/>
        <w:ind w:firstLineChars="200" w:firstLine="480"/>
        <w:rPr>
          <w:rFonts w:ascii="宋体" w:hAnsi="宋体"/>
          <w:color w:val="000000"/>
          <w:kern w:val="0"/>
          <w:sz w:val="24"/>
        </w:rPr>
      </w:pPr>
      <w:r>
        <w:rPr>
          <w:rFonts w:ascii="宋体" w:hAnsi="宋体" w:hint="eastAsia"/>
          <w:color w:val="000000"/>
          <w:kern w:val="0"/>
          <w:sz w:val="24"/>
        </w:rPr>
        <w:t>（二）</w:t>
      </w:r>
      <w:r w:rsidRPr="00963E6A">
        <w:rPr>
          <w:rFonts w:ascii="宋体" w:hAnsi="宋体" w:hint="eastAsia"/>
          <w:color w:val="000000"/>
          <w:kern w:val="0"/>
          <w:sz w:val="24"/>
        </w:rPr>
        <w:t>基金费用计提方法、计提标准和支付方式</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1、基金管理人的管理费</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本基金的管理费按前一日基金资产净值的0.30%年费率计提。管理费的计算方法如下：</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H＝E×0.30%÷当年天数</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H为每日应计提的基金管理费</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E为前一日的基金资产净值</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基金管理费每日计算，逐日累计至每月月末，按月支付，由基金管理人与基金托管人核对一致后，基金托管人按照与基金管理人协商一致的方式于次月前5个工作日内从基金财产中一次性支付给基金管理人。若遇法定节假日、公休假等，支付日期顺延。</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2、基金托管人的托管费</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本基金的托管费按前一日基金资产净值的0.10%的年费率计提。托管费的计算方法如下：</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H＝E×0.10%÷当年天数</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lastRenderedPageBreak/>
        <w:t>H为每日应计提的基金托管费</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E为前一日的基金资产净值</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基金托管费每日计算，逐日累计至每月月末，按月支付，由基金管理人与基金托管人核对一致后，基金托管人按照与基金管理人协商一致的方式于次月前5个工作日内从基金财产中一次性支取。若遇法定节假日、公休假等，支付日期顺延。</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上述“一、基金费用的种类”中第3－9项费用，根据有关法规及相应协议规定，按费用实际支出金额列入当期费用，由基金托管人从基金财产中支付。</w:t>
      </w:r>
    </w:p>
    <w:p w:rsidR="00963E6A" w:rsidRPr="00963E6A" w:rsidRDefault="00963E6A" w:rsidP="00963E6A">
      <w:pPr>
        <w:spacing w:line="372" w:lineRule="auto"/>
        <w:ind w:firstLineChars="200" w:firstLine="480"/>
        <w:rPr>
          <w:rFonts w:ascii="宋体" w:hAnsi="宋体"/>
          <w:color w:val="000000"/>
          <w:kern w:val="0"/>
          <w:sz w:val="24"/>
        </w:rPr>
      </w:pPr>
      <w:r>
        <w:rPr>
          <w:rFonts w:ascii="宋体" w:hAnsi="宋体" w:hint="eastAsia"/>
          <w:color w:val="000000"/>
          <w:kern w:val="0"/>
          <w:sz w:val="24"/>
        </w:rPr>
        <w:t>（三）</w:t>
      </w:r>
      <w:r w:rsidRPr="00963E6A">
        <w:rPr>
          <w:rFonts w:ascii="宋体" w:hAnsi="宋体" w:hint="eastAsia"/>
          <w:color w:val="000000"/>
          <w:kern w:val="0"/>
          <w:sz w:val="24"/>
        </w:rPr>
        <w:t>不列入基金费用的项目</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下列费用不列入基金费用：</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1、基金管理人和基金托管人因未履行或未完全履行义务导致的费用支出或基金财产的损失；</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2、基金管理人和基金托管人处理与基金运作无关的事项发生的费用；</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3、《基金合同》生效前的相关费用；</w:t>
      </w:r>
    </w:p>
    <w:p w:rsidR="00963E6A" w:rsidRP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4、其他根据相关法律法规及中国证监会的有关规定不得列入基金费用的项目。</w:t>
      </w:r>
    </w:p>
    <w:p w:rsidR="00963E6A" w:rsidRPr="00963E6A" w:rsidRDefault="00963E6A" w:rsidP="00963E6A">
      <w:pPr>
        <w:spacing w:line="372" w:lineRule="auto"/>
        <w:ind w:firstLineChars="200" w:firstLine="480"/>
        <w:rPr>
          <w:rFonts w:ascii="宋体" w:hAnsi="宋体"/>
          <w:color w:val="000000"/>
          <w:kern w:val="0"/>
          <w:sz w:val="24"/>
        </w:rPr>
      </w:pPr>
      <w:r>
        <w:rPr>
          <w:rFonts w:ascii="宋体" w:hAnsi="宋体" w:hint="eastAsia"/>
          <w:color w:val="000000"/>
          <w:kern w:val="0"/>
          <w:sz w:val="24"/>
        </w:rPr>
        <w:t>（四）</w:t>
      </w:r>
      <w:r w:rsidRPr="00963E6A">
        <w:rPr>
          <w:rFonts w:ascii="宋体" w:hAnsi="宋体" w:hint="eastAsia"/>
          <w:color w:val="000000"/>
          <w:kern w:val="0"/>
          <w:sz w:val="24"/>
        </w:rPr>
        <w:t>基金税收</w:t>
      </w:r>
    </w:p>
    <w:p w:rsidR="00963E6A" w:rsidRDefault="00963E6A" w:rsidP="00963E6A">
      <w:pPr>
        <w:spacing w:line="372" w:lineRule="auto"/>
        <w:ind w:firstLineChars="200" w:firstLine="480"/>
        <w:rPr>
          <w:rFonts w:ascii="宋体" w:hAnsi="宋体"/>
          <w:color w:val="000000"/>
          <w:kern w:val="0"/>
          <w:sz w:val="24"/>
        </w:rPr>
      </w:pPr>
      <w:r w:rsidRPr="00963E6A">
        <w:rPr>
          <w:rFonts w:ascii="宋体" w:hAnsi="宋体" w:hint="eastAsia"/>
          <w:color w:val="000000"/>
          <w:kern w:val="0"/>
          <w:sz w:val="24"/>
        </w:rPr>
        <w:t>本基金运作过程中涉及的各纳税主体，其纳税义务按国家税收法律、法规执行。</w:t>
      </w:r>
    </w:p>
    <w:p w:rsidR="002C7B11" w:rsidRDefault="0089278D">
      <w:pPr>
        <w:pStyle w:val="1"/>
        <w:spacing w:beforeLines="50" w:before="120" w:afterLines="50" w:after="120"/>
        <w:ind w:firstLineChars="100" w:firstLine="241"/>
        <w:jc w:val="center"/>
        <w:rPr>
          <w:rFonts w:ascii="宋体" w:hAnsi="宋体"/>
          <w:color w:val="000000"/>
          <w:sz w:val="24"/>
        </w:rPr>
      </w:pPr>
      <w:r>
        <w:rPr>
          <w:rFonts w:ascii="宋体" w:hAnsi="宋体"/>
          <w:color w:val="000000"/>
          <w:kern w:val="0"/>
          <w:sz w:val="24"/>
          <w:szCs w:val="24"/>
        </w:rPr>
        <w:t>八、对招募说明书更新部分的说明</w:t>
      </w:r>
    </w:p>
    <w:p w:rsidR="002C7B11" w:rsidRDefault="0089278D">
      <w:pPr>
        <w:spacing w:line="360" w:lineRule="auto"/>
        <w:ind w:firstLineChars="200" w:firstLine="480"/>
        <w:rPr>
          <w:rFonts w:ascii="宋体" w:hAnsi="宋体"/>
          <w:color w:val="000000"/>
          <w:sz w:val="24"/>
        </w:rPr>
      </w:pPr>
      <w:r>
        <w:rPr>
          <w:rFonts w:ascii="宋体" w:hAnsi="宋体" w:hint="eastAsia"/>
          <w:color w:val="000000"/>
          <w:sz w:val="24"/>
        </w:rPr>
        <w:t>本招募说明书依据《中华人民共和国证券投资基金法》、《</w:t>
      </w:r>
      <w:r>
        <w:rPr>
          <w:rFonts w:ascii="宋体" w:hAnsi="宋体"/>
          <w:color w:val="000000"/>
          <w:sz w:val="24"/>
        </w:rPr>
        <w:t>公开募集证券投资基金运作管理办法</w:t>
      </w:r>
      <w:r>
        <w:rPr>
          <w:rFonts w:ascii="宋体" w:hAnsi="宋体" w:hint="eastAsia"/>
          <w:color w:val="000000"/>
          <w:sz w:val="24"/>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2C7B11" w:rsidRDefault="0089278D">
      <w:pPr>
        <w:spacing w:line="360" w:lineRule="auto"/>
        <w:ind w:firstLineChars="200" w:firstLine="480"/>
        <w:rPr>
          <w:rFonts w:ascii="宋体" w:hAnsi="宋体"/>
          <w:color w:val="000000"/>
          <w:sz w:val="24"/>
        </w:rPr>
      </w:pPr>
      <w:r>
        <w:rPr>
          <w:rFonts w:ascii="宋体" w:hAnsi="宋体" w:hint="eastAsia"/>
          <w:color w:val="000000"/>
          <w:sz w:val="24"/>
        </w:rPr>
        <w:t>1、对“三、基金管理人”部分内容进行了更新；</w:t>
      </w:r>
    </w:p>
    <w:p w:rsidR="002C7B11" w:rsidRDefault="0089278D">
      <w:pPr>
        <w:spacing w:line="360" w:lineRule="auto"/>
        <w:ind w:firstLineChars="200" w:firstLine="480"/>
        <w:rPr>
          <w:rFonts w:ascii="宋体" w:hAnsi="宋体"/>
          <w:color w:val="000000"/>
          <w:sz w:val="24"/>
        </w:rPr>
      </w:pPr>
      <w:r>
        <w:rPr>
          <w:rFonts w:ascii="宋体" w:hAnsi="宋体" w:hint="eastAsia"/>
          <w:color w:val="000000"/>
          <w:sz w:val="24"/>
        </w:rPr>
        <w:t>2、对“四、基金托管人”部分内容进行了更新；</w:t>
      </w:r>
    </w:p>
    <w:p w:rsidR="002C7B11" w:rsidRDefault="00963E6A">
      <w:pPr>
        <w:spacing w:line="360" w:lineRule="auto"/>
        <w:ind w:firstLineChars="200" w:firstLine="480"/>
        <w:rPr>
          <w:rFonts w:ascii="宋体" w:hAnsi="宋体"/>
          <w:color w:val="000000"/>
          <w:sz w:val="24"/>
        </w:rPr>
      </w:pPr>
      <w:r>
        <w:rPr>
          <w:rFonts w:ascii="宋体" w:hAnsi="宋体" w:hint="eastAsia"/>
          <w:color w:val="000000"/>
          <w:sz w:val="24"/>
        </w:rPr>
        <w:t>3</w:t>
      </w:r>
      <w:r w:rsidR="0089278D">
        <w:rPr>
          <w:rFonts w:ascii="宋体" w:hAnsi="宋体" w:hint="eastAsia"/>
          <w:color w:val="000000"/>
          <w:sz w:val="24"/>
        </w:rPr>
        <w:t>、对“九、基金的投资”部分内容进行了更新；</w:t>
      </w:r>
    </w:p>
    <w:p w:rsidR="002C7B11" w:rsidRDefault="00963E6A">
      <w:pPr>
        <w:spacing w:line="360" w:lineRule="auto"/>
        <w:ind w:firstLineChars="200" w:firstLine="480"/>
        <w:rPr>
          <w:rFonts w:ascii="宋体" w:hAnsi="宋体"/>
          <w:color w:val="000000"/>
          <w:sz w:val="24"/>
        </w:rPr>
      </w:pPr>
      <w:r>
        <w:rPr>
          <w:rFonts w:ascii="宋体" w:hAnsi="宋体" w:hint="eastAsia"/>
          <w:color w:val="000000"/>
          <w:sz w:val="24"/>
        </w:rPr>
        <w:t>4</w:t>
      </w:r>
      <w:r w:rsidR="0089278D">
        <w:rPr>
          <w:rFonts w:ascii="宋体" w:hAnsi="宋体" w:hint="eastAsia"/>
          <w:color w:val="000000"/>
          <w:sz w:val="24"/>
        </w:rPr>
        <w:t>、对“二十一、其它应披露事项”部分内容进行了更新。</w:t>
      </w:r>
    </w:p>
    <w:p w:rsidR="002C7B11" w:rsidRDefault="002C7B11">
      <w:pPr>
        <w:spacing w:line="360" w:lineRule="auto"/>
        <w:rPr>
          <w:rFonts w:ascii="宋体" w:hAnsi="宋体"/>
          <w:color w:val="000000"/>
          <w:sz w:val="24"/>
        </w:rPr>
      </w:pPr>
    </w:p>
    <w:p w:rsidR="002C7B11" w:rsidRDefault="0089278D">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rsidR="002C7B11" w:rsidRDefault="0089278D">
      <w:pPr>
        <w:wordWrap w:val="0"/>
        <w:spacing w:line="360" w:lineRule="auto"/>
        <w:jc w:val="right"/>
        <w:rPr>
          <w:rFonts w:ascii="宋体" w:hAnsi="宋体"/>
          <w:color w:val="000000"/>
          <w:sz w:val="24"/>
        </w:rPr>
      </w:pPr>
      <w:r w:rsidRPr="007E1B14">
        <w:rPr>
          <w:rFonts w:ascii="宋体" w:hAnsi="宋体" w:hint="eastAsia"/>
          <w:color w:val="000000"/>
          <w:kern w:val="0"/>
          <w:sz w:val="24"/>
        </w:rPr>
        <w:t>二〇一七年</w:t>
      </w:r>
      <w:r w:rsidR="009D08F3" w:rsidRPr="007E1B14">
        <w:rPr>
          <w:rFonts w:ascii="宋体" w:hAnsi="宋体" w:hint="eastAsia"/>
          <w:color w:val="000000"/>
          <w:kern w:val="0"/>
          <w:sz w:val="24"/>
        </w:rPr>
        <w:t>十</w:t>
      </w:r>
      <w:r w:rsidRPr="007E1B14">
        <w:rPr>
          <w:rFonts w:ascii="宋体" w:hAnsi="宋体" w:hint="eastAsia"/>
          <w:color w:val="000000"/>
          <w:kern w:val="0"/>
          <w:sz w:val="24"/>
        </w:rPr>
        <w:t>月</w:t>
      </w:r>
      <w:r>
        <w:rPr>
          <w:rFonts w:ascii="宋体" w:hAnsi="宋体" w:hint="eastAsia"/>
          <w:color w:val="000000"/>
          <w:kern w:val="0"/>
          <w:sz w:val="24"/>
        </w:rPr>
        <w:t xml:space="preserve">  </w:t>
      </w:r>
    </w:p>
    <w:p w:rsidR="002C7B11" w:rsidRPr="007E1B14" w:rsidRDefault="002C7B11">
      <w:pPr>
        <w:spacing w:line="360" w:lineRule="auto"/>
        <w:jc w:val="right"/>
        <w:rPr>
          <w:rFonts w:ascii="宋体" w:hAnsi="宋体"/>
          <w:color w:val="000000"/>
          <w:sz w:val="24"/>
        </w:rPr>
      </w:pPr>
    </w:p>
    <w:sectPr w:rsidR="002C7B11" w:rsidRPr="007E1B14">
      <w:headerReference w:type="default" r:id="rId10"/>
      <w:footerReference w:type="default" r:id="rId11"/>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08F3" w:rsidRDefault="009D08F3">
      <w:r>
        <w:separator/>
      </w:r>
    </w:p>
  </w:endnote>
  <w:endnote w:type="continuationSeparator" w:id="0">
    <w:p w:rsidR="009D08F3" w:rsidRDefault="009D08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8F3" w:rsidRDefault="009D08F3">
    <w:pPr>
      <w:pStyle w:val="ab"/>
      <w:jc w:val="center"/>
    </w:pPr>
    <w:r>
      <w:fldChar w:fldCharType="begin"/>
    </w:r>
    <w:r>
      <w:instrText>PAGE   \* MERGEFORMAT</w:instrText>
    </w:r>
    <w:r>
      <w:fldChar w:fldCharType="separate"/>
    </w:r>
    <w:r w:rsidR="000B30C8" w:rsidRPr="000B30C8">
      <w:rPr>
        <w:noProof/>
        <w:lang w:val="zh-CN"/>
      </w:rPr>
      <w:t>26</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08F3" w:rsidRDefault="009D08F3">
      <w:r>
        <w:separator/>
      </w:r>
    </w:p>
  </w:footnote>
  <w:footnote w:type="continuationSeparator" w:id="0">
    <w:p w:rsidR="009D08F3" w:rsidRDefault="009D08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8F3" w:rsidRDefault="009D08F3">
    <w:pPr>
      <w:pStyle w:val="ac"/>
      <w:jc w:val="left"/>
    </w:pPr>
    <w:r w:rsidRPr="0089278D">
      <w:rPr>
        <w:rFonts w:hint="eastAsia"/>
      </w:rPr>
      <w:t>富荣富祥纯债债券型证券投资基金</w:t>
    </w:r>
    <w:r>
      <w:rPr>
        <w:rFonts w:hint="eastAsia"/>
      </w:rPr>
      <w:t>更新的招募说明书摘要（</w:t>
    </w:r>
    <w:r>
      <w:rPr>
        <w:rFonts w:hint="eastAsia"/>
      </w:rPr>
      <w:t>2017</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proofState w:spelling="clean" w:grammar="clean"/>
  <w:defaultTabStop w:val="210"/>
  <w:drawingGridHorizontalSpacing w:val="105"/>
  <w:drawingGridVerticalSpacing w:val="156"/>
  <w:noPunctuationKerning/>
  <w:characterSpacingControl w:val="compressPunctuation"/>
  <w:doNotValidateAgainstSchema/>
  <w:doNotDemarcateInvalidXml/>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54F"/>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0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EA"/>
    <w:rsid w:val="000E2562"/>
    <w:rsid w:val="000E40C0"/>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BFF"/>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11"/>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1B14"/>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78D"/>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3E6A"/>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8F3"/>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6A1"/>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89278D"/>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
    <w:rsid w:val="0089278D"/>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neirong">
    <w:name w:val="neirong"/>
    <w:basedOn w:val="a"/>
    <w:rsid w:val="0089278D"/>
    <w:pPr>
      <w:widowControl/>
      <w:autoSpaceDE w:val="0"/>
      <w:autoSpaceDN w:val="0"/>
      <w:adjustRightInd w:val="0"/>
      <w:spacing w:before="29" w:line="288" w:lineRule="auto"/>
      <w:ind w:left="15"/>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89278D"/>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
    <w:rsid w:val="0089278D"/>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neirong">
    <w:name w:val="neirong"/>
    <w:basedOn w:val="a"/>
    <w:rsid w:val="0089278D"/>
    <w:pPr>
      <w:widowControl/>
      <w:autoSpaceDE w:val="0"/>
      <w:autoSpaceDN w:val="0"/>
      <w:adjustRightInd w:val="0"/>
      <w:spacing w:before="29" w:line="288" w:lineRule="auto"/>
      <w:ind w:left="15"/>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50628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DCDF05-65AC-469E-998E-CFC79A53D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26</Pages>
  <Words>13220</Words>
  <Characters>1695</Characters>
  <Application>Microsoft Office Word</Application>
  <DocSecurity>0</DocSecurity>
  <Lines>14</Lines>
  <Paragraphs>29</Paragraphs>
  <ScaleCrop>false</ScaleCrop>
  <Company>Microsoft</Company>
  <LinksUpToDate>false</LinksUpToDate>
  <CharactersWithSpaces>14886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xieyanping</dc:creator>
  <cp:lastModifiedBy>xieyanping</cp:lastModifiedBy>
  <cp:revision>7</cp:revision>
  <cp:lastPrinted>2016-08-24T01:43:00Z</cp:lastPrinted>
  <dcterms:created xsi:type="dcterms:W3CDTF">2017-06-12T09:34:00Z</dcterms:created>
  <dcterms:modified xsi:type="dcterms:W3CDTF">2017-10-10T10:21:00Z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