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9376C">
      <w:pPr>
        <w:jc w:val="center"/>
        <w:rPr>
          <w:rFonts w:ascii="思源黑体 CN Bold" w:hAnsi="思源黑体 CN Bold" w:eastAsia="思源黑体 CN Bold"/>
          <w:b/>
          <w:bCs/>
          <w:sz w:val="28"/>
          <w:szCs w:val="28"/>
        </w:rPr>
      </w:pPr>
      <w:r>
        <w:rPr>
          <w:rFonts w:hint="eastAsia" w:ascii="思源黑体 CN Bold" w:hAnsi="思源黑体 CN Bold" w:eastAsia="思源黑体 CN Bold"/>
          <w:b/>
          <w:bCs/>
          <w:sz w:val="28"/>
          <w:szCs w:val="28"/>
        </w:rPr>
        <w:t>富荣固收：债市震荡偏弱，谨慎为主</w:t>
      </w:r>
    </w:p>
    <w:p w14:paraId="4A96A0CF">
      <w:pPr>
        <w:rPr>
          <w:rFonts w:ascii="思源黑体 CN Light" w:hAnsi="思源黑体 CN Light" w:eastAsia="思源黑体 CN Light"/>
          <w:b/>
          <w:bCs/>
          <w:szCs w:val="21"/>
        </w:rPr>
      </w:pPr>
    </w:p>
    <w:p w14:paraId="339E8633">
      <w:pPr>
        <w:rPr>
          <w:rFonts w:ascii="思源黑体 CN Light" w:hAnsi="思源黑体 CN Light" w:eastAsia="思源黑体 CN Light"/>
          <w:b/>
          <w:bCs/>
          <w:szCs w:val="21"/>
        </w:rPr>
      </w:pPr>
      <w:r>
        <w:rPr>
          <w:rFonts w:hint="eastAsia" w:ascii="思源黑体 CN Light" w:hAnsi="思源黑体 CN Light" w:eastAsia="思源黑体 CN Light"/>
          <w:b/>
          <w:bCs/>
          <w:szCs w:val="21"/>
        </w:rPr>
        <w:t>观点：</w:t>
      </w:r>
      <w:bookmarkStart w:id="0" w:name="_Toc134985519"/>
    </w:p>
    <w:p w14:paraId="7ADCAD3A">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（1）国内方面：</w:t>
      </w:r>
    </w:p>
    <w:p w14:paraId="1F2ABDC4">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今年四季度</w:t>
      </w:r>
      <w:r>
        <w:rPr>
          <w:rFonts w:hint="eastAsia" w:ascii="思源黑体 CN Light" w:hAnsi="思源黑体 CN Light" w:eastAsia="思源黑体 CN Light"/>
          <w:szCs w:val="21"/>
          <w:lang w:val="en-US" w:eastAsia="zh-CN"/>
        </w:rPr>
        <w:t>经济</w:t>
      </w:r>
      <w:r>
        <w:rPr>
          <w:rFonts w:hint="eastAsia" w:ascii="思源黑体 CN Light" w:hAnsi="思源黑体 CN Light" w:eastAsia="思源黑体 CN Light"/>
          <w:szCs w:val="21"/>
        </w:rPr>
        <w:t>基本面压力或加大，资产供给或下降，经济修复动能有待提升，信贷需求修复依赖政策，若无增量政策亮点则有望利好债市。</w:t>
      </w:r>
    </w:p>
    <w:p w14:paraId="712AEC90">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三、四季度通胀预期偏弱。资金面，季末资金面有扰动但整体可控，跨季资金利率波动大概率不超季节性，央行或会呵护资金面。货币政策，四季度货币政策宽松情况存在不确定性，降息、降准概率增大，可能重启国债买卖，加大流动性投放。机构行为，四季度资产荒可能加大，部分银行或缩表，大行融出意愿待修复。</w:t>
      </w:r>
    </w:p>
    <w:p w14:paraId="3CD4F19D">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（2）海外及其他：</w:t>
      </w:r>
    </w:p>
    <w:p w14:paraId="401D21DC">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美联储年内大概率还会降息，美国国债收益率可能回落。</w:t>
      </w:r>
    </w:p>
    <w:p w14:paraId="2F4120CF">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（3）上周债券市场：</w:t>
      </w:r>
    </w:p>
    <w:p w14:paraId="41BB7DBF">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上周（2025年9月15日-2025年9月19日，以下简称上周）债券市场呈现“过山车”行情，收益率先上后下再上。周初反内卷情绪下，长债收益率触及阶段性高点，而后开启一波修复行情，央行重启买债预期高涨，随着周中20Y国债发行结果好于预期，多头情绪达到周内顶点，10Y国债最低修复至1.761%，但情绪难言彻底乐观，债市进一步下探乏力。美联储如期降息25BP，债市定价利空后仍难有效反弹，尽管盘中股市一度放量下跌，债市情绪依旧谨慎，收益率居高不下，直至周五国债“发飞”再度引爆市场悲观情绪，债市大幅跳水，回吐涨幅。相较于长端，短债行情明显强势，期限利差持续走阔。</w:t>
      </w:r>
    </w:p>
    <w:p w14:paraId="09F4B780">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展望后市，债市将维持区间震荡，甚至四季度利率或延续向上走势。</w:t>
      </w:r>
    </w:p>
    <w:p w14:paraId="1E49092F">
      <w:pPr>
        <w:ind w:firstLine="420" w:firstLineChars="200"/>
        <w:rPr>
          <w:rFonts w:ascii="思源黑体 CN Light" w:hAnsi="思源黑体 CN Light" w:eastAsia="思源黑体 CN Light"/>
          <w:szCs w:val="21"/>
        </w:rPr>
      </w:pPr>
    </w:p>
    <w:p w14:paraId="54720CAC">
      <w:pPr>
        <w:pStyle w:val="2"/>
        <w:tabs>
          <w:tab w:val="left" w:pos="6289"/>
        </w:tabs>
        <w:spacing w:line="360" w:lineRule="auto"/>
        <w:rPr>
          <w:rFonts w:ascii="思源黑体 CN Light" w:hAnsi="思源黑体 CN Light" w:eastAsia="思源黑体 CN Light" w:cs="Times New Roman"/>
          <w:szCs w:val="21"/>
        </w:rPr>
      </w:pPr>
      <w:r>
        <w:rPr>
          <w:rFonts w:hint="eastAsia" w:ascii="思源黑体 CN Light" w:hAnsi="思源黑体 CN Light" w:eastAsia="思源黑体 CN Light" w:cs="Arial"/>
          <w:sz w:val="36"/>
          <w:szCs w:val="36"/>
        </w:rPr>
        <w:t>1</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高频数据</w:t>
      </w:r>
      <w:bookmarkEnd w:id="0"/>
    </w:p>
    <w:p w14:paraId="359CAE9C">
      <w:pPr>
        <w:spacing w:line="288" w:lineRule="auto"/>
        <w:ind w:firstLine="440" w:firstLineChars="200"/>
        <w:jc w:val="left"/>
        <w:rPr>
          <w:rFonts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sz w:val="22"/>
          <w:szCs w:val="21"/>
          <w14:ligatures w14:val="standardContextual"/>
        </w:rPr>
        <w:t>美联储</w:t>
      </w:r>
      <w:r>
        <w:rPr>
          <w:rFonts w:hint="eastAsia" w:ascii="思源黑体 CN Light" w:hAnsi="思源黑体 CN Light" w:eastAsia="思源黑体 CN Light" w:cs="Times New Roman"/>
          <w:sz w:val="22"/>
          <w:szCs w:val="21"/>
          <w:lang w:val="en-US" w:eastAsia="zh-CN"/>
          <w14:ligatures w14:val="standardContextual"/>
        </w:rPr>
        <w:t>降息</w:t>
      </w:r>
      <w:r>
        <w:rPr>
          <w:rFonts w:hint="eastAsia" w:ascii="思源黑体 CN Light" w:hAnsi="思源黑体 CN Light" w:eastAsia="思源黑体 CN Light" w:cs="Times New Roman"/>
          <w:sz w:val="22"/>
          <w:szCs w:val="21"/>
          <w14:ligatures w14:val="standardContextual"/>
        </w:rPr>
        <w:t>落地，失业金人数从26.3万人降至23.1万人，显示就业市场韧性增强。截至9月19日，美元指数涨0.04%，在岸人民币涨0.14%，欧元涨0.33%，英镑跌0.47%。</w:t>
      </w:r>
      <w:r>
        <w:rPr>
          <w:rFonts w:hint="eastAsia" w:ascii="思源黑体 CN Light" w:hAnsi="思源黑体 CN Light" w:eastAsia="思源黑体 CN Light" w:cs="Times New Roman"/>
          <w:b/>
          <w:color w:val="000000"/>
          <w:kern w:val="0"/>
          <w:sz w:val="20"/>
          <w:szCs w:val="20"/>
        </w:rPr>
        <w:t>图一：主要货币变化率</w:t>
      </w:r>
    </w:p>
    <w:p w14:paraId="162FC5C5">
      <w:pPr>
        <w:spacing w:line="288" w:lineRule="auto"/>
        <w:ind w:firstLine="420" w:firstLineChars="200"/>
        <w:jc w:val="left"/>
        <w:rPr>
          <w:rFonts w:ascii="思源黑体 CN Light" w:hAnsi="思源黑体 CN Light" w:eastAsia="思源黑体 CN Light" w:cs="Times New Roman"/>
          <w:sz w:val="16"/>
          <w:szCs w:val="16"/>
        </w:rPr>
      </w:pPr>
      <w:r>
        <w:drawing>
          <wp:inline distT="0" distB="0" distL="114300" distR="114300">
            <wp:extent cx="5194300" cy="2028825"/>
            <wp:effectExtent l="0" t="0" r="6350" b="9525"/>
            <wp:docPr id="1"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5"/>
                    <pic:cNvPicPr>
                      <a:picLocks noChangeAspect="1"/>
                    </pic:cNvPicPr>
                  </pic:nvPicPr>
                  <pic:blipFill>
                    <a:blip r:embed="rId4"/>
                    <a:stretch>
                      <a:fillRect/>
                    </a:stretch>
                  </pic:blipFill>
                  <pic:spPr>
                    <a:xfrm>
                      <a:off x="0" y="0"/>
                      <a:ext cx="5194300" cy="2028825"/>
                    </a:xfrm>
                    <a:prstGeom prst="rect">
                      <a:avLst/>
                    </a:prstGeom>
                  </pic:spPr>
                </pic:pic>
              </a:graphicData>
            </a:graphic>
          </wp:inline>
        </w:drawing>
      </w:r>
    </w:p>
    <w:p w14:paraId="714E0A5A">
      <w:pPr>
        <w:spacing w:line="288" w:lineRule="auto"/>
        <w:ind w:firstLine="320" w:firstLineChars="200"/>
        <w:jc w:val="left"/>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sz w:val="16"/>
          <w:szCs w:val="16"/>
        </w:rPr>
        <w:t>数据来源：wind，富荣基金；统计区间：20250915-2025</w:t>
      </w:r>
      <w:bookmarkStart w:id="1" w:name="_Toc134985520"/>
      <w:r>
        <w:rPr>
          <w:rFonts w:hint="eastAsia" w:ascii="思源黑体 CN Light" w:hAnsi="思源黑体 CN Light" w:eastAsia="思源黑体 CN Light" w:cs="Times New Roman"/>
          <w:sz w:val="16"/>
          <w:szCs w:val="16"/>
        </w:rPr>
        <w:t>0919</w:t>
      </w:r>
    </w:p>
    <w:p w14:paraId="013DB680">
      <w:pPr>
        <w:pStyle w:val="2"/>
        <w:spacing w:line="360" w:lineRule="auto"/>
        <w:rPr>
          <w:rFonts w:ascii="思源黑体 CN Light" w:hAnsi="思源黑体 CN Light" w:eastAsia="思源黑体 CN Light" w:cs="Arial"/>
          <w:sz w:val="36"/>
          <w:szCs w:val="36"/>
        </w:rPr>
      </w:pPr>
      <w:r>
        <w:rPr>
          <w:rFonts w:hint="eastAsia" w:ascii="思源黑体 CN Light" w:hAnsi="思源黑体 CN Light" w:eastAsia="思源黑体 CN Light" w:cs="Arial"/>
          <w:sz w:val="36"/>
          <w:szCs w:val="36"/>
        </w:rPr>
        <w:t>2</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债券市场</w:t>
      </w:r>
      <w:bookmarkEnd w:id="1"/>
    </w:p>
    <w:p w14:paraId="0CC35BCD">
      <w:pPr>
        <w:spacing w:line="288" w:lineRule="auto"/>
        <w:ind w:firstLine="442" w:firstLineChars="200"/>
        <w:jc w:val="left"/>
        <w:rPr>
          <w:rFonts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资金面呈现边际收紧趋势。</w:t>
      </w:r>
      <w:r>
        <w:rPr>
          <w:rFonts w:hint="eastAsia" w:ascii="思源黑体 CN Light" w:hAnsi="思源黑体 CN Light" w:eastAsia="思源黑体 CN Light" w:cs="Times New Roman"/>
          <w:sz w:val="22"/>
          <w:szCs w:val="21"/>
          <w14:ligatures w14:val="standardContextual"/>
        </w:rPr>
        <w:t>DR001上行9.98BP至1.46%，DR007上行5.21BP至1.51%，R001上行10.14BP至1.50％，R007上行5.09BP至1.52％，GC001上行5.</w:t>
      </w:r>
      <w:r>
        <w:rPr>
          <w:rFonts w:hint="eastAsia" w:ascii="思源黑体 CN Light" w:hAnsi="思源黑体 CN Light" w:eastAsia="思源黑体 CN Light" w:cs="Times New Roman"/>
          <w:sz w:val="22"/>
          <w:szCs w:val="21"/>
          <w:lang w:val="en-US" w:eastAsia="zh-CN"/>
          <w14:ligatures w14:val="standardContextual"/>
        </w:rPr>
        <w:t>9</w:t>
      </w:r>
      <w:r>
        <w:rPr>
          <w:rFonts w:hint="eastAsia" w:ascii="思源黑体 CN Light" w:hAnsi="思源黑体 CN Light" w:eastAsia="思源黑体 CN Light" w:cs="Times New Roman"/>
          <w:sz w:val="22"/>
          <w:szCs w:val="21"/>
          <w14:ligatures w14:val="standardContextual"/>
        </w:rPr>
        <w:t>0BP至1.41%，GC007上行7.10BP至1.53%。</w:t>
      </w:r>
      <w:bookmarkStart w:id="2" w:name="_GoBack"/>
      <w:bookmarkEnd w:id="2"/>
    </w:p>
    <w:p w14:paraId="510C89EC">
      <w:pPr>
        <w:spacing w:line="288" w:lineRule="auto"/>
        <w:ind w:firstLine="442" w:firstLineChars="200"/>
        <w:jc w:val="left"/>
        <w:rPr>
          <w:rFonts w:ascii="思源黑体 CN Light" w:hAnsi="思源黑体 CN Light" w:eastAsia="思源黑体 CN Light" w:cs="Times New Roman"/>
          <w:b/>
          <w:bCs/>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本周债市持续震荡。</w:t>
      </w:r>
      <w:r>
        <w:rPr>
          <w:rFonts w:hint="eastAsia" w:ascii="思源黑体 CN Light" w:hAnsi="思源黑体 CN Light" w:eastAsia="思源黑体 CN Light" w:cs="Times New Roman"/>
          <w:sz w:val="22"/>
          <w:szCs w:val="21"/>
          <w14:ligatures w14:val="standardContextual"/>
        </w:rPr>
        <w:t>1Y、5Y、10Y、30Y国债收益率分别较前一周变化-1.00BP、0.47BP、1.19BP、1.56BP至1.3900</w:t>
      </w:r>
      <w:r>
        <w:rPr>
          <w:rFonts w:hint="eastAsia" w:ascii="思源黑体 CN Light" w:hAnsi="思源黑体 CN Light" w:eastAsia="思源黑体 CN Light" w:cs="Times New Roman"/>
          <w:sz w:val="22"/>
          <w:szCs w:val="21"/>
          <w:lang w:val="en-US" w:eastAsia="zh-CN"/>
          <w14:ligatures w14:val="standardContextual"/>
        </w:rPr>
        <w:t>%</w:t>
      </w:r>
      <w:r>
        <w:rPr>
          <w:rFonts w:hint="eastAsia" w:ascii="思源黑体 CN Light" w:hAnsi="思源黑体 CN Light" w:eastAsia="思源黑体 CN Light" w:cs="Times New Roman"/>
          <w:sz w:val="22"/>
          <w:szCs w:val="21"/>
          <w14:ligatures w14:val="standardContextual"/>
        </w:rPr>
        <w:t>、1.6186</w:t>
      </w:r>
      <w:r>
        <w:rPr>
          <w:rFonts w:hint="eastAsia" w:ascii="思源黑体 CN Light" w:hAnsi="思源黑体 CN Light" w:eastAsia="思源黑体 CN Light" w:cs="Times New Roman"/>
          <w:sz w:val="22"/>
          <w:szCs w:val="21"/>
          <w:lang w:val="en-US" w:eastAsia="zh-CN"/>
          <w14:ligatures w14:val="standardContextual"/>
        </w:rPr>
        <w:t>%</w:t>
      </w:r>
      <w:r>
        <w:rPr>
          <w:rFonts w:hint="eastAsia" w:ascii="思源黑体 CN Light" w:hAnsi="思源黑体 CN Light" w:eastAsia="思源黑体 CN Light" w:cs="Times New Roman"/>
          <w:sz w:val="22"/>
          <w:szCs w:val="21"/>
          <w14:ligatures w14:val="standardContextual"/>
        </w:rPr>
        <w:t>、1.8789</w:t>
      </w:r>
      <w:r>
        <w:rPr>
          <w:rFonts w:hint="eastAsia" w:ascii="思源黑体 CN Light" w:hAnsi="思源黑体 CN Light" w:eastAsia="思源黑体 CN Light" w:cs="Times New Roman"/>
          <w:sz w:val="22"/>
          <w:szCs w:val="21"/>
          <w:lang w:val="en-US" w:eastAsia="zh-CN"/>
          <w14:ligatures w14:val="standardContextual"/>
        </w:rPr>
        <w:t>%</w:t>
      </w:r>
      <w:r>
        <w:rPr>
          <w:rFonts w:hint="eastAsia" w:ascii="思源黑体 CN Light" w:hAnsi="思源黑体 CN Light" w:eastAsia="思源黑体 CN Light" w:cs="Times New Roman"/>
          <w:sz w:val="22"/>
          <w:szCs w:val="21"/>
          <w14:ligatures w14:val="standardContextual"/>
        </w:rPr>
        <w:t>、2.1996</w:t>
      </w:r>
      <w:r>
        <w:rPr>
          <w:rFonts w:hint="eastAsia" w:ascii="思源黑体 CN Light" w:hAnsi="思源黑体 CN Light" w:eastAsia="思源黑体 CN Light" w:cs="Times New Roman"/>
          <w:sz w:val="22"/>
          <w:szCs w:val="21"/>
          <w:lang w:val="en-US" w:eastAsia="zh-CN"/>
          <w14:ligatures w14:val="standardContextual"/>
        </w:rPr>
        <w:t>%</w:t>
      </w:r>
      <w:r>
        <w:rPr>
          <w:rFonts w:hint="eastAsia" w:ascii="思源黑体 CN Light" w:hAnsi="思源黑体 CN Light" w:eastAsia="思源黑体 CN Light" w:cs="Times New Roman"/>
          <w:sz w:val="22"/>
          <w:szCs w:val="21"/>
          <w14:ligatures w14:val="standardContextual"/>
        </w:rPr>
        <w:t xml:space="preserve">。  </w:t>
      </w:r>
      <w:r>
        <w:rPr>
          <w:rFonts w:hint="eastAsia" w:ascii="思源黑体 CN Light" w:hAnsi="思源黑体 CN Light" w:eastAsia="思源黑体 CN Light" w:cs="Times New Roman"/>
          <w:b/>
          <w:bCs/>
          <w:sz w:val="22"/>
          <w:szCs w:val="21"/>
          <w14:ligatures w14:val="standardContextual"/>
        </w:rPr>
        <w:t xml:space="preserve">     </w:t>
      </w:r>
      <w:r>
        <w:rPr>
          <w:rFonts w:hint="eastAsia" w:ascii="思源黑体 CN Light" w:hAnsi="思源黑体 CN Light" w:eastAsia="思源黑体 CN Light" w:cs="Times New Roman"/>
          <w:sz w:val="22"/>
          <w:szCs w:val="21"/>
          <w14:ligatures w14:val="standardContextual"/>
        </w:rPr>
        <w:t xml:space="preserve">                                   </w:t>
      </w:r>
      <w:r>
        <w:rPr>
          <w:rFonts w:hint="eastAsia" w:ascii="思源黑体 CN Light" w:hAnsi="思源黑体 CN Light" w:eastAsia="思源黑体 CN Light" w:cs="Times New Roman"/>
          <w:b/>
          <w:bCs/>
          <w:sz w:val="22"/>
          <w:szCs w:val="21"/>
          <w14:ligatures w14:val="standardContextual"/>
        </w:rPr>
        <w:t xml:space="preserve">                                                                                                                                      </w:t>
      </w:r>
    </w:p>
    <w:p w14:paraId="0B212C5A">
      <w:pPr>
        <w:spacing w:line="288" w:lineRule="auto"/>
        <w:jc w:val="left"/>
        <w:rPr>
          <w:rFonts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图二：资金面变化</w:t>
      </w:r>
    </w:p>
    <w:p w14:paraId="09B7ADD9">
      <w:pPr>
        <w:spacing w:line="288" w:lineRule="auto"/>
        <w:jc w:val="left"/>
        <w:rPr>
          <w:rFonts w:ascii="思源黑体 CN Light" w:hAnsi="思源黑体 CN Light" w:eastAsia="思源黑体 CN Light" w:cs="Times New Roman"/>
          <w:b/>
          <w:color w:val="000000"/>
          <w:kern w:val="0"/>
          <w:sz w:val="20"/>
          <w:szCs w:val="20"/>
        </w:rPr>
      </w:pPr>
      <w:r>
        <w:drawing>
          <wp:inline distT="0" distB="0" distL="114300" distR="114300">
            <wp:extent cx="4924425" cy="2872105"/>
            <wp:effectExtent l="0" t="0" r="9525" b="4445"/>
            <wp:docPr id="6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8"/>
                    <pic:cNvPicPr>
                      <a:picLocks noChangeAspect="1"/>
                    </pic:cNvPicPr>
                  </pic:nvPicPr>
                  <pic:blipFill>
                    <a:blip r:embed="rId5"/>
                    <a:stretch>
                      <a:fillRect/>
                    </a:stretch>
                  </pic:blipFill>
                  <pic:spPr>
                    <a:xfrm>
                      <a:off x="0" y="0"/>
                      <a:ext cx="4924425" cy="2872105"/>
                    </a:xfrm>
                    <a:prstGeom prst="rect">
                      <a:avLst/>
                    </a:prstGeom>
                  </pic:spPr>
                </pic:pic>
              </a:graphicData>
            </a:graphic>
          </wp:inline>
        </w:drawing>
      </w:r>
    </w:p>
    <w:p w14:paraId="185E1041">
      <w:pPr>
        <w:spacing w:line="288" w:lineRule="auto"/>
        <w:jc w:val="left"/>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sz w:val="16"/>
          <w:szCs w:val="16"/>
        </w:rPr>
        <w:t>数据来源：wind，富荣基金；统计区间：20250915-20250919</w:t>
      </w:r>
    </w:p>
    <w:p w14:paraId="1642A3AF">
      <w:pPr>
        <w:spacing w:line="288" w:lineRule="auto"/>
        <w:jc w:val="left"/>
        <w:rPr>
          <w:rFonts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图三：国债周度变化</w:t>
      </w:r>
    </w:p>
    <w:p w14:paraId="0E6F99B9">
      <w:pPr>
        <w:spacing w:line="288" w:lineRule="auto"/>
        <w:jc w:val="left"/>
        <w:rPr>
          <w:rFonts w:ascii="思源黑体 CN Light" w:hAnsi="思源黑体 CN Light" w:eastAsia="思源黑体 CN Light" w:cs="Times New Roman"/>
          <w:b/>
          <w:color w:val="000000"/>
          <w:kern w:val="0"/>
          <w:sz w:val="20"/>
          <w:szCs w:val="20"/>
        </w:rPr>
      </w:pPr>
      <w:r>
        <w:drawing>
          <wp:inline distT="0" distB="0" distL="114300" distR="114300">
            <wp:extent cx="5057775" cy="3211830"/>
            <wp:effectExtent l="0" t="0" r="9525" b="7620"/>
            <wp:docPr id="68"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7"/>
                    <pic:cNvPicPr>
                      <a:picLocks noChangeAspect="1"/>
                    </pic:cNvPicPr>
                  </pic:nvPicPr>
                  <pic:blipFill>
                    <a:blip r:embed="rId6"/>
                    <a:stretch>
                      <a:fillRect/>
                    </a:stretch>
                  </pic:blipFill>
                  <pic:spPr>
                    <a:xfrm>
                      <a:off x="0" y="0"/>
                      <a:ext cx="5057775" cy="3211830"/>
                    </a:xfrm>
                    <a:prstGeom prst="rect">
                      <a:avLst/>
                    </a:prstGeom>
                  </pic:spPr>
                </pic:pic>
              </a:graphicData>
            </a:graphic>
          </wp:inline>
        </w:drawing>
      </w:r>
    </w:p>
    <w:p w14:paraId="100050D7">
      <w:pPr>
        <w:spacing w:line="288" w:lineRule="auto"/>
        <w:jc w:val="left"/>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sz w:val="16"/>
          <w:szCs w:val="16"/>
        </w:rPr>
        <w:t>数据来源：wind，富荣基金；统计区间：20250915-20250919</w:t>
      </w:r>
    </w:p>
    <w:p w14:paraId="03A72BDF">
      <w:pPr>
        <w:spacing w:line="288" w:lineRule="auto"/>
        <w:ind w:firstLine="440" w:firstLineChars="200"/>
        <w:rPr>
          <w:rFonts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上周央行全口径净投放11923亿元，资金情绪指数基本在50以上，税期央行流动性投放偏克制。资金面先紧后松，1Y国股行存单发行价格上行至1.68%，DR007加权价格上行至1.5096%。</w:t>
      </w:r>
    </w:p>
    <w:p w14:paraId="162AD093">
      <w:pPr>
        <w:spacing w:line="288" w:lineRule="auto"/>
        <w:ind w:firstLine="440" w:firstLineChars="200"/>
        <w:rPr>
          <w:rFonts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上周信用债收益率多数品种继续上行，银行二级资本债等流动性较好品种或已调整到位，但城投品种可能还有上行空间。利差方面，多数品种长端继续走阔，短端上行幅度不及利率品种，开始收窄。</w:t>
      </w:r>
    </w:p>
    <w:p w14:paraId="7EB00278">
      <w:pPr>
        <w:spacing w:line="288" w:lineRule="auto"/>
        <w:rPr>
          <w:rFonts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图四：信用债收益率变化</w:t>
      </w:r>
    </w:p>
    <w:p w14:paraId="3BEF6427">
      <w:pPr>
        <w:spacing w:line="288" w:lineRule="auto"/>
      </w:pPr>
      <w:r>
        <w:drawing>
          <wp:inline distT="0" distB="0" distL="114300" distR="114300">
            <wp:extent cx="5588635" cy="2661285"/>
            <wp:effectExtent l="0" t="0" r="12065" b="571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5588679" cy="2661771"/>
                    </a:xfrm>
                    <a:prstGeom prst="rect">
                      <a:avLst/>
                    </a:prstGeom>
                  </pic:spPr>
                </pic:pic>
              </a:graphicData>
            </a:graphic>
          </wp:inline>
        </w:drawing>
      </w:r>
    </w:p>
    <w:p w14:paraId="0E23D332">
      <w:pPr>
        <w:spacing w:line="288" w:lineRule="auto"/>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sz w:val="16"/>
          <w:szCs w:val="16"/>
        </w:rPr>
        <w:t>数据来源：wind，富荣基金；统计区间：20250915-20250919</w:t>
      </w:r>
    </w:p>
    <w:p w14:paraId="03BC169D">
      <w:pPr>
        <w:spacing w:line="288" w:lineRule="auto"/>
        <w:jc w:val="left"/>
        <w:rPr>
          <w:rFonts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图五：信用利差变化</w:t>
      </w:r>
    </w:p>
    <w:p w14:paraId="35BC0F88">
      <w:pPr>
        <w:spacing w:line="288" w:lineRule="auto"/>
        <w:jc w:val="left"/>
      </w:pPr>
      <w:r>
        <w:drawing>
          <wp:inline distT="0" distB="0" distL="114300" distR="114300">
            <wp:extent cx="5882005" cy="2423795"/>
            <wp:effectExtent l="0" t="0" r="4445" b="14605"/>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8"/>
                    <a:stretch>
                      <a:fillRect/>
                    </a:stretch>
                  </pic:blipFill>
                  <pic:spPr>
                    <a:xfrm>
                      <a:off x="0" y="0"/>
                      <a:ext cx="5882199" cy="2423954"/>
                    </a:xfrm>
                    <a:prstGeom prst="rect">
                      <a:avLst/>
                    </a:prstGeom>
                  </pic:spPr>
                </pic:pic>
              </a:graphicData>
            </a:graphic>
          </wp:inline>
        </w:drawing>
      </w:r>
    </w:p>
    <w:p w14:paraId="795509E6">
      <w:pPr>
        <w:spacing w:line="288" w:lineRule="auto"/>
        <w:jc w:val="left"/>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sz w:val="16"/>
          <w:szCs w:val="16"/>
        </w:rPr>
        <w:t>数据来源：wind，富荣基金；统计区间：20250915-20250919</w:t>
      </w:r>
    </w:p>
    <w:p w14:paraId="3750A7E3">
      <w:pPr>
        <w:rPr>
          <w:rFonts w:ascii="思源黑体 CN Light" w:hAnsi="思源黑体 CN Light" w:eastAsia="思源黑体 CN Light"/>
          <w:sz w:val="20"/>
          <w:szCs w:val="20"/>
        </w:rPr>
      </w:pPr>
    </w:p>
    <w:p w14:paraId="4D8FB7BB">
      <w:pPr>
        <w:rPr>
          <w:rFonts w:ascii="思源黑体 CN Light" w:hAnsi="思源黑体 CN Light" w:eastAsia="思源黑体 CN Light" w:cs="Times New Roman"/>
          <w:sz w:val="18"/>
          <w:szCs w:val="18"/>
        </w:rPr>
      </w:pPr>
      <w:r>
        <w:rPr>
          <w:rFonts w:hint="eastAsia" w:ascii="思源黑体 CN Light" w:hAnsi="思源黑体 CN Light" w:eastAsia="思源黑体 CN Light"/>
          <w:sz w:val="18"/>
          <w:szCs w:val="18"/>
        </w:rPr>
        <w:t>风险提示：</w:t>
      </w:r>
    </w:p>
    <w:p w14:paraId="33263F18">
      <w:r>
        <w:rPr>
          <w:rFonts w:ascii="思源黑体 CN Light" w:hAnsi="思源黑体 CN Light" w:eastAsia="思源黑体 CN Light"/>
          <w:sz w:val="18"/>
          <w:szCs w:val="18"/>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思源黑体 CN Bold">
    <w:altName w:val="黑体"/>
    <w:panose1 w:val="00000000000000000000"/>
    <w:charset w:val="86"/>
    <w:family w:val="swiss"/>
    <w:pitch w:val="default"/>
    <w:sig w:usb0="00000000" w:usb1="00000000" w:usb2="00000016" w:usb3="00000000" w:csb0="60060107" w:csb1="00000000"/>
  </w:font>
  <w:font w:name="思源黑体 CN Light">
    <w:altName w:val="黑体"/>
    <w:panose1 w:val="00000000000000000000"/>
    <w:charset w:val="86"/>
    <w:family w:val="swiss"/>
    <w:pitch w:val="default"/>
    <w:sig w:usb0="00000000" w:usb1="00000000" w:usb2="00000016" w:usb3="00000000" w:csb0="60060107"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BA496F"/>
    <w:rsid w:val="00326AB9"/>
    <w:rsid w:val="004C0096"/>
    <w:rsid w:val="00796551"/>
    <w:rsid w:val="0AAA3C4D"/>
    <w:rsid w:val="0D5319E8"/>
    <w:rsid w:val="0E9953A0"/>
    <w:rsid w:val="18916B11"/>
    <w:rsid w:val="18D31DD1"/>
    <w:rsid w:val="1DDE692B"/>
    <w:rsid w:val="20F4758C"/>
    <w:rsid w:val="21BA496F"/>
    <w:rsid w:val="281573ED"/>
    <w:rsid w:val="2F4F1437"/>
    <w:rsid w:val="3C577B7C"/>
    <w:rsid w:val="455E01CE"/>
    <w:rsid w:val="47857F79"/>
    <w:rsid w:val="5200419C"/>
    <w:rsid w:val="55B53F29"/>
    <w:rsid w:val="7BB55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480" w:after="80" w:line="278" w:lineRule="auto"/>
      <w:jc w:val="left"/>
      <w:outlineLvl w:val="0"/>
    </w:pPr>
    <w:rPr>
      <w:rFonts w:asciiTheme="majorHAnsi" w:hAnsiTheme="majorHAnsi" w:eastAsiaTheme="majorEastAsia" w:cstheme="majorBidi"/>
      <w:color w:val="2E54A1" w:themeColor="accent1" w:themeShade="BF"/>
      <w:sz w:val="48"/>
      <w:szCs w:val="48"/>
      <w14:ligatures w14:val="standardContextual"/>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Balloon Text"/>
    <w:basedOn w:val="1"/>
    <w:link w:val="11"/>
    <w:qFormat/>
    <w:uiPriority w:val="0"/>
    <w:rPr>
      <w:sz w:val="18"/>
      <w:szCs w:val="18"/>
    </w:rPr>
  </w:style>
  <w:style w:type="paragraph" w:styleId="5">
    <w:name w:val="footer"/>
    <w:basedOn w:val="1"/>
    <w:link w:val="13"/>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qFormat/>
    <w:uiPriority w:val="0"/>
    <w:rPr>
      <w:b/>
      <w:bCs/>
    </w:rPr>
  </w:style>
  <w:style w:type="character" w:styleId="10">
    <w:name w:val="annotation reference"/>
    <w:basedOn w:val="9"/>
    <w:uiPriority w:val="0"/>
    <w:rPr>
      <w:sz w:val="21"/>
      <w:szCs w:val="21"/>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页眉 Char"/>
    <w:basedOn w:val="9"/>
    <w:link w:val="6"/>
    <w:qFormat/>
    <w:uiPriority w:val="0"/>
    <w:rPr>
      <w:rFonts w:asciiTheme="minorHAnsi" w:hAnsiTheme="minorHAnsi" w:eastAsiaTheme="minorEastAsia" w:cstheme="minorBidi"/>
      <w:kern w:val="2"/>
      <w:sz w:val="18"/>
      <w:szCs w:val="18"/>
    </w:rPr>
  </w:style>
  <w:style w:type="character" w:customStyle="1" w:styleId="13">
    <w:name w:val="页脚 Char"/>
    <w:basedOn w:val="9"/>
    <w:link w:val="5"/>
    <w:qFormat/>
    <w:uiPriority w:val="0"/>
    <w:rPr>
      <w:rFonts w:asciiTheme="minorHAnsi" w:hAnsiTheme="minorHAnsi" w:eastAsiaTheme="minorEastAsia" w:cstheme="minorBidi"/>
      <w:kern w:val="2"/>
      <w:sz w:val="18"/>
      <w:szCs w:val="18"/>
    </w:rPr>
  </w:style>
  <w:style w:type="character" w:customStyle="1" w:styleId="14">
    <w:name w:val="批注文字 Char"/>
    <w:basedOn w:val="9"/>
    <w:link w:val="3"/>
    <w:qFormat/>
    <w:uiPriority w:val="0"/>
    <w:rPr>
      <w:rFonts w:asciiTheme="minorHAnsi" w:hAnsiTheme="minorHAnsi" w:eastAsiaTheme="minorEastAsia" w:cstheme="minorBidi"/>
      <w:kern w:val="2"/>
      <w:sz w:val="21"/>
      <w:szCs w:val="22"/>
    </w:rPr>
  </w:style>
  <w:style w:type="character" w:customStyle="1" w:styleId="15">
    <w:name w:val="批注主题 Char"/>
    <w:basedOn w:val="14"/>
    <w:link w:val="7"/>
    <w:qFormat/>
    <w:uiPriority w:val="0"/>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1255</Words>
  <Characters>1537</Characters>
  <Lines>12</Lines>
  <Paragraphs>3</Paragraphs>
  <TotalTime>54</TotalTime>
  <ScaleCrop>false</ScaleCrop>
  <LinksUpToDate>false</LinksUpToDate>
  <CharactersWithSpaces>1714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2025-09-22T06:43:00Z</dcterms:created>
  <dc:creator>叶蕊</dc:creator>
  <cp:lastModifiedBy>旋木流水</cp:lastModifiedBy>
  <dcterms:modified xsi:type="dcterms:W3CDTF">2025-09-22T08:00:23Z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26A006155A6F4A51AA8D5A41EB3531A9_13</vt:lpwstr>
  </property>
  <property fmtid="{D5CDD505-2E9C-101B-9397-08002B2CF9AE}" pid="4" name="KSOTemplateDocerSaveRecord">
    <vt:lpwstr>eyJoZGlkIjoiZDVmZGI2NzZkYWVmZTkwYjdmNzRlNTRmMGJmZmU0NTgiLCJ1c2VySWQiOiIyMzM4NTczODIifQ==</vt:lpwstr>
  </property>
</Properties>
</file>