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40C65" w14:textId="77777777" w:rsidR="008D0810" w:rsidRDefault="008D0810">
      <w:pPr>
        <w:pStyle w:val="af4"/>
      </w:pPr>
    </w:p>
    <w:p w14:paraId="1B3C5DA1" w14:textId="77777777" w:rsidR="008D0810" w:rsidRDefault="008D0810">
      <w:pPr>
        <w:spacing w:line="360" w:lineRule="auto"/>
        <w:jc w:val="center"/>
        <w:rPr>
          <w:rFonts w:asciiTheme="minorEastAsia" w:hAnsiTheme="minorEastAsia" w:cs="Times New Roman" w:hint="eastAsia"/>
          <w:b/>
          <w:sz w:val="48"/>
          <w:szCs w:val="48"/>
        </w:rPr>
      </w:pPr>
    </w:p>
    <w:p w14:paraId="75E0A248" w14:textId="77777777" w:rsidR="008D0810" w:rsidRDefault="008D0810">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112266"/>
      <w:bookmarkStart w:id="2" w:name="_Toc123701386"/>
      <w:bookmarkStart w:id="3" w:name="_Toc139991729"/>
    </w:p>
    <w:p w14:paraId="45BE9838" w14:textId="77777777" w:rsidR="008D0810" w:rsidRDefault="00417F9F">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富荣福康混合型证券投资基金</w:t>
      </w:r>
    </w:p>
    <w:p w14:paraId="3BE2841F" w14:textId="77777777" w:rsidR="008D0810" w:rsidRDefault="00417F9F">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更新的招募说明书</w:t>
      </w:r>
    </w:p>
    <w:p w14:paraId="7BF362B0" w14:textId="21373129" w:rsidR="008D0810" w:rsidRDefault="00417F9F">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w:t>
      </w:r>
      <w:r w:rsidR="00C83E86">
        <w:rPr>
          <w:rFonts w:asciiTheme="minorEastAsia" w:hAnsiTheme="minorEastAsia" w:cs="Arial" w:hint="eastAsia"/>
          <w:b/>
          <w:sz w:val="48"/>
          <w:szCs w:val="48"/>
        </w:rPr>
        <w:t>2025年第3号</w:t>
      </w:r>
      <w:r>
        <w:rPr>
          <w:rFonts w:asciiTheme="minorEastAsia" w:hAnsiTheme="minorEastAsia" w:cs="Arial" w:hint="eastAsia"/>
          <w:b/>
          <w:sz w:val="48"/>
          <w:szCs w:val="48"/>
        </w:rPr>
        <w:t>）</w:t>
      </w:r>
    </w:p>
    <w:p w14:paraId="431DFA71" w14:textId="77777777" w:rsidR="008D0810" w:rsidRDefault="008D0810">
      <w:pPr>
        <w:adjustRightInd w:val="0"/>
        <w:snapToGrid w:val="0"/>
        <w:spacing w:line="360" w:lineRule="auto"/>
        <w:jc w:val="center"/>
        <w:rPr>
          <w:rFonts w:asciiTheme="minorEastAsia" w:hAnsiTheme="minorEastAsia" w:cs="Times New Roman" w:hint="eastAsia"/>
          <w:b/>
          <w:sz w:val="36"/>
          <w:szCs w:val="36"/>
        </w:rPr>
      </w:pPr>
    </w:p>
    <w:p w14:paraId="701D884E"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38030E93"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6852E927"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4FC76F82" w14:textId="77777777" w:rsidR="008D0810" w:rsidRDefault="008D0810">
      <w:pPr>
        <w:adjustRightInd w:val="0"/>
        <w:snapToGrid w:val="0"/>
        <w:spacing w:line="360" w:lineRule="auto"/>
        <w:jc w:val="center"/>
        <w:rPr>
          <w:rFonts w:asciiTheme="minorEastAsia" w:hAnsiTheme="minorEastAsia" w:cs="Arial" w:hint="eastAsia"/>
          <w:sz w:val="36"/>
          <w:szCs w:val="36"/>
        </w:rPr>
      </w:pPr>
    </w:p>
    <w:p w14:paraId="310DAF1C" w14:textId="77777777" w:rsidR="008D0810" w:rsidRDefault="00417F9F">
      <w:pPr>
        <w:snapToGrid w:val="0"/>
        <w:spacing w:line="360" w:lineRule="auto"/>
        <w:jc w:val="center"/>
        <w:rPr>
          <w:rFonts w:asciiTheme="minorEastAsia" w:hAnsiTheme="minorEastAsia" w:cs="Times New Roman" w:hint="eastAsia"/>
          <w:b/>
          <w:sz w:val="36"/>
          <w:szCs w:val="36"/>
        </w:rPr>
      </w:pPr>
      <w:bookmarkStart w:id="4" w:name="_Toc123112263"/>
      <w:bookmarkStart w:id="5" w:name="_Toc123701383"/>
      <w:bookmarkStart w:id="6" w:name="_Toc123112224"/>
      <w:bookmarkStart w:id="7" w:name="_Toc139991726"/>
      <w:bookmarkStart w:id="8" w:name="_Toc139992301"/>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750399B0" w14:textId="77777777" w:rsidR="008D0810" w:rsidRDefault="00417F9F">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64"/>
      <w:bookmarkStart w:id="10" w:name="_Toc139992302"/>
      <w:bookmarkStart w:id="11" w:name="_Toc139991727"/>
      <w:bookmarkStart w:id="12" w:name="_Toc123701384"/>
      <w:bookmarkStart w:id="13" w:name="_Toc123112225"/>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262BF0F2"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 w:val="28"/>
          <w:szCs w:val="28"/>
        </w:rPr>
      </w:pPr>
    </w:p>
    <w:p w14:paraId="7EC73F10"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 w:val="28"/>
          <w:szCs w:val="28"/>
        </w:rPr>
      </w:pPr>
    </w:p>
    <w:p w14:paraId="3CCB5022"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 w:val="28"/>
          <w:szCs w:val="28"/>
        </w:rPr>
      </w:pPr>
    </w:p>
    <w:p w14:paraId="5ECE03FD" w14:textId="77777777" w:rsidR="008D0810" w:rsidRDefault="008D0810">
      <w:pPr>
        <w:widowControl/>
        <w:spacing w:line="360" w:lineRule="auto"/>
        <w:rPr>
          <w:rFonts w:asciiTheme="minorEastAsia" w:hAnsiTheme="minorEastAsia" w:cs="Arial" w:hint="eastAsia"/>
          <w:b/>
          <w:bCs/>
          <w:kern w:val="0"/>
          <w:sz w:val="28"/>
          <w:szCs w:val="28"/>
        </w:rPr>
        <w:sectPr w:rsidR="008D081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720"/>
          <w:titlePg/>
          <w:docGrid w:type="lines" w:linePitch="312"/>
        </w:sectPr>
      </w:pPr>
    </w:p>
    <w:p w14:paraId="207BE05F" w14:textId="77777777" w:rsidR="008D0810" w:rsidRDefault="00417F9F">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146096076"/>
      <w:r>
        <w:rPr>
          <w:rFonts w:asciiTheme="minorEastAsia" w:hAnsiTheme="minorEastAsia" w:cs="Arial" w:hint="eastAsia"/>
          <w:b/>
          <w:bCs/>
          <w:sz w:val="30"/>
          <w:szCs w:val="30"/>
        </w:rPr>
        <w:lastRenderedPageBreak/>
        <w:t>【重要提示】</w:t>
      </w:r>
      <w:bookmarkEnd w:id="14"/>
    </w:p>
    <w:p w14:paraId="4B5B5FB9" w14:textId="77777777" w:rsidR="008D0810" w:rsidRDefault="008D0810">
      <w:pPr>
        <w:autoSpaceDE w:val="0"/>
        <w:autoSpaceDN w:val="0"/>
        <w:adjustRightInd w:val="0"/>
        <w:snapToGrid w:val="0"/>
        <w:spacing w:line="360" w:lineRule="auto"/>
        <w:jc w:val="center"/>
        <w:rPr>
          <w:rFonts w:asciiTheme="minorEastAsia" w:hAnsiTheme="minorEastAsia" w:cs="Arial" w:hint="eastAsia"/>
          <w:b/>
          <w:bCs/>
          <w:szCs w:val="21"/>
        </w:rPr>
      </w:pPr>
    </w:p>
    <w:p w14:paraId="0B74136D"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7F1A008E"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23943E20"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092012E4" w14:textId="77777777" w:rsidR="008D0810" w:rsidRDefault="00417F9F">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E817053"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BEDC2C"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53114A6B"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960BAD1"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w:t>
      </w:r>
      <w:r>
        <w:rPr>
          <w:rFonts w:asciiTheme="minorEastAsia" w:hAnsiTheme="minorEastAsia" w:cs="Arial" w:hint="eastAsia"/>
          <w:sz w:val="24"/>
          <w:szCs w:val="24"/>
        </w:rPr>
        <w:lastRenderedPageBreak/>
        <w:t>资风险，由投资者自行承担。</w:t>
      </w:r>
    </w:p>
    <w:p w14:paraId="6EEBDCDC" w14:textId="7B7E2A1C"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本招募说明书所载内容截止日为2025年</w:t>
      </w:r>
      <w:r w:rsidR="00C83E86">
        <w:rPr>
          <w:rFonts w:asciiTheme="minorEastAsia" w:hAnsiTheme="minorEastAsia" w:cs="Arial" w:hint="eastAsia"/>
          <w:sz w:val="24"/>
          <w:szCs w:val="24"/>
        </w:rPr>
        <w:t>8</w:t>
      </w:r>
      <w:r>
        <w:rPr>
          <w:rFonts w:asciiTheme="minorEastAsia" w:hAnsiTheme="minorEastAsia" w:cs="Arial" w:hint="eastAsia"/>
          <w:sz w:val="24"/>
          <w:szCs w:val="24"/>
        </w:rPr>
        <w:t>月</w:t>
      </w:r>
      <w:r w:rsidR="00C83E86">
        <w:rPr>
          <w:rFonts w:asciiTheme="minorEastAsia" w:hAnsiTheme="minorEastAsia" w:cs="Arial" w:hint="eastAsia"/>
          <w:sz w:val="24"/>
          <w:szCs w:val="24"/>
        </w:rPr>
        <w:t>23</w:t>
      </w:r>
      <w:r>
        <w:rPr>
          <w:rFonts w:asciiTheme="minorEastAsia" w:hAnsiTheme="minorEastAsia" w:cs="Arial" w:hint="eastAsia"/>
          <w:sz w:val="24"/>
          <w:szCs w:val="24"/>
        </w:rPr>
        <w:t>日，有关财务数据截止日为</w:t>
      </w:r>
      <w:r w:rsidR="00C83E86">
        <w:rPr>
          <w:rFonts w:asciiTheme="minorEastAsia" w:hAnsiTheme="minorEastAsia" w:cs="Arial" w:hint="eastAsia"/>
          <w:sz w:val="24"/>
          <w:szCs w:val="24"/>
        </w:rPr>
        <w:t>2025</w:t>
      </w:r>
      <w:r>
        <w:rPr>
          <w:rFonts w:asciiTheme="minorEastAsia" w:hAnsiTheme="minorEastAsia" w:cs="Arial" w:hint="eastAsia"/>
          <w:sz w:val="24"/>
          <w:szCs w:val="24"/>
        </w:rPr>
        <w:t>年6月30日，净值表现截止日为</w:t>
      </w:r>
      <w:r w:rsidR="00C83E86">
        <w:rPr>
          <w:rFonts w:asciiTheme="minorEastAsia" w:hAnsiTheme="minorEastAsia" w:cs="Arial" w:hint="eastAsia"/>
          <w:sz w:val="24"/>
          <w:szCs w:val="24"/>
        </w:rPr>
        <w:t>2025</w:t>
      </w:r>
      <w:r>
        <w:rPr>
          <w:rFonts w:asciiTheme="minorEastAsia" w:hAnsiTheme="minorEastAsia" w:cs="Arial" w:hint="eastAsia"/>
          <w:sz w:val="24"/>
          <w:szCs w:val="24"/>
        </w:rPr>
        <w:t>年6月30日。（财务数据未经审计）。</w:t>
      </w:r>
    </w:p>
    <w:p w14:paraId="6984C434" w14:textId="77777777" w:rsidR="008D0810" w:rsidRDefault="008D0810">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2567E877" w14:textId="77777777" w:rsidR="008D0810" w:rsidRDefault="008D0810">
      <w:pPr>
        <w:autoSpaceDE w:val="0"/>
        <w:autoSpaceDN w:val="0"/>
        <w:adjustRightInd w:val="0"/>
        <w:snapToGrid w:val="0"/>
        <w:spacing w:line="360" w:lineRule="auto"/>
        <w:jc w:val="left"/>
        <w:rPr>
          <w:rFonts w:asciiTheme="minorEastAsia" w:hAnsiTheme="minorEastAsia" w:cs="Arial" w:hint="eastAsia"/>
          <w:b/>
          <w:bCs/>
          <w:sz w:val="28"/>
          <w:szCs w:val="28"/>
        </w:rPr>
      </w:pPr>
    </w:p>
    <w:p w14:paraId="1E4DF473" w14:textId="77777777" w:rsidR="008D0810" w:rsidRDefault="008D0810">
      <w:pPr>
        <w:widowControl/>
        <w:spacing w:line="360" w:lineRule="auto"/>
        <w:jc w:val="left"/>
        <w:rPr>
          <w:rFonts w:asciiTheme="minorEastAsia" w:hAnsiTheme="minorEastAsia" w:cs="Times New Roman" w:hint="eastAsia"/>
          <w:b/>
          <w:kern w:val="0"/>
          <w:sz w:val="30"/>
          <w:szCs w:val="30"/>
        </w:rPr>
        <w:sectPr w:rsidR="008D0810">
          <w:pgSz w:w="11906" w:h="16838"/>
          <w:pgMar w:top="1440" w:right="1800" w:bottom="1440" w:left="1800" w:header="851" w:footer="992" w:gutter="0"/>
          <w:pgNumType w:start="1"/>
          <w:cols w:space="720"/>
          <w:docGrid w:type="lines" w:linePitch="312"/>
        </w:sectPr>
      </w:pPr>
      <w:bookmarkStart w:id="15" w:name="_Toc15517"/>
      <w:bookmarkStart w:id="16" w:name="_Toc4966"/>
      <w:bookmarkStart w:id="17" w:name="_Toc123112229"/>
      <w:bookmarkStart w:id="18" w:name="_Toc6306"/>
      <w:bookmarkStart w:id="19" w:name="_Toc123701389"/>
      <w:bookmarkStart w:id="20" w:name="_Toc4867"/>
      <w:bookmarkStart w:id="21" w:name="_Toc123112268"/>
      <w:bookmarkStart w:id="22" w:name="_Toc23386"/>
      <w:bookmarkStart w:id="23" w:name="_Toc26897"/>
      <w:bookmarkStart w:id="24" w:name="_Toc352229746"/>
      <w:bookmarkStart w:id="25" w:name="_Toc8727"/>
      <w:bookmarkStart w:id="26" w:name="_Toc32639"/>
      <w:bookmarkStart w:id="27" w:name="_Toc141703880"/>
      <w:bookmarkStart w:id="28" w:name="_Toc11660"/>
      <w:bookmarkStart w:id="29" w:name="_Toc139991730"/>
      <w:bookmarkStart w:id="30" w:name="_Toc30935"/>
      <w:bookmarkStart w:id="31" w:name="_Toc29629"/>
      <w:bookmarkStart w:id="32" w:name="_Toc233456271"/>
      <w:bookmarkEnd w:id="0"/>
      <w:bookmarkEnd w:id="1"/>
      <w:bookmarkEnd w:id="2"/>
      <w:bookmarkEnd w:id="3"/>
    </w:p>
    <w:p w14:paraId="2FA7A3BD" w14:textId="77777777" w:rsidR="008D0810" w:rsidRDefault="00417F9F">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4D4159D5" w14:textId="0A378ABC" w:rsidR="008D0810" w:rsidRDefault="00417F9F">
      <w:pPr>
        <w:pStyle w:val="TOC1"/>
        <w:rPr>
          <w:rFonts w:asciiTheme="minorHAnsi" w:eastAsiaTheme="minorEastAsia" w:hAnsiTheme="minorHAnsi" w:cstheme="minorBidi"/>
          <w:noProof/>
          <w:szCs w:val="22"/>
          <w14:ligatures w14:val="standardContextual"/>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146096077" w:history="1">
        <w:r w:rsidR="008D0810">
          <w:rPr>
            <w:rStyle w:val="afa"/>
            <w:rFonts w:asciiTheme="minorEastAsia" w:hAnsiTheme="minorEastAsia"/>
            <w:noProof/>
          </w:rPr>
          <w:t>第一部分  绪言</w:t>
        </w:r>
        <w:r w:rsidR="008D0810">
          <w:rPr>
            <w:noProof/>
          </w:rPr>
          <w:tab/>
        </w:r>
        <w:r w:rsidR="008D0810">
          <w:rPr>
            <w:noProof/>
          </w:rPr>
          <w:fldChar w:fldCharType="begin"/>
        </w:r>
        <w:r w:rsidR="008D0810">
          <w:rPr>
            <w:noProof/>
          </w:rPr>
          <w:instrText xml:space="preserve"> PAGEREF _Toc146096077 \h </w:instrText>
        </w:r>
        <w:r w:rsidR="008D0810">
          <w:rPr>
            <w:noProof/>
          </w:rPr>
        </w:r>
        <w:r w:rsidR="008D0810">
          <w:rPr>
            <w:noProof/>
          </w:rPr>
          <w:fldChar w:fldCharType="separate"/>
        </w:r>
        <w:r w:rsidR="009F5200">
          <w:rPr>
            <w:noProof/>
          </w:rPr>
          <w:t>4</w:t>
        </w:r>
        <w:r w:rsidR="008D0810">
          <w:rPr>
            <w:noProof/>
          </w:rPr>
          <w:fldChar w:fldCharType="end"/>
        </w:r>
      </w:hyperlink>
    </w:p>
    <w:p w14:paraId="5F2027DA" w14:textId="5B44E36A" w:rsidR="008D0810" w:rsidRDefault="008D0810">
      <w:pPr>
        <w:pStyle w:val="TOC1"/>
        <w:rPr>
          <w:rFonts w:asciiTheme="minorHAnsi" w:eastAsiaTheme="minorEastAsia" w:hAnsiTheme="minorHAnsi" w:cstheme="minorBidi"/>
          <w:noProof/>
          <w:szCs w:val="22"/>
          <w14:ligatures w14:val="standardContextual"/>
        </w:rPr>
      </w:pPr>
      <w:hyperlink w:anchor="_Toc146096078" w:history="1">
        <w:r>
          <w:rPr>
            <w:rStyle w:val="afa"/>
            <w:rFonts w:asciiTheme="minorEastAsia" w:hAnsiTheme="minorEastAsia"/>
            <w:noProof/>
          </w:rPr>
          <w:t>第二部分  释义</w:t>
        </w:r>
        <w:r>
          <w:rPr>
            <w:noProof/>
          </w:rPr>
          <w:tab/>
        </w:r>
        <w:r>
          <w:rPr>
            <w:noProof/>
          </w:rPr>
          <w:fldChar w:fldCharType="begin"/>
        </w:r>
        <w:r>
          <w:rPr>
            <w:noProof/>
          </w:rPr>
          <w:instrText xml:space="preserve"> PAGEREF _Toc146096078 \h </w:instrText>
        </w:r>
        <w:r>
          <w:rPr>
            <w:noProof/>
          </w:rPr>
        </w:r>
        <w:r>
          <w:rPr>
            <w:noProof/>
          </w:rPr>
          <w:fldChar w:fldCharType="separate"/>
        </w:r>
        <w:r w:rsidR="009F5200">
          <w:rPr>
            <w:noProof/>
          </w:rPr>
          <w:t>5</w:t>
        </w:r>
        <w:r>
          <w:rPr>
            <w:noProof/>
          </w:rPr>
          <w:fldChar w:fldCharType="end"/>
        </w:r>
      </w:hyperlink>
    </w:p>
    <w:p w14:paraId="6FA5D07A" w14:textId="42BE320E" w:rsidR="008D0810" w:rsidRDefault="008D0810">
      <w:pPr>
        <w:pStyle w:val="TOC1"/>
        <w:rPr>
          <w:rFonts w:asciiTheme="minorHAnsi" w:eastAsiaTheme="minorEastAsia" w:hAnsiTheme="minorHAnsi" w:cstheme="minorBidi"/>
          <w:noProof/>
          <w:szCs w:val="22"/>
          <w14:ligatures w14:val="standardContextual"/>
        </w:rPr>
      </w:pPr>
      <w:hyperlink w:anchor="_Toc146096079" w:history="1">
        <w:r>
          <w:rPr>
            <w:rStyle w:val="afa"/>
            <w:rFonts w:asciiTheme="minorEastAsia" w:hAnsiTheme="minorEastAsia"/>
            <w:noProof/>
          </w:rPr>
          <w:t>第三部分  基金管理人</w:t>
        </w:r>
        <w:r>
          <w:rPr>
            <w:noProof/>
          </w:rPr>
          <w:tab/>
        </w:r>
        <w:r>
          <w:rPr>
            <w:noProof/>
          </w:rPr>
          <w:fldChar w:fldCharType="begin"/>
        </w:r>
        <w:r>
          <w:rPr>
            <w:noProof/>
          </w:rPr>
          <w:instrText xml:space="preserve"> PAGEREF _Toc146096079 \h </w:instrText>
        </w:r>
        <w:r>
          <w:rPr>
            <w:noProof/>
          </w:rPr>
        </w:r>
        <w:r>
          <w:rPr>
            <w:noProof/>
          </w:rPr>
          <w:fldChar w:fldCharType="separate"/>
        </w:r>
        <w:r w:rsidR="009F5200">
          <w:rPr>
            <w:noProof/>
          </w:rPr>
          <w:t>10</w:t>
        </w:r>
        <w:r>
          <w:rPr>
            <w:noProof/>
          </w:rPr>
          <w:fldChar w:fldCharType="end"/>
        </w:r>
      </w:hyperlink>
    </w:p>
    <w:p w14:paraId="473BC2F1" w14:textId="05D9232A" w:rsidR="008D0810" w:rsidRDefault="008D0810">
      <w:pPr>
        <w:pStyle w:val="TOC1"/>
        <w:rPr>
          <w:rFonts w:asciiTheme="minorHAnsi" w:eastAsiaTheme="minorEastAsia" w:hAnsiTheme="minorHAnsi" w:cstheme="minorBidi"/>
          <w:noProof/>
          <w:szCs w:val="22"/>
          <w14:ligatures w14:val="standardContextual"/>
        </w:rPr>
      </w:pPr>
      <w:hyperlink w:anchor="_Toc146096080" w:history="1">
        <w:r>
          <w:rPr>
            <w:rStyle w:val="afa"/>
            <w:rFonts w:asciiTheme="minorEastAsia" w:hAnsiTheme="minorEastAsia"/>
            <w:noProof/>
          </w:rPr>
          <w:t>第四部分  基金托管人</w:t>
        </w:r>
        <w:r>
          <w:rPr>
            <w:noProof/>
          </w:rPr>
          <w:tab/>
        </w:r>
        <w:r>
          <w:rPr>
            <w:noProof/>
          </w:rPr>
          <w:fldChar w:fldCharType="begin"/>
        </w:r>
        <w:r>
          <w:rPr>
            <w:noProof/>
          </w:rPr>
          <w:instrText xml:space="preserve"> PAGEREF _Toc146096080 \h </w:instrText>
        </w:r>
        <w:r>
          <w:rPr>
            <w:noProof/>
          </w:rPr>
        </w:r>
        <w:r>
          <w:rPr>
            <w:noProof/>
          </w:rPr>
          <w:fldChar w:fldCharType="separate"/>
        </w:r>
        <w:r w:rsidR="009F5200">
          <w:rPr>
            <w:noProof/>
          </w:rPr>
          <w:t>22</w:t>
        </w:r>
        <w:r>
          <w:rPr>
            <w:noProof/>
          </w:rPr>
          <w:fldChar w:fldCharType="end"/>
        </w:r>
      </w:hyperlink>
    </w:p>
    <w:p w14:paraId="5AB283AC" w14:textId="7B9D3874" w:rsidR="008D0810" w:rsidRDefault="008D0810">
      <w:pPr>
        <w:pStyle w:val="TOC1"/>
        <w:rPr>
          <w:rFonts w:asciiTheme="minorHAnsi" w:eastAsiaTheme="minorEastAsia" w:hAnsiTheme="minorHAnsi" w:cstheme="minorBidi"/>
          <w:noProof/>
          <w:szCs w:val="22"/>
          <w14:ligatures w14:val="standardContextual"/>
        </w:rPr>
      </w:pPr>
      <w:hyperlink w:anchor="_Toc146096081" w:history="1">
        <w:r>
          <w:rPr>
            <w:rStyle w:val="afa"/>
            <w:rFonts w:asciiTheme="minorEastAsia" w:hAnsiTheme="minorEastAsia"/>
            <w:noProof/>
          </w:rPr>
          <w:t>第五部分  相关服务机构</w:t>
        </w:r>
        <w:r>
          <w:rPr>
            <w:noProof/>
          </w:rPr>
          <w:tab/>
        </w:r>
        <w:r>
          <w:rPr>
            <w:noProof/>
          </w:rPr>
          <w:fldChar w:fldCharType="begin"/>
        </w:r>
        <w:r>
          <w:rPr>
            <w:noProof/>
          </w:rPr>
          <w:instrText xml:space="preserve"> PAGEREF _Toc146096081 \h </w:instrText>
        </w:r>
        <w:r>
          <w:rPr>
            <w:noProof/>
          </w:rPr>
        </w:r>
        <w:r>
          <w:rPr>
            <w:noProof/>
          </w:rPr>
          <w:fldChar w:fldCharType="separate"/>
        </w:r>
        <w:r w:rsidR="009F5200">
          <w:rPr>
            <w:noProof/>
          </w:rPr>
          <w:t>25</w:t>
        </w:r>
        <w:r>
          <w:rPr>
            <w:noProof/>
          </w:rPr>
          <w:fldChar w:fldCharType="end"/>
        </w:r>
      </w:hyperlink>
    </w:p>
    <w:p w14:paraId="0D723B73" w14:textId="06B1D3B8" w:rsidR="008D0810" w:rsidRDefault="008D0810">
      <w:pPr>
        <w:pStyle w:val="TOC1"/>
        <w:rPr>
          <w:rFonts w:asciiTheme="minorHAnsi" w:eastAsiaTheme="minorEastAsia" w:hAnsiTheme="minorHAnsi" w:cstheme="minorBidi"/>
          <w:noProof/>
          <w:szCs w:val="22"/>
          <w14:ligatures w14:val="standardContextual"/>
        </w:rPr>
      </w:pPr>
      <w:hyperlink w:anchor="_Toc146096082" w:history="1">
        <w:r>
          <w:rPr>
            <w:rStyle w:val="afa"/>
            <w:rFonts w:asciiTheme="minorEastAsia" w:hAnsiTheme="minorEastAsia"/>
            <w:noProof/>
          </w:rPr>
          <w:t>第六部分  基金的募集</w:t>
        </w:r>
        <w:r>
          <w:rPr>
            <w:noProof/>
          </w:rPr>
          <w:tab/>
        </w:r>
        <w:r>
          <w:rPr>
            <w:noProof/>
          </w:rPr>
          <w:fldChar w:fldCharType="begin"/>
        </w:r>
        <w:r>
          <w:rPr>
            <w:noProof/>
          </w:rPr>
          <w:instrText xml:space="preserve"> PAGEREF _Toc146096082 \h </w:instrText>
        </w:r>
        <w:r>
          <w:rPr>
            <w:noProof/>
          </w:rPr>
        </w:r>
        <w:r>
          <w:rPr>
            <w:noProof/>
          </w:rPr>
          <w:fldChar w:fldCharType="separate"/>
        </w:r>
        <w:r w:rsidR="009F5200">
          <w:rPr>
            <w:noProof/>
          </w:rPr>
          <w:t>27</w:t>
        </w:r>
        <w:r>
          <w:rPr>
            <w:noProof/>
          </w:rPr>
          <w:fldChar w:fldCharType="end"/>
        </w:r>
      </w:hyperlink>
    </w:p>
    <w:p w14:paraId="725F55B5" w14:textId="7B81A4DF" w:rsidR="008D0810" w:rsidRDefault="008D0810">
      <w:pPr>
        <w:pStyle w:val="TOC1"/>
        <w:rPr>
          <w:rFonts w:asciiTheme="minorHAnsi" w:eastAsiaTheme="minorEastAsia" w:hAnsiTheme="minorHAnsi" w:cstheme="minorBidi"/>
          <w:noProof/>
          <w:szCs w:val="22"/>
          <w14:ligatures w14:val="standardContextual"/>
        </w:rPr>
      </w:pPr>
      <w:hyperlink w:anchor="_Toc146096083" w:history="1">
        <w:r>
          <w:rPr>
            <w:rStyle w:val="afa"/>
            <w:rFonts w:asciiTheme="minorEastAsia" w:hAnsiTheme="minorEastAsia"/>
            <w:noProof/>
          </w:rPr>
          <w:t>第七部分  基金合同的生效</w:t>
        </w:r>
        <w:r>
          <w:rPr>
            <w:noProof/>
          </w:rPr>
          <w:tab/>
        </w:r>
        <w:r>
          <w:rPr>
            <w:noProof/>
          </w:rPr>
          <w:fldChar w:fldCharType="begin"/>
        </w:r>
        <w:r>
          <w:rPr>
            <w:noProof/>
          </w:rPr>
          <w:instrText xml:space="preserve"> PAGEREF _Toc146096083 \h </w:instrText>
        </w:r>
        <w:r>
          <w:rPr>
            <w:noProof/>
          </w:rPr>
        </w:r>
        <w:r>
          <w:rPr>
            <w:noProof/>
          </w:rPr>
          <w:fldChar w:fldCharType="separate"/>
        </w:r>
        <w:r w:rsidR="009F5200">
          <w:rPr>
            <w:noProof/>
          </w:rPr>
          <w:t>28</w:t>
        </w:r>
        <w:r>
          <w:rPr>
            <w:noProof/>
          </w:rPr>
          <w:fldChar w:fldCharType="end"/>
        </w:r>
      </w:hyperlink>
    </w:p>
    <w:p w14:paraId="4E680407" w14:textId="378811B9" w:rsidR="008D0810" w:rsidRDefault="008D0810">
      <w:pPr>
        <w:pStyle w:val="TOC1"/>
        <w:rPr>
          <w:rFonts w:asciiTheme="minorHAnsi" w:eastAsiaTheme="minorEastAsia" w:hAnsiTheme="minorHAnsi" w:cstheme="minorBidi"/>
          <w:noProof/>
          <w:szCs w:val="22"/>
          <w14:ligatures w14:val="standardContextual"/>
        </w:rPr>
      </w:pPr>
      <w:hyperlink w:anchor="_Toc146096084" w:history="1">
        <w:r>
          <w:rPr>
            <w:rStyle w:val="afa"/>
            <w:rFonts w:asciiTheme="minorEastAsia" w:hAnsiTheme="minorEastAsia"/>
            <w:noProof/>
          </w:rPr>
          <w:t>第八部分  基金份额的申购与赎回</w:t>
        </w:r>
        <w:r>
          <w:rPr>
            <w:noProof/>
          </w:rPr>
          <w:tab/>
        </w:r>
        <w:r>
          <w:rPr>
            <w:noProof/>
          </w:rPr>
          <w:fldChar w:fldCharType="begin"/>
        </w:r>
        <w:r>
          <w:rPr>
            <w:noProof/>
          </w:rPr>
          <w:instrText xml:space="preserve"> PAGEREF _Toc146096084 \h </w:instrText>
        </w:r>
        <w:r>
          <w:rPr>
            <w:noProof/>
          </w:rPr>
        </w:r>
        <w:r>
          <w:rPr>
            <w:noProof/>
          </w:rPr>
          <w:fldChar w:fldCharType="separate"/>
        </w:r>
        <w:r w:rsidR="009F5200">
          <w:rPr>
            <w:noProof/>
          </w:rPr>
          <w:t>29</w:t>
        </w:r>
        <w:r>
          <w:rPr>
            <w:noProof/>
          </w:rPr>
          <w:fldChar w:fldCharType="end"/>
        </w:r>
      </w:hyperlink>
    </w:p>
    <w:p w14:paraId="076F6361" w14:textId="7DB313F1" w:rsidR="008D0810" w:rsidRDefault="008D0810">
      <w:pPr>
        <w:pStyle w:val="TOC1"/>
        <w:rPr>
          <w:rFonts w:asciiTheme="minorHAnsi" w:eastAsiaTheme="minorEastAsia" w:hAnsiTheme="minorHAnsi" w:cstheme="minorBidi"/>
          <w:noProof/>
          <w:szCs w:val="22"/>
          <w14:ligatures w14:val="standardContextual"/>
        </w:rPr>
      </w:pPr>
      <w:hyperlink w:anchor="_Toc146096085" w:history="1">
        <w:r>
          <w:rPr>
            <w:rStyle w:val="afa"/>
            <w:rFonts w:asciiTheme="minorEastAsia" w:hAnsiTheme="minorEastAsia"/>
            <w:noProof/>
          </w:rPr>
          <w:t>第九部分  基金的投资</w:t>
        </w:r>
        <w:r>
          <w:rPr>
            <w:noProof/>
          </w:rPr>
          <w:tab/>
        </w:r>
        <w:r>
          <w:rPr>
            <w:noProof/>
          </w:rPr>
          <w:fldChar w:fldCharType="begin"/>
        </w:r>
        <w:r>
          <w:rPr>
            <w:noProof/>
          </w:rPr>
          <w:instrText xml:space="preserve"> PAGEREF _Toc146096085 \h </w:instrText>
        </w:r>
        <w:r>
          <w:rPr>
            <w:noProof/>
          </w:rPr>
        </w:r>
        <w:r>
          <w:rPr>
            <w:noProof/>
          </w:rPr>
          <w:fldChar w:fldCharType="separate"/>
        </w:r>
        <w:r w:rsidR="009F5200">
          <w:rPr>
            <w:noProof/>
          </w:rPr>
          <w:t>40</w:t>
        </w:r>
        <w:r>
          <w:rPr>
            <w:noProof/>
          </w:rPr>
          <w:fldChar w:fldCharType="end"/>
        </w:r>
      </w:hyperlink>
    </w:p>
    <w:p w14:paraId="574423C1" w14:textId="4AFE2DBD" w:rsidR="008D0810" w:rsidRDefault="008D0810">
      <w:pPr>
        <w:pStyle w:val="TOC1"/>
        <w:rPr>
          <w:rFonts w:asciiTheme="minorHAnsi" w:eastAsiaTheme="minorEastAsia" w:hAnsiTheme="minorHAnsi" w:cstheme="minorBidi"/>
          <w:noProof/>
          <w:szCs w:val="22"/>
          <w14:ligatures w14:val="standardContextual"/>
        </w:rPr>
      </w:pPr>
      <w:hyperlink w:anchor="_Toc146096086" w:history="1">
        <w:r>
          <w:rPr>
            <w:rStyle w:val="afa"/>
            <w:rFonts w:asciiTheme="minorEastAsia" w:hAnsiTheme="minorEastAsia"/>
            <w:noProof/>
          </w:rPr>
          <w:t>第十部分  基金的财产</w:t>
        </w:r>
        <w:r>
          <w:rPr>
            <w:noProof/>
          </w:rPr>
          <w:tab/>
        </w:r>
        <w:r>
          <w:rPr>
            <w:noProof/>
          </w:rPr>
          <w:fldChar w:fldCharType="begin"/>
        </w:r>
        <w:r>
          <w:rPr>
            <w:noProof/>
          </w:rPr>
          <w:instrText xml:space="preserve"> PAGEREF _Toc146096086 \h </w:instrText>
        </w:r>
        <w:r>
          <w:rPr>
            <w:noProof/>
          </w:rPr>
        </w:r>
        <w:r>
          <w:rPr>
            <w:noProof/>
          </w:rPr>
          <w:fldChar w:fldCharType="separate"/>
        </w:r>
        <w:r w:rsidR="009F5200">
          <w:rPr>
            <w:noProof/>
          </w:rPr>
          <w:t>56</w:t>
        </w:r>
        <w:r>
          <w:rPr>
            <w:noProof/>
          </w:rPr>
          <w:fldChar w:fldCharType="end"/>
        </w:r>
      </w:hyperlink>
    </w:p>
    <w:p w14:paraId="6C1C80B2" w14:textId="4293D584" w:rsidR="008D0810" w:rsidRDefault="008D0810">
      <w:pPr>
        <w:pStyle w:val="TOC1"/>
        <w:rPr>
          <w:rFonts w:asciiTheme="minorHAnsi" w:eastAsiaTheme="minorEastAsia" w:hAnsiTheme="minorHAnsi" w:cstheme="minorBidi"/>
          <w:noProof/>
          <w:szCs w:val="22"/>
          <w14:ligatures w14:val="standardContextual"/>
        </w:rPr>
      </w:pPr>
      <w:hyperlink w:anchor="_Toc146096087" w:history="1">
        <w:r>
          <w:rPr>
            <w:rStyle w:val="afa"/>
            <w:rFonts w:asciiTheme="minorEastAsia" w:hAnsiTheme="minorEastAsia"/>
            <w:noProof/>
          </w:rPr>
          <w:t>第十一部分  基金资产的估值</w:t>
        </w:r>
        <w:r>
          <w:rPr>
            <w:noProof/>
          </w:rPr>
          <w:tab/>
        </w:r>
        <w:r>
          <w:rPr>
            <w:noProof/>
          </w:rPr>
          <w:fldChar w:fldCharType="begin"/>
        </w:r>
        <w:r>
          <w:rPr>
            <w:noProof/>
          </w:rPr>
          <w:instrText xml:space="preserve"> PAGEREF _Toc146096087 \h </w:instrText>
        </w:r>
        <w:r>
          <w:rPr>
            <w:noProof/>
          </w:rPr>
        </w:r>
        <w:r>
          <w:rPr>
            <w:noProof/>
          </w:rPr>
          <w:fldChar w:fldCharType="separate"/>
        </w:r>
        <w:r w:rsidR="009F5200">
          <w:rPr>
            <w:noProof/>
          </w:rPr>
          <w:t>57</w:t>
        </w:r>
        <w:r>
          <w:rPr>
            <w:noProof/>
          </w:rPr>
          <w:fldChar w:fldCharType="end"/>
        </w:r>
      </w:hyperlink>
    </w:p>
    <w:p w14:paraId="1C8227D9" w14:textId="31233CA5" w:rsidR="008D0810" w:rsidRDefault="008D0810">
      <w:pPr>
        <w:pStyle w:val="TOC1"/>
        <w:rPr>
          <w:rFonts w:asciiTheme="minorHAnsi" w:eastAsiaTheme="minorEastAsia" w:hAnsiTheme="minorHAnsi" w:cstheme="minorBidi"/>
          <w:noProof/>
          <w:szCs w:val="22"/>
          <w14:ligatures w14:val="standardContextual"/>
        </w:rPr>
      </w:pPr>
      <w:hyperlink w:anchor="_Toc146096088" w:history="1">
        <w:r>
          <w:rPr>
            <w:rStyle w:val="afa"/>
            <w:rFonts w:asciiTheme="minorEastAsia" w:hAnsiTheme="minorEastAsia"/>
            <w:noProof/>
          </w:rPr>
          <w:t>第十二部分  基金的收益分配</w:t>
        </w:r>
        <w:r>
          <w:rPr>
            <w:noProof/>
          </w:rPr>
          <w:tab/>
        </w:r>
        <w:r>
          <w:rPr>
            <w:noProof/>
          </w:rPr>
          <w:fldChar w:fldCharType="begin"/>
        </w:r>
        <w:r>
          <w:rPr>
            <w:noProof/>
          </w:rPr>
          <w:instrText xml:space="preserve"> PAGEREF _Toc146096088 \h </w:instrText>
        </w:r>
        <w:r>
          <w:rPr>
            <w:noProof/>
          </w:rPr>
        </w:r>
        <w:r>
          <w:rPr>
            <w:noProof/>
          </w:rPr>
          <w:fldChar w:fldCharType="separate"/>
        </w:r>
        <w:r w:rsidR="009F5200">
          <w:rPr>
            <w:noProof/>
          </w:rPr>
          <w:t>62</w:t>
        </w:r>
        <w:r>
          <w:rPr>
            <w:noProof/>
          </w:rPr>
          <w:fldChar w:fldCharType="end"/>
        </w:r>
      </w:hyperlink>
    </w:p>
    <w:p w14:paraId="483F7AFC" w14:textId="3ED99C13" w:rsidR="008D0810" w:rsidRDefault="008D0810">
      <w:pPr>
        <w:pStyle w:val="TOC1"/>
        <w:rPr>
          <w:rFonts w:asciiTheme="minorHAnsi" w:eastAsiaTheme="minorEastAsia" w:hAnsiTheme="minorHAnsi" w:cstheme="minorBidi"/>
          <w:noProof/>
          <w:szCs w:val="22"/>
          <w14:ligatures w14:val="standardContextual"/>
        </w:rPr>
      </w:pPr>
      <w:hyperlink w:anchor="_Toc146096089" w:history="1">
        <w:r>
          <w:rPr>
            <w:rStyle w:val="afa"/>
            <w:rFonts w:asciiTheme="minorEastAsia" w:hAnsiTheme="minorEastAsia"/>
            <w:noProof/>
          </w:rPr>
          <w:t>第十三部分  基金费用与税收</w:t>
        </w:r>
        <w:r>
          <w:rPr>
            <w:noProof/>
          </w:rPr>
          <w:tab/>
        </w:r>
        <w:r>
          <w:rPr>
            <w:noProof/>
          </w:rPr>
          <w:fldChar w:fldCharType="begin"/>
        </w:r>
        <w:r>
          <w:rPr>
            <w:noProof/>
          </w:rPr>
          <w:instrText xml:space="preserve"> PAGEREF _Toc146096089 \h </w:instrText>
        </w:r>
        <w:r>
          <w:rPr>
            <w:noProof/>
          </w:rPr>
        </w:r>
        <w:r>
          <w:rPr>
            <w:noProof/>
          </w:rPr>
          <w:fldChar w:fldCharType="separate"/>
        </w:r>
        <w:r w:rsidR="009F5200">
          <w:rPr>
            <w:noProof/>
          </w:rPr>
          <w:t>64</w:t>
        </w:r>
        <w:r>
          <w:rPr>
            <w:noProof/>
          </w:rPr>
          <w:fldChar w:fldCharType="end"/>
        </w:r>
      </w:hyperlink>
    </w:p>
    <w:p w14:paraId="465DF681" w14:textId="7163116B" w:rsidR="008D0810" w:rsidRDefault="008D0810">
      <w:pPr>
        <w:pStyle w:val="TOC1"/>
        <w:rPr>
          <w:rFonts w:asciiTheme="minorHAnsi" w:eastAsiaTheme="minorEastAsia" w:hAnsiTheme="minorHAnsi" w:cstheme="minorBidi"/>
          <w:noProof/>
          <w:szCs w:val="22"/>
          <w14:ligatures w14:val="standardContextual"/>
        </w:rPr>
      </w:pPr>
      <w:hyperlink w:anchor="_Toc146096090" w:history="1">
        <w:r>
          <w:rPr>
            <w:rStyle w:val="afa"/>
            <w:rFonts w:asciiTheme="minorEastAsia" w:hAnsiTheme="minorEastAsia"/>
            <w:noProof/>
          </w:rPr>
          <w:t>第十四部分  基金的会计与审计</w:t>
        </w:r>
        <w:r>
          <w:rPr>
            <w:noProof/>
          </w:rPr>
          <w:tab/>
        </w:r>
        <w:r>
          <w:rPr>
            <w:noProof/>
          </w:rPr>
          <w:fldChar w:fldCharType="begin"/>
        </w:r>
        <w:r>
          <w:rPr>
            <w:noProof/>
          </w:rPr>
          <w:instrText xml:space="preserve"> PAGEREF _Toc146096090 \h </w:instrText>
        </w:r>
        <w:r>
          <w:rPr>
            <w:noProof/>
          </w:rPr>
        </w:r>
        <w:r>
          <w:rPr>
            <w:noProof/>
          </w:rPr>
          <w:fldChar w:fldCharType="separate"/>
        </w:r>
        <w:r w:rsidR="009F5200">
          <w:rPr>
            <w:noProof/>
          </w:rPr>
          <w:t>67</w:t>
        </w:r>
        <w:r>
          <w:rPr>
            <w:noProof/>
          </w:rPr>
          <w:fldChar w:fldCharType="end"/>
        </w:r>
      </w:hyperlink>
    </w:p>
    <w:p w14:paraId="1DC68E5A" w14:textId="0C93E4E4" w:rsidR="008D0810" w:rsidRDefault="008D0810">
      <w:pPr>
        <w:pStyle w:val="TOC1"/>
        <w:rPr>
          <w:rFonts w:asciiTheme="minorHAnsi" w:eastAsiaTheme="minorEastAsia" w:hAnsiTheme="minorHAnsi" w:cstheme="minorBidi"/>
          <w:noProof/>
          <w:szCs w:val="22"/>
          <w14:ligatures w14:val="standardContextual"/>
        </w:rPr>
      </w:pPr>
      <w:hyperlink w:anchor="_Toc146096091" w:history="1">
        <w:r>
          <w:rPr>
            <w:rStyle w:val="afa"/>
            <w:rFonts w:asciiTheme="minorEastAsia" w:hAnsiTheme="minorEastAsia"/>
            <w:noProof/>
          </w:rPr>
          <w:t>第十五部分  基金的信息披露</w:t>
        </w:r>
        <w:r>
          <w:rPr>
            <w:noProof/>
          </w:rPr>
          <w:tab/>
        </w:r>
        <w:r>
          <w:rPr>
            <w:noProof/>
          </w:rPr>
          <w:fldChar w:fldCharType="begin"/>
        </w:r>
        <w:r>
          <w:rPr>
            <w:noProof/>
          </w:rPr>
          <w:instrText xml:space="preserve"> PAGEREF _Toc146096091 \h </w:instrText>
        </w:r>
        <w:r>
          <w:rPr>
            <w:noProof/>
          </w:rPr>
        </w:r>
        <w:r>
          <w:rPr>
            <w:noProof/>
          </w:rPr>
          <w:fldChar w:fldCharType="separate"/>
        </w:r>
        <w:r w:rsidR="009F5200">
          <w:rPr>
            <w:noProof/>
          </w:rPr>
          <w:t>68</w:t>
        </w:r>
        <w:r>
          <w:rPr>
            <w:noProof/>
          </w:rPr>
          <w:fldChar w:fldCharType="end"/>
        </w:r>
      </w:hyperlink>
    </w:p>
    <w:p w14:paraId="654FE437" w14:textId="7922E91A" w:rsidR="008D0810" w:rsidRDefault="008D0810">
      <w:pPr>
        <w:pStyle w:val="TOC1"/>
        <w:rPr>
          <w:rFonts w:asciiTheme="minorHAnsi" w:eastAsiaTheme="minorEastAsia" w:hAnsiTheme="minorHAnsi" w:cstheme="minorBidi"/>
          <w:noProof/>
          <w:szCs w:val="22"/>
          <w14:ligatures w14:val="standardContextual"/>
        </w:rPr>
      </w:pPr>
      <w:hyperlink w:anchor="_Toc146096092" w:history="1">
        <w:r>
          <w:rPr>
            <w:rStyle w:val="afa"/>
            <w:rFonts w:asciiTheme="minorEastAsia" w:hAnsiTheme="minorEastAsia"/>
            <w:noProof/>
          </w:rPr>
          <w:t>第十六部分  风险揭示</w:t>
        </w:r>
        <w:r>
          <w:rPr>
            <w:noProof/>
          </w:rPr>
          <w:tab/>
        </w:r>
        <w:r>
          <w:rPr>
            <w:noProof/>
          </w:rPr>
          <w:fldChar w:fldCharType="begin"/>
        </w:r>
        <w:r>
          <w:rPr>
            <w:noProof/>
          </w:rPr>
          <w:instrText xml:space="preserve"> PAGEREF _Toc146096092 \h </w:instrText>
        </w:r>
        <w:r>
          <w:rPr>
            <w:noProof/>
          </w:rPr>
        </w:r>
        <w:r>
          <w:rPr>
            <w:noProof/>
          </w:rPr>
          <w:fldChar w:fldCharType="separate"/>
        </w:r>
        <w:r w:rsidR="009F5200">
          <w:rPr>
            <w:noProof/>
          </w:rPr>
          <w:t>75</w:t>
        </w:r>
        <w:r>
          <w:rPr>
            <w:noProof/>
          </w:rPr>
          <w:fldChar w:fldCharType="end"/>
        </w:r>
      </w:hyperlink>
    </w:p>
    <w:p w14:paraId="44F303CC" w14:textId="22ECEDAB" w:rsidR="008D0810" w:rsidRDefault="008D0810">
      <w:pPr>
        <w:pStyle w:val="TOC1"/>
        <w:rPr>
          <w:rFonts w:asciiTheme="minorHAnsi" w:eastAsiaTheme="minorEastAsia" w:hAnsiTheme="minorHAnsi" w:cstheme="minorBidi"/>
          <w:noProof/>
          <w:szCs w:val="22"/>
          <w14:ligatures w14:val="standardContextual"/>
        </w:rPr>
      </w:pPr>
      <w:hyperlink w:anchor="_Toc146096093" w:history="1">
        <w:r>
          <w:rPr>
            <w:rStyle w:val="afa"/>
            <w:rFonts w:asciiTheme="minorEastAsia" w:hAnsiTheme="minorEastAsia"/>
            <w:noProof/>
          </w:rPr>
          <w:t>第十七部分  基金合同的变更、终止与基金财产的清算</w:t>
        </w:r>
        <w:r>
          <w:rPr>
            <w:noProof/>
          </w:rPr>
          <w:tab/>
        </w:r>
        <w:r>
          <w:rPr>
            <w:noProof/>
          </w:rPr>
          <w:fldChar w:fldCharType="begin"/>
        </w:r>
        <w:r>
          <w:rPr>
            <w:noProof/>
          </w:rPr>
          <w:instrText xml:space="preserve"> PAGEREF _Toc146096093 \h </w:instrText>
        </w:r>
        <w:r>
          <w:rPr>
            <w:noProof/>
          </w:rPr>
        </w:r>
        <w:r>
          <w:rPr>
            <w:noProof/>
          </w:rPr>
          <w:fldChar w:fldCharType="separate"/>
        </w:r>
        <w:r w:rsidR="009F5200">
          <w:rPr>
            <w:noProof/>
          </w:rPr>
          <w:t>80</w:t>
        </w:r>
        <w:r>
          <w:rPr>
            <w:noProof/>
          </w:rPr>
          <w:fldChar w:fldCharType="end"/>
        </w:r>
      </w:hyperlink>
    </w:p>
    <w:p w14:paraId="39E57F94" w14:textId="04ECD397" w:rsidR="008D0810" w:rsidRDefault="008D0810">
      <w:pPr>
        <w:pStyle w:val="TOC1"/>
        <w:rPr>
          <w:rFonts w:asciiTheme="minorHAnsi" w:eastAsiaTheme="minorEastAsia" w:hAnsiTheme="minorHAnsi" w:cstheme="minorBidi"/>
          <w:noProof/>
          <w:szCs w:val="22"/>
          <w14:ligatures w14:val="standardContextual"/>
        </w:rPr>
      </w:pPr>
      <w:hyperlink w:anchor="_Toc146096094" w:history="1">
        <w:r>
          <w:rPr>
            <w:rStyle w:val="afa"/>
            <w:rFonts w:asciiTheme="minorEastAsia" w:hAnsiTheme="minorEastAsia"/>
            <w:noProof/>
          </w:rPr>
          <w:t>第十八部分  基金合同的内容摘要</w:t>
        </w:r>
        <w:r>
          <w:rPr>
            <w:noProof/>
          </w:rPr>
          <w:tab/>
        </w:r>
        <w:r>
          <w:rPr>
            <w:noProof/>
          </w:rPr>
          <w:fldChar w:fldCharType="begin"/>
        </w:r>
        <w:r>
          <w:rPr>
            <w:noProof/>
          </w:rPr>
          <w:instrText xml:space="preserve"> PAGEREF _Toc146096094 \h </w:instrText>
        </w:r>
        <w:r>
          <w:rPr>
            <w:noProof/>
          </w:rPr>
        </w:r>
        <w:r>
          <w:rPr>
            <w:noProof/>
          </w:rPr>
          <w:fldChar w:fldCharType="separate"/>
        </w:r>
        <w:r w:rsidR="009F5200">
          <w:rPr>
            <w:noProof/>
          </w:rPr>
          <w:t>82</w:t>
        </w:r>
        <w:r>
          <w:rPr>
            <w:noProof/>
          </w:rPr>
          <w:fldChar w:fldCharType="end"/>
        </w:r>
      </w:hyperlink>
    </w:p>
    <w:p w14:paraId="345C1BC5" w14:textId="34151E08" w:rsidR="008D0810" w:rsidRDefault="008D0810">
      <w:pPr>
        <w:pStyle w:val="TOC1"/>
        <w:rPr>
          <w:rFonts w:asciiTheme="minorHAnsi" w:eastAsiaTheme="minorEastAsia" w:hAnsiTheme="minorHAnsi" w:cstheme="minorBidi"/>
          <w:noProof/>
          <w:szCs w:val="22"/>
          <w14:ligatures w14:val="standardContextual"/>
        </w:rPr>
      </w:pPr>
      <w:hyperlink w:anchor="_Toc146096095" w:history="1">
        <w:r>
          <w:rPr>
            <w:rStyle w:val="afa"/>
            <w:rFonts w:asciiTheme="minorEastAsia" w:hAnsiTheme="minorEastAsia"/>
            <w:noProof/>
          </w:rPr>
          <w:t>第十九部分  基金托管协议的内容摘要</w:t>
        </w:r>
        <w:r>
          <w:rPr>
            <w:noProof/>
          </w:rPr>
          <w:tab/>
        </w:r>
        <w:r>
          <w:rPr>
            <w:noProof/>
          </w:rPr>
          <w:fldChar w:fldCharType="begin"/>
        </w:r>
        <w:r>
          <w:rPr>
            <w:noProof/>
          </w:rPr>
          <w:instrText xml:space="preserve"> PAGEREF _Toc146096095 \h </w:instrText>
        </w:r>
        <w:r>
          <w:rPr>
            <w:noProof/>
          </w:rPr>
        </w:r>
        <w:r>
          <w:rPr>
            <w:noProof/>
          </w:rPr>
          <w:fldChar w:fldCharType="separate"/>
        </w:r>
        <w:r w:rsidR="009F5200">
          <w:rPr>
            <w:noProof/>
          </w:rPr>
          <w:t>98</w:t>
        </w:r>
        <w:r>
          <w:rPr>
            <w:noProof/>
          </w:rPr>
          <w:fldChar w:fldCharType="end"/>
        </w:r>
      </w:hyperlink>
    </w:p>
    <w:p w14:paraId="4CA22796" w14:textId="2E5F03EA" w:rsidR="008D0810" w:rsidRDefault="008D0810">
      <w:pPr>
        <w:pStyle w:val="TOC1"/>
        <w:rPr>
          <w:rFonts w:asciiTheme="minorHAnsi" w:eastAsiaTheme="minorEastAsia" w:hAnsiTheme="minorHAnsi" w:cstheme="minorBidi"/>
          <w:noProof/>
          <w:szCs w:val="22"/>
          <w14:ligatures w14:val="standardContextual"/>
        </w:rPr>
      </w:pPr>
      <w:hyperlink w:anchor="_Toc146096096" w:history="1">
        <w:r>
          <w:rPr>
            <w:rStyle w:val="afa"/>
            <w:rFonts w:asciiTheme="minorEastAsia" w:hAnsiTheme="minorEastAsia"/>
            <w:noProof/>
          </w:rPr>
          <w:t>第二十部分  对基金份额持有人的服务</w:t>
        </w:r>
        <w:r>
          <w:rPr>
            <w:noProof/>
          </w:rPr>
          <w:tab/>
        </w:r>
        <w:r>
          <w:rPr>
            <w:noProof/>
          </w:rPr>
          <w:fldChar w:fldCharType="begin"/>
        </w:r>
        <w:r>
          <w:rPr>
            <w:noProof/>
          </w:rPr>
          <w:instrText xml:space="preserve"> PAGEREF _Toc146096096 \h </w:instrText>
        </w:r>
        <w:r>
          <w:rPr>
            <w:noProof/>
          </w:rPr>
        </w:r>
        <w:r>
          <w:rPr>
            <w:noProof/>
          </w:rPr>
          <w:fldChar w:fldCharType="separate"/>
        </w:r>
        <w:r w:rsidR="009F5200">
          <w:rPr>
            <w:noProof/>
          </w:rPr>
          <w:t>111</w:t>
        </w:r>
        <w:r>
          <w:rPr>
            <w:noProof/>
          </w:rPr>
          <w:fldChar w:fldCharType="end"/>
        </w:r>
      </w:hyperlink>
    </w:p>
    <w:p w14:paraId="03D5893A" w14:textId="3166B94D" w:rsidR="008D0810" w:rsidRDefault="008D0810">
      <w:pPr>
        <w:pStyle w:val="TOC1"/>
        <w:rPr>
          <w:rFonts w:asciiTheme="minorHAnsi" w:eastAsiaTheme="minorEastAsia" w:hAnsiTheme="minorHAnsi" w:cstheme="minorBidi"/>
          <w:noProof/>
          <w:szCs w:val="22"/>
          <w14:ligatures w14:val="standardContextual"/>
        </w:rPr>
      </w:pPr>
      <w:hyperlink w:anchor="_Toc146096097" w:history="1">
        <w:r>
          <w:rPr>
            <w:rStyle w:val="afa"/>
            <w:rFonts w:asciiTheme="minorEastAsia" w:hAnsiTheme="minorEastAsia"/>
            <w:noProof/>
          </w:rPr>
          <w:t>第二十一部分  其他应披露事项</w:t>
        </w:r>
        <w:r>
          <w:rPr>
            <w:noProof/>
          </w:rPr>
          <w:tab/>
        </w:r>
        <w:r>
          <w:rPr>
            <w:noProof/>
          </w:rPr>
          <w:fldChar w:fldCharType="begin"/>
        </w:r>
        <w:r>
          <w:rPr>
            <w:noProof/>
          </w:rPr>
          <w:instrText xml:space="preserve"> PAGEREF _Toc146096097 \h </w:instrText>
        </w:r>
        <w:r>
          <w:rPr>
            <w:noProof/>
          </w:rPr>
        </w:r>
        <w:r>
          <w:rPr>
            <w:noProof/>
          </w:rPr>
          <w:fldChar w:fldCharType="separate"/>
        </w:r>
        <w:r w:rsidR="009F5200">
          <w:rPr>
            <w:noProof/>
          </w:rPr>
          <w:t>113</w:t>
        </w:r>
        <w:r>
          <w:rPr>
            <w:noProof/>
          </w:rPr>
          <w:fldChar w:fldCharType="end"/>
        </w:r>
      </w:hyperlink>
    </w:p>
    <w:p w14:paraId="31FE207B" w14:textId="1DE5FEE4" w:rsidR="008D0810" w:rsidRDefault="008D0810">
      <w:pPr>
        <w:pStyle w:val="TOC1"/>
        <w:rPr>
          <w:rFonts w:asciiTheme="minorHAnsi" w:eastAsiaTheme="minorEastAsia" w:hAnsiTheme="minorHAnsi" w:cstheme="minorBidi"/>
          <w:noProof/>
          <w:szCs w:val="22"/>
          <w14:ligatures w14:val="standardContextual"/>
        </w:rPr>
      </w:pPr>
      <w:hyperlink w:anchor="_Toc146096098" w:history="1">
        <w:r>
          <w:rPr>
            <w:rStyle w:val="afa"/>
            <w:rFonts w:asciiTheme="minorEastAsia" w:hAnsiTheme="minorEastAsia"/>
            <w:noProof/>
          </w:rPr>
          <w:t>第二十二部分  招募说明书存放及查阅方式</w:t>
        </w:r>
        <w:r>
          <w:rPr>
            <w:noProof/>
          </w:rPr>
          <w:tab/>
        </w:r>
        <w:r>
          <w:rPr>
            <w:noProof/>
          </w:rPr>
          <w:fldChar w:fldCharType="begin"/>
        </w:r>
        <w:r>
          <w:rPr>
            <w:noProof/>
          </w:rPr>
          <w:instrText xml:space="preserve"> PAGEREF _Toc146096098 \h </w:instrText>
        </w:r>
        <w:r>
          <w:rPr>
            <w:noProof/>
          </w:rPr>
        </w:r>
        <w:r>
          <w:rPr>
            <w:noProof/>
          </w:rPr>
          <w:fldChar w:fldCharType="separate"/>
        </w:r>
        <w:r w:rsidR="009F5200">
          <w:rPr>
            <w:noProof/>
          </w:rPr>
          <w:t>114</w:t>
        </w:r>
        <w:r>
          <w:rPr>
            <w:noProof/>
          </w:rPr>
          <w:fldChar w:fldCharType="end"/>
        </w:r>
      </w:hyperlink>
    </w:p>
    <w:p w14:paraId="7D30E12D" w14:textId="474AC400" w:rsidR="008D0810" w:rsidRDefault="008D0810">
      <w:pPr>
        <w:pStyle w:val="TOC1"/>
        <w:rPr>
          <w:rFonts w:asciiTheme="minorHAnsi" w:eastAsiaTheme="minorEastAsia" w:hAnsiTheme="minorHAnsi" w:cstheme="minorBidi"/>
          <w:noProof/>
          <w:szCs w:val="22"/>
          <w14:ligatures w14:val="standardContextual"/>
        </w:rPr>
      </w:pPr>
      <w:hyperlink w:anchor="_Toc146096099" w:history="1">
        <w:r>
          <w:rPr>
            <w:rStyle w:val="afa"/>
            <w:rFonts w:asciiTheme="minorEastAsia" w:hAnsiTheme="minorEastAsia"/>
            <w:noProof/>
          </w:rPr>
          <w:t>第二十三部分  备查文件</w:t>
        </w:r>
        <w:r>
          <w:rPr>
            <w:noProof/>
          </w:rPr>
          <w:tab/>
        </w:r>
        <w:r>
          <w:rPr>
            <w:noProof/>
          </w:rPr>
          <w:fldChar w:fldCharType="begin"/>
        </w:r>
        <w:r>
          <w:rPr>
            <w:noProof/>
          </w:rPr>
          <w:instrText xml:space="preserve"> PAGEREF _Toc146096099 \h </w:instrText>
        </w:r>
        <w:r>
          <w:rPr>
            <w:noProof/>
          </w:rPr>
        </w:r>
        <w:r>
          <w:rPr>
            <w:noProof/>
          </w:rPr>
          <w:fldChar w:fldCharType="separate"/>
        </w:r>
        <w:r w:rsidR="009F5200">
          <w:rPr>
            <w:noProof/>
          </w:rPr>
          <w:t>115</w:t>
        </w:r>
        <w:r>
          <w:rPr>
            <w:noProof/>
          </w:rPr>
          <w:fldChar w:fldCharType="end"/>
        </w:r>
      </w:hyperlink>
    </w:p>
    <w:p w14:paraId="573B7B06" w14:textId="77777777" w:rsidR="008D0810" w:rsidRDefault="00417F9F">
      <w:pPr>
        <w:rPr>
          <w:rFonts w:asciiTheme="minorEastAsia" w:hAnsiTheme="minorEastAsia" w:hint="eastAsia"/>
        </w:rPr>
        <w:sectPr w:rsidR="008D0810">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3" w:name="_Toc416264537"/>
      <w:bookmarkStart w:id="34" w:name="_Toc263092309"/>
      <w:bookmarkStart w:id="35" w:name="_Toc19592"/>
      <w:bookmarkStart w:id="36" w:name="_Toc6617"/>
      <w:bookmarkStart w:id="37" w:name="_Toc258829399"/>
      <w:bookmarkStart w:id="38" w:name="_Toc31551"/>
      <w:bookmarkStart w:id="39" w:name="_Toc352229747"/>
      <w:bookmarkStart w:id="40" w:name="_Toc21301"/>
      <w:bookmarkStart w:id="41" w:name="_Toc3224"/>
      <w:bookmarkStart w:id="42" w:name="_Toc2465"/>
      <w:bookmarkStart w:id="43" w:name="_Toc24860"/>
      <w:bookmarkStart w:id="44" w:name="_Toc819"/>
      <w:bookmarkStart w:id="45" w:name="_Toc15067"/>
      <w:bookmarkStart w:id="46" w:name="_Toc22864"/>
      <w:bookmarkStart w:id="47" w:name="_Toc13020"/>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1FEB82CD" w14:textId="77777777" w:rsidR="008D0810" w:rsidRDefault="00417F9F">
      <w:pPr>
        <w:pStyle w:val="1"/>
        <w:jc w:val="center"/>
        <w:rPr>
          <w:rFonts w:asciiTheme="minorEastAsia" w:eastAsiaTheme="minorEastAsia" w:hAnsiTheme="minorEastAsia" w:hint="eastAsia"/>
          <w:sz w:val="30"/>
          <w:szCs w:val="30"/>
        </w:rPr>
      </w:pPr>
      <w:bookmarkStart w:id="48" w:name="_Toc146096077"/>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3"/>
      <w:bookmarkEnd w:id="34"/>
      <w:bookmarkEnd w:id="48"/>
    </w:p>
    <w:p w14:paraId="2905C259"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5CFD9BEF"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854043B"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A330E33"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3B467EF" w14:textId="77777777" w:rsidR="008D0810" w:rsidRDefault="008D0810">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8D0810">
          <w:footerReference w:type="default" r:id="rId17"/>
          <w:pgSz w:w="11906" w:h="16838"/>
          <w:pgMar w:top="1440" w:right="1800" w:bottom="1440" w:left="1800" w:header="851" w:footer="992" w:gutter="0"/>
          <w:pgNumType w:chapStyle="1"/>
          <w:cols w:space="720"/>
          <w:docGrid w:type="lines" w:linePitch="312"/>
        </w:sectPr>
      </w:pPr>
      <w:bookmarkStart w:id="49" w:name="_Toc22708"/>
      <w:bookmarkStart w:id="50" w:name="_Toc18631"/>
      <w:bookmarkStart w:id="51" w:name="_Toc24571"/>
      <w:bookmarkStart w:id="52" w:name="_Toc6149"/>
      <w:bookmarkStart w:id="53" w:name="_Toc13288"/>
      <w:bookmarkStart w:id="54" w:name="_Toc20318"/>
      <w:bookmarkStart w:id="55" w:name="_Toc5246"/>
      <w:bookmarkStart w:id="56" w:name="_Toc6683"/>
      <w:bookmarkStart w:id="57" w:name="_Toc352229748"/>
      <w:bookmarkStart w:id="58" w:name="_Toc20627"/>
      <w:bookmarkStart w:id="59" w:name="_Toc733"/>
      <w:bookmarkStart w:id="60" w:name="_Toc545"/>
      <w:bookmarkStart w:id="61" w:name="_Toc258829400"/>
      <w:bookmarkStart w:id="62" w:name="_Toc233456272"/>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2B041883" w14:textId="77777777" w:rsidR="008D0810" w:rsidRDefault="00417F9F">
      <w:pPr>
        <w:pStyle w:val="1"/>
        <w:jc w:val="center"/>
        <w:rPr>
          <w:rFonts w:asciiTheme="minorEastAsia" w:eastAsiaTheme="minorEastAsia" w:hAnsiTheme="minorEastAsia" w:hint="eastAsia"/>
          <w:sz w:val="30"/>
          <w:szCs w:val="30"/>
        </w:rPr>
      </w:pPr>
      <w:bookmarkStart w:id="63" w:name="_Toc146096078"/>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3"/>
    </w:p>
    <w:p w14:paraId="572D2784"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A51C931"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2EA05FA1"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59815CA8"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52CC8993"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0BC69F80"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5DE1B5D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37099F6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7、基金产品资料概要：指《富荣福康混合型证券投资基金基金产品资料概要》及其更新</w:t>
      </w:r>
    </w:p>
    <w:p w14:paraId="0734B891"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0C99421C"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E89DED2"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3A361666"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4806277D"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2F25B77C"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4FCD80D"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02F959EC"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32FB5521"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6EFD94C6"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141733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74B9"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EA3A716"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574DD494"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FE1069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6C673A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64F61E7"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E6B900A"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F81C784"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、登记机构：指办理登记业务的机构。本基金的登记机构为富荣基金管理有限公司或接受富荣基金管理有限公司委托代为办理登记业务的机构</w:t>
      </w:r>
    </w:p>
    <w:p w14:paraId="30D004C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753D01C"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2563942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8371E56"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7593D3B5"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432DBA5E"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4C538C7A"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C41067A"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25A24E37"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E9F49ED"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1FE400E9"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0903AF22"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D625F93"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71F97B64"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0AFFA83D"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0CE5D7D9"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68964F56"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696E7639"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DBA5CB2"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182F967" w14:textId="77777777" w:rsidR="008D0810" w:rsidRDefault="00417F9F">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18A684A4"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473B3F1A"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46F09E47"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17F4D313"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26524C1B"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3E3E773C"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D7100F3"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733E6768"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而不从本类别基金资产中计提销售服务费的基金份额类别</w:t>
      </w:r>
    </w:p>
    <w:p w14:paraId="3C11E7CF"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从本类别基金资产中计提销售服务费的基金份额类别</w:t>
      </w:r>
    </w:p>
    <w:p w14:paraId="15F6C0C0"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r>
        <w:rPr>
          <w:rFonts w:asciiTheme="minorEastAsia" w:hAnsiTheme="minorEastAsia" w:hint="eastAsia"/>
          <w:bCs/>
          <w:sz w:val="24"/>
          <w:szCs w:val="24"/>
        </w:rPr>
        <w:t>个交易日以上的逆回购与银行定期存款（含协议约定有条件提前支取的银行存款）、停牌股票、流通受限的新股及非公开发行股票、资产支持证券、因发行人债务违约无法进行转让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364D4358"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4D1D4648" w14:textId="77777777" w:rsidR="008D0810" w:rsidRDefault="00417F9F">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771E24A6"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A70F51B" w14:textId="77777777" w:rsidR="008D0810" w:rsidRDefault="00417F9F">
      <w:pPr>
        <w:widowControl/>
        <w:jc w:val="left"/>
        <w:rPr>
          <w:rFonts w:asciiTheme="minorEastAsia" w:hAnsiTheme="minorEastAsia" w:hint="eastAsia"/>
          <w:bCs/>
          <w:sz w:val="24"/>
          <w:szCs w:val="24"/>
        </w:rPr>
      </w:pPr>
      <w:r>
        <w:rPr>
          <w:rFonts w:asciiTheme="minorEastAsia" w:hAnsiTheme="minorEastAsia"/>
          <w:bCs/>
          <w:sz w:val="24"/>
          <w:szCs w:val="24"/>
        </w:rPr>
        <w:br w:type="page"/>
      </w:r>
    </w:p>
    <w:p w14:paraId="3A77EFF0" w14:textId="77777777" w:rsidR="008D0810" w:rsidRDefault="00417F9F">
      <w:pPr>
        <w:pStyle w:val="1"/>
        <w:jc w:val="center"/>
        <w:rPr>
          <w:rFonts w:asciiTheme="minorEastAsia" w:eastAsiaTheme="minorEastAsia" w:hAnsiTheme="minorEastAsia" w:hint="eastAsia"/>
          <w:sz w:val="30"/>
          <w:szCs w:val="30"/>
        </w:rPr>
      </w:pPr>
      <w:bookmarkStart w:id="64" w:name="_Toc146096079"/>
      <w:bookmarkStart w:id="65" w:name="_Toc263092311"/>
      <w:bookmarkStart w:id="66" w:name="_Toc416264539"/>
      <w:bookmarkStart w:id="67" w:name="_Toc410197817"/>
      <w:bookmarkStart w:id="68" w:name="_Toc352229749"/>
      <w:bookmarkStart w:id="69" w:name="_Toc24682"/>
      <w:bookmarkStart w:id="70" w:name="_Toc27226"/>
      <w:bookmarkStart w:id="71" w:name="_Toc7151"/>
      <w:bookmarkStart w:id="72" w:name="_Toc90742390"/>
      <w:bookmarkStart w:id="73" w:name="_Toc29784"/>
      <w:bookmarkStart w:id="74" w:name="_Toc15203"/>
      <w:bookmarkStart w:id="75" w:name="_Toc90742321"/>
      <w:bookmarkStart w:id="76" w:name="_Toc6714"/>
      <w:bookmarkStart w:id="77" w:name="_Toc29948"/>
      <w:bookmarkStart w:id="78" w:name="_Toc3266"/>
      <w:bookmarkStart w:id="79" w:name="_Toc16265"/>
      <w:bookmarkStart w:id="80" w:name="_Toc27189"/>
      <w:bookmarkStart w:id="81" w:name="_Toc22074"/>
      <w:bookmarkStart w:id="82" w:name="_Toc90742688"/>
      <w:bookmarkEnd w:id="49"/>
      <w:bookmarkEnd w:id="50"/>
      <w:bookmarkEnd w:id="51"/>
      <w:bookmarkEnd w:id="52"/>
      <w:bookmarkEnd w:id="53"/>
      <w:bookmarkEnd w:id="54"/>
      <w:bookmarkEnd w:id="55"/>
      <w:bookmarkEnd w:id="56"/>
      <w:bookmarkEnd w:id="57"/>
      <w:bookmarkEnd w:id="58"/>
      <w:bookmarkEnd w:id="59"/>
      <w:bookmarkEnd w:id="60"/>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4"/>
      <w:bookmarkEnd w:id="65"/>
      <w:bookmarkEnd w:id="66"/>
    </w:p>
    <w:p w14:paraId="263CAFF1" w14:textId="77777777" w:rsidR="008D0810" w:rsidRDefault="00417F9F">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01367DA8"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227F45FD"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住所：广东省广州市南沙区横沥镇汇通二街2号3110房</w:t>
      </w:r>
    </w:p>
    <w:p w14:paraId="07ACB7FB"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81AD897"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08F3BDC3"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09C393B5"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F0648E1" w14:textId="77777777"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1F26B1D3" w14:textId="56058373"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E07A0D">
        <w:rPr>
          <w:rFonts w:asciiTheme="minorEastAsia" w:hAnsiTheme="minorEastAsia" w:cs="Times New Roman" w:hint="eastAsia"/>
          <w:kern w:val="0"/>
          <w:sz w:val="24"/>
          <w:szCs w:val="24"/>
        </w:rPr>
        <w:t>郭鑫</w:t>
      </w:r>
    </w:p>
    <w:p w14:paraId="2A80B1D3" w14:textId="006B084C" w:rsidR="008D0810" w:rsidRDefault="00417F9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E07A0D">
        <w:rPr>
          <w:rFonts w:asciiTheme="minorEastAsia" w:hAnsiTheme="minorEastAsia" w:cs="Times New Roman" w:hint="eastAsia"/>
          <w:kern w:val="0"/>
          <w:sz w:val="24"/>
          <w:szCs w:val="24"/>
        </w:rPr>
        <w:t>0755-843</w:t>
      </w:r>
      <w:r w:rsidR="00CA4E43">
        <w:rPr>
          <w:rFonts w:asciiTheme="minorEastAsia" w:hAnsiTheme="minorEastAsia" w:cs="Times New Roman" w:hint="eastAsia"/>
          <w:kern w:val="0"/>
          <w:sz w:val="24"/>
          <w:szCs w:val="24"/>
        </w:rPr>
        <w:t>5</w:t>
      </w:r>
      <w:r w:rsidR="00E07A0D">
        <w:rPr>
          <w:rFonts w:asciiTheme="minorEastAsia" w:hAnsiTheme="minorEastAsia" w:cs="Times New Roman" w:hint="eastAsia"/>
          <w:kern w:val="0"/>
          <w:sz w:val="24"/>
          <w:szCs w:val="24"/>
        </w:rPr>
        <w:t>6796</w:t>
      </w:r>
    </w:p>
    <w:p w14:paraId="2632B665"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8D0810" w14:paraId="15BE663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28C0E82" w14:textId="77777777" w:rsidR="008D0810" w:rsidRDefault="00417F9F">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521549D6" w14:textId="77777777" w:rsidR="008D0810" w:rsidRDefault="00417F9F">
            <w:pPr>
              <w:spacing w:line="360" w:lineRule="auto"/>
              <w:jc w:val="left"/>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8D0810" w14:paraId="502D39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463CEAE" w14:textId="77777777" w:rsidR="008D0810" w:rsidRDefault="00417F9F">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3FCB15E" w14:textId="77777777" w:rsidR="008D0810" w:rsidRDefault="00417F9F">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8D0810" w14:paraId="58033C3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13ACE2" w14:textId="77777777" w:rsidR="008D0810" w:rsidRDefault="00417F9F">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7DC4300" w14:textId="77777777" w:rsidR="008D0810" w:rsidRDefault="00417F9F">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8D0810" w14:paraId="4530308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F2A6633" w14:textId="77777777" w:rsidR="008D0810" w:rsidRDefault="00417F9F">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89F5FEF" w14:textId="77777777" w:rsidR="008D0810" w:rsidRDefault="00417F9F">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64C1DF83" w14:textId="77777777" w:rsidR="008D0810" w:rsidRDefault="008D0810">
      <w:pPr>
        <w:adjustRightInd w:val="0"/>
        <w:snapToGrid w:val="0"/>
        <w:spacing w:line="360" w:lineRule="auto"/>
        <w:ind w:firstLineChars="200" w:firstLine="480"/>
        <w:rPr>
          <w:rFonts w:asciiTheme="minorEastAsia" w:hAnsiTheme="minorEastAsia" w:cs="Arial" w:hint="eastAsia"/>
          <w:kern w:val="0"/>
          <w:sz w:val="24"/>
          <w:szCs w:val="24"/>
        </w:rPr>
      </w:pPr>
    </w:p>
    <w:p w14:paraId="7CA8A131" w14:textId="77777777" w:rsidR="008D0810" w:rsidRDefault="00417F9F">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6C3CD7A0"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7528F4A8" w14:textId="74F954AD" w:rsidR="008D0810" w:rsidRDefault="00417F9F">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6B6E2A">
        <w:rPr>
          <w:rFonts w:asciiTheme="minorEastAsia" w:hAnsiTheme="minorEastAsia" w:cs="Arial" w:hint="eastAsia"/>
          <w:kern w:val="0"/>
          <w:sz w:val="24"/>
        </w:rPr>
        <w:t>，中国文化产业投资母基金管理有限公司董事，广州城恒城市更新投资有限公司董事长、法定代表人，广州城恒城市更新投资有限公司董事长、法定代表人。现任广州产业投资基金管理有限公司党委书记、法定代表人、董事长，广州市城投投资有限公司董事，</w:t>
      </w:r>
      <w:r w:rsidR="004C1A15">
        <w:rPr>
          <w:rFonts w:asciiTheme="minorEastAsia" w:hAnsiTheme="minorEastAsia" w:cs="Arial" w:hint="eastAsia"/>
          <w:kern w:val="0"/>
          <w:sz w:val="24"/>
        </w:rPr>
        <w:t>广州汽车集团股份有限公司董事，</w:t>
      </w:r>
      <w:r w:rsidR="006B6E2A">
        <w:rPr>
          <w:rFonts w:asciiTheme="minorEastAsia" w:hAnsiTheme="minorEastAsia" w:cs="Arial" w:hint="eastAsia"/>
          <w:kern w:val="0"/>
          <w:sz w:val="24"/>
        </w:rPr>
        <w:t>富荣基金管理有限公司董事长、法定代表人。</w:t>
      </w:r>
    </w:p>
    <w:p w14:paraId="3F3EC1A6" w14:textId="1C326BCF"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w:t>
      </w:r>
      <w:r>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w:t>
      </w:r>
    </w:p>
    <w:p w14:paraId="6597D771" w14:textId="555E9A85"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广州产业投资基金管理有限公司风险管理部总经理、法务风控部总经理，</w:t>
      </w:r>
      <w:r>
        <w:rPr>
          <w:rFonts w:asciiTheme="minorEastAsia" w:hAnsiTheme="minorEastAsia" w:cs="Arial" w:hint="eastAsia"/>
          <w:kern w:val="0"/>
          <w:sz w:val="24"/>
          <w:szCs w:val="24"/>
        </w:rPr>
        <w:t>广州基金国际股权投资基金管理有限公司党支部副书记、总经理</w:t>
      </w:r>
      <w:r w:rsidR="006B6E2A">
        <w:rPr>
          <w:rFonts w:asciiTheme="minorEastAsia" w:hAnsiTheme="minorEastAsia" w:cs="Arial" w:hint="eastAsia"/>
          <w:kern w:val="0"/>
          <w:sz w:val="24"/>
          <w:szCs w:val="24"/>
        </w:rPr>
        <w:t>，广州产业投资基金管理有限公司管理部总经理。现任穗甬控股有限公司常务副总经理，富荣基金管理有限公司董事。</w:t>
      </w:r>
    </w:p>
    <w:p w14:paraId="0D30F799" w14:textId="1C9B148E" w:rsidR="008D0810" w:rsidRDefault="006B6E2A">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上海交通大学高级管理人员工商管理专业硕士。曾任津沪深生物医药科技有限公司董事。现任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富荣基金管理有限公司董事。</w:t>
      </w:r>
    </w:p>
    <w:p w14:paraId="2A97717D"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w:t>
      </w:r>
      <w:r>
        <w:rPr>
          <w:rFonts w:asciiTheme="minorEastAsia" w:hAnsiTheme="minorEastAsia" w:cs="Arial" w:hint="eastAsia"/>
          <w:kern w:val="0"/>
          <w:sz w:val="24"/>
        </w:rPr>
        <w:lastRenderedPageBreak/>
        <w:t>集团董事、邦信资产管理公司董事总经理、对外贸易集团股份有限公司董事长、中国东方资产管理公司广东省分公司总经理、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东银实业（深圳）有限公司董事、金田实业（集团）股份有限公司独立董事、申科滑动轴承股份有限公司独立董事。现任富荣基金管理有限公司独立董事。</w:t>
      </w:r>
    </w:p>
    <w:p w14:paraId="0EE99823" w14:textId="047041B0" w:rsidR="008D0810" w:rsidRDefault="006B6E2A">
      <w:pPr>
        <w:spacing w:line="360" w:lineRule="auto"/>
        <w:ind w:firstLineChars="200" w:firstLine="480"/>
        <w:rPr>
          <w:rFonts w:asciiTheme="minorEastAsia" w:hAnsiTheme="minorEastAsia" w:cs="Arial" w:hint="eastAsia"/>
          <w:kern w:val="0"/>
          <w:sz w:val="24"/>
          <w:szCs w:val="24"/>
        </w:rPr>
      </w:pPr>
      <w:bookmarkStart w:id="83"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青石资本管理有限公司法定代表人、执行董事、总经理。现任深圳冠领融科服务有限公司董事，天津银行监事、深圳和石资本管理有限责任公司法定代表人、董事、经理，深圳泰和瑞银金融配套服务合伙企业（有限合伙）执行事务合伙人、北京雍和瑞泰管理顾问有限公司法定代表人、执行董事、经理、财务负责人，深圳雍和瑞银投资管理有限公司法定代表人、董事、经理，富荣基金管理有限公司独立董事。</w:t>
      </w:r>
      <w:bookmarkEnd w:id="83"/>
    </w:p>
    <w:p w14:paraId="327E3462"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2EAC59E3"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25011B7B"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687F222"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1860E1E3"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sz w:val="24"/>
          <w:szCs w:val="24"/>
        </w:rPr>
        <w:t>魏丽红女士，职工监事，大专。现任富荣基金管理有限公司职工监事。</w:t>
      </w:r>
    </w:p>
    <w:p w14:paraId="57C68BA5" w14:textId="77777777" w:rsidR="008D0810" w:rsidRDefault="00417F9F">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76E80C09" w14:textId="21155A9D"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w:t>
      </w:r>
      <w:r w:rsidR="00C0539C">
        <w:rPr>
          <w:rFonts w:asciiTheme="minorEastAsia" w:hAnsiTheme="minorEastAsia" w:cs="Arial" w:hint="eastAsia"/>
          <w:kern w:val="0"/>
          <w:sz w:val="24"/>
          <w:szCs w:val="24"/>
        </w:rPr>
        <w:t>兼任</w:t>
      </w:r>
      <w:r>
        <w:rPr>
          <w:rFonts w:asciiTheme="minorEastAsia" w:hAnsiTheme="minorEastAsia" w:cs="Arial" w:hint="eastAsia"/>
          <w:kern w:val="0"/>
          <w:sz w:val="24"/>
          <w:szCs w:val="24"/>
        </w:rPr>
        <w:t>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Pr>
          <w:rFonts w:asciiTheme="minorEastAsia" w:hAnsiTheme="minorEastAsia" w:cs="Arial" w:hint="eastAsia"/>
          <w:kern w:val="0"/>
          <w:sz w:val="24"/>
          <w:szCs w:val="24"/>
        </w:rPr>
        <w:lastRenderedPageBreak/>
        <w:t>富荣基金管理有限公司董事长。现任富荣基金管理有限公司董事、总经理、首席信息官。</w:t>
      </w:r>
    </w:p>
    <w:p w14:paraId="10AF55FA" w14:textId="1960A87C" w:rsidR="006B6E2A" w:rsidRDefault="00417F9F" w:rsidP="006B6E2A">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Pr>
          <w:rFonts w:asciiTheme="minorEastAsia" w:hAnsiTheme="minorEastAsia" w:cs="Arial" w:hint="eastAsia"/>
          <w:kern w:val="0"/>
          <w:sz w:val="24"/>
          <w:szCs w:val="24"/>
        </w:rPr>
        <w:t>中欧国际工商学院高级管理人员工商管理</w:t>
      </w:r>
      <w:r>
        <w:rPr>
          <w:rFonts w:asciiTheme="minorEastAsia" w:hAnsiTheme="minorEastAsia" w:cs="Arial" w:hint="eastAsia"/>
          <w:kern w:val="0"/>
          <w:sz w:val="24"/>
        </w:rPr>
        <w:t>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r w:rsidR="006B6E2A">
        <w:rPr>
          <w:rFonts w:asciiTheme="minorEastAsia" w:hAnsiTheme="minorEastAsia" w:cs="Arial" w:hint="eastAsia"/>
          <w:kern w:val="0"/>
          <w:sz w:val="24"/>
        </w:rPr>
        <w:t>，兼任深圳分公司总经理。</w:t>
      </w:r>
    </w:p>
    <w:p w14:paraId="17670FC4" w14:textId="4B41EE02" w:rsidR="006B6E2A" w:rsidRDefault="006B6E2A" w:rsidP="006B6E2A">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规部总经理。现任富荣基金管理有限公司督察长。</w:t>
      </w:r>
    </w:p>
    <w:p w14:paraId="2E5FB9BF" w14:textId="77777777" w:rsidR="008D0810" w:rsidRDefault="00417F9F">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郑宇光先生，总经理助理，上海交通大学工商管理硕士。历任平安资产管理有限责任公司交易部</w:t>
      </w:r>
      <w:r>
        <w:rPr>
          <w:rFonts w:asciiTheme="minorEastAsia" w:hAnsiTheme="minorEastAsia" w:cs="Arial"/>
          <w:kern w:val="0"/>
          <w:sz w:val="24"/>
        </w:rPr>
        <w:t>/</w:t>
      </w:r>
      <w:r>
        <w:rPr>
          <w:rFonts w:asciiTheme="minorEastAsia" w:hAnsiTheme="minorEastAsia" w:cs="Arial" w:hint="eastAsia"/>
          <w:kern w:val="0"/>
          <w:sz w:val="24"/>
        </w:rPr>
        <w:t>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2965A742" w14:textId="3A713C8B" w:rsidR="008D0810" w:rsidRDefault="00417F9F">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兼任北京分公司总经理。</w:t>
      </w:r>
    </w:p>
    <w:p w14:paraId="3BCE64C5" w14:textId="77777777" w:rsidR="008D0810" w:rsidRDefault="00417F9F" w:rsidP="00F276A7">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r>
        <w:rPr>
          <w:rFonts w:asciiTheme="minorEastAsia" w:hAnsiTheme="minorEastAsia" w:cs="Arial" w:hint="eastAsia"/>
          <w:kern w:val="0"/>
          <w:sz w:val="24"/>
          <w:szCs w:val="24"/>
        </w:rPr>
        <w:t>基金基金经理</w:t>
      </w:r>
    </w:p>
    <w:p w14:paraId="77FCB294" w14:textId="252C763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sidDel="00417F9F">
        <w:rPr>
          <w:rFonts w:asciiTheme="minorEastAsia" w:hAnsiTheme="minorEastAsia" w:cs="Arial" w:hint="eastAsia"/>
          <w:kern w:val="0"/>
          <w:sz w:val="24"/>
          <w:szCs w:val="24"/>
        </w:rPr>
        <w:t xml:space="preserve"> </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月加入富荣基金。曾任富荣基金研究部研究员，现任富荣福鑫灵活配置混合型证券投资基金基金经理（自2024</w:t>
      </w:r>
      <w:r>
        <w:rPr>
          <w:rFonts w:asciiTheme="minorEastAsia" w:hAnsiTheme="minorEastAsia" w:cs="Arial" w:hint="eastAsia"/>
          <w:kern w:val="0"/>
          <w:sz w:val="24"/>
          <w:szCs w:val="24"/>
        </w:rPr>
        <w:lastRenderedPageBreak/>
        <w:t>年6月21日起任职）、富荣福银混合型证券投资基金基金经理（自2025年2月13日起任职）、富荣福康混合型证券投资基金基金经理（自2025年2月13日起任职）。</w:t>
      </w:r>
    </w:p>
    <w:p w14:paraId="345BCFE0"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历任基金经理：胡长虹（自2018年2月11日至2018年11月26日）、邓宇翔（自2018年11月6日至2020年10月15日）、郎骋成（自2020年10月15日至2023年3月8日）、李天翔（自2023年3月8日至2025年2月19日）。</w:t>
      </w:r>
    </w:p>
    <w:p w14:paraId="4142A4CF"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5、投资决策委员会成员的姓名、职务</w:t>
      </w:r>
    </w:p>
    <w:p w14:paraId="34B96A46" w14:textId="1F1B586A"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482EC770" w14:textId="771B9420" w:rsidR="008D0810" w:rsidRDefault="006B6E2A">
      <w:pPr>
        <w:spacing w:line="360" w:lineRule="auto"/>
        <w:ind w:firstLineChars="200" w:firstLine="480"/>
        <w:rPr>
          <w:rFonts w:asciiTheme="minorEastAsia" w:hAnsiTheme="minorEastAsia" w:hint="eastAsia"/>
          <w:sz w:val="24"/>
        </w:rPr>
      </w:pPr>
      <w:r>
        <w:rPr>
          <w:rFonts w:asciiTheme="minorEastAsia" w:hAnsiTheme="minorEastAsia" w:hint="eastAsia"/>
          <w:sz w:val="24"/>
        </w:rPr>
        <w:t>郑宇光先生，投资决策委员会委员、公司总经理助理。</w:t>
      </w:r>
    </w:p>
    <w:p w14:paraId="45A5DC85" w14:textId="77777777" w:rsidR="008D0810" w:rsidRDefault="00417F9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740A4C01" w14:textId="77777777" w:rsidR="006B6E2A" w:rsidRDefault="006B6E2A" w:rsidP="006B6E2A">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吴敏先生，投资决策委员会委员、固定收益部总经理、基金经理。</w:t>
      </w:r>
    </w:p>
    <w:p w14:paraId="01963937" w14:textId="7A734F84" w:rsidR="008D0810" w:rsidRDefault="006B6E2A">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孟亚强先生，投资决策委员会委员、权益投资部副总经理、基金经理。</w:t>
      </w:r>
    </w:p>
    <w:p w14:paraId="7B1D9226" w14:textId="77777777" w:rsidR="008D0810" w:rsidRDefault="00417F9F">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387CAB3A" w14:textId="77777777" w:rsidR="008D0810" w:rsidRDefault="00417F9F">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6、上述人员之间不存在近亲属关系。</w:t>
      </w:r>
    </w:p>
    <w:p w14:paraId="21C192FC" w14:textId="77777777" w:rsidR="008D0810" w:rsidRDefault="00417F9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三、基金管理人的职责</w:t>
      </w:r>
    </w:p>
    <w:p w14:paraId="1A3088E5" w14:textId="77777777" w:rsidR="008D0810" w:rsidRDefault="00417F9F">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3006745" w14:textId="77777777" w:rsidR="008D0810" w:rsidRDefault="00417F9F">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2、办理基金备案手续；</w:t>
      </w:r>
    </w:p>
    <w:p w14:paraId="5186B71B" w14:textId="77777777" w:rsidR="008D0810" w:rsidRDefault="00417F9F">
      <w:pPr>
        <w:autoSpaceDE w:val="0"/>
        <w:autoSpaceDN w:val="0"/>
        <w:adjustRightInd w:val="0"/>
        <w:ind w:firstLineChars="200" w:firstLine="480"/>
        <w:rPr>
          <w:rFonts w:asciiTheme="minorEastAsia" w:hAnsiTheme="minorEastAsia" w:hint="eastAsia"/>
          <w:sz w:val="24"/>
          <w:szCs w:val="24"/>
        </w:rPr>
      </w:pPr>
      <w:r>
        <w:rPr>
          <w:rFonts w:asciiTheme="minorEastAsia" w:hAnsiTheme="minorEastAsia"/>
          <w:sz w:val="24"/>
          <w:szCs w:val="24"/>
        </w:rPr>
        <w:t>3、自《基金合同》生效之日起，以诚实信用、谨慎勤勉的原则管理和运用基金财产；</w:t>
      </w:r>
    </w:p>
    <w:p w14:paraId="382B5602" w14:textId="77777777" w:rsidR="008D0810" w:rsidRDefault="00417F9F">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718F6457"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250940BD"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F05521F"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3A2C69B2"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54DFA402"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22A3D278"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01CE1519"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5A0C08D7"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1ABC191F"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3D1C6BCA"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066000B3"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2C077E1D"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367DE305"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7B1168"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0A578D6A"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BD8CBAF"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270AF0E9"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69C8E98B"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22、当基金管理人将其义务委托第三方处理时，应当对第三方处理有关基金事务的行为承担责任；</w:t>
      </w:r>
    </w:p>
    <w:p w14:paraId="5BB45D99"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3177AA33"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56C9246B"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7D86F80E"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3DE73376"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69AE11CD" w14:textId="77777777" w:rsidR="008D0810" w:rsidRDefault="00417F9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55EDE0CE"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1D617EE"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2D60B7D0"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27882CC"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143EBCF4"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45E3A565"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494CFBD7"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29665361"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59975C5"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7B47F5FB"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12B4A236"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36BFA731"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717DD7C4"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 xml:space="preserve">5、基金管理人承诺不从事其他法规规定禁止从事的行为。 </w:t>
      </w:r>
    </w:p>
    <w:p w14:paraId="03CB79A9" w14:textId="77777777" w:rsidR="008D0810" w:rsidRDefault="00417F9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3006FAD3"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16D12D7F"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71CB277E"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19B6FC1F" w14:textId="77777777" w:rsidR="008D0810" w:rsidRDefault="00417F9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1BF2E1BE" w14:textId="77777777" w:rsidR="008D0810" w:rsidRDefault="00417F9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FCAFD81"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4" w:name="_Toc416264540"/>
      <w:bookmarkStart w:id="85" w:name="_Toc410197818"/>
      <w:bookmarkStart w:id="86" w:name="_Toc263092312"/>
      <w:bookmarkStart w:id="87" w:name="_Toc352229750"/>
      <w:bookmarkEnd w:id="67"/>
      <w:bookmarkEnd w:id="68"/>
      <w:bookmarkEnd w:id="69"/>
      <w:r>
        <w:rPr>
          <w:rFonts w:asciiTheme="minorEastAsia" w:hAnsiTheme="minorEastAsia" w:cs="Arial"/>
          <w:sz w:val="24"/>
          <w:szCs w:val="24"/>
        </w:rPr>
        <w:t>1、风险控制目标</w:t>
      </w:r>
    </w:p>
    <w:p w14:paraId="396C22A4"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0479D32F"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0A7713D"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42B00FB8"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7757E885"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2803EFD"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0CFD2F61"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680F49F2"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2D94B21B"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3C818143"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F48BDCE"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lastRenderedPageBreak/>
        <w:t xml:space="preserve"> （5）适时性原则：内部风险控制应随着公司经营战略、经营方针、经营理念等内部环境的变化和国家法律、法规、政策制度等外部环境的改变及时进行相应的修改和完善；</w:t>
      </w:r>
    </w:p>
    <w:p w14:paraId="34A67934"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718492E9"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604D861"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2EDABBA"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72E1B1AB"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5769E8AE"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51039D9"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A87FD1F"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E064615"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11BB79D6" w14:textId="77777777" w:rsidR="008D0810" w:rsidRDefault="00417F9F">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03DB0ED"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w:t>
      </w:r>
      <w:r>
        <w:rPr>
          <w:rFonts w:asciiTheme="minorEastAsia" w:hAnsiTheme="minorEastAsia" w:cs="Arial" w:hint="eastAsia"/>
          <w:sz w:val="24"/>
          <w:szCs w:val="24"/>
        </w:rPr>
        <w:lastRenderedPageBreak/>
        <w:t>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9B9580D"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73D067"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740EC58C"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75BD8CA8"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3CA1287"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A358481"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7229434B"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34078CF5"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20B75E75"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35AF84F9"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w:t>
      </w:r>
      <w:r>
        <w:rPr>
          <w:rFonts w:asciiTheme="minorEastAsia" w:hAnsiTheme="minorEastAsia" w:cs="Arial" w:hint="eastAsia"/>
          <w:sz w:val="24"/>
          <w:szCs w:val="24"/>
        </w:rPr>
        <w:lastRenderedPageBreak/>
        <w:t>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98D0F76"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2396F4E4"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13D8C31"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61382AEF"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2D40BD5"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BD6D1A1"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5B34F2DD"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955FF46"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132EE4FE"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09139F78"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w:t>
      </w:r>
      <w:r>
        <w:rPr>
          <w:rFonts w:asciiTheme="minorEastAsia" w:hAnsiTheme="minorEastAsia" w:cs="Arial"/>
          <w:sz w:val="24"/>
          <w:szCs w:val="24"/>
        </w:rPr>
        <w:lastRenderedPageBreak/>
        <w:t>基金经理、投资经理分开，研究、决策分开，基金交易集中，形成不同部门、不同岗位之间的制衡机制，从制度上减少和防范风险。</w:t>
      </w:r>
    </w:p>
    <w:p w14:paraId="50D9851A"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3D40D5D"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911773C"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6E181974"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D955D1F" w14:textId="77777777" w:rsidR="008D0810" w:rsidRDefault="00417F9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562229FB" w14:textId="77777777" w:rsidR="008D0810" w:rsidRDefault="00417F9F">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88" w:name="_Toc238027832"/>
      <w:bookmarkStart w:id="89" w:name="_Toc238013745"/>
      <w:bookmarkEnd w:id="88"/>
      <w:bookmarkEnd w:id="89"/>
    </w:p>
    <w:p w14:paraId="77B1531A" w14:textId="77777777" w:rsidR="008D0810" w:rsidRDefault="008D0810">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hint="eastAsia"/>
          <w:b/>
          <w:bCs/>
          <w:kern w:val="0"/>
          <w:sz w:val="28"/>
          <w:szCs w:val="28"/>
        </w:rPr>
        <w:sectPr w:rsidR="008D0810">
          <w:footerReference w:type="default" r:id="rId18"/>
          <w:pgSz w:w="11906" w:h="16838"/>
          <w:pgMar w:top="1440" w:right="1800" w:bottom="1440" w:left="1800" w:header="851" w:footer="992" w:gutter="0"/>
          <w:pgNumType w:chapStyle="1"/>
          <w:cols w:space="720"/>
          <w:docGrid w:type="lines" w:linePitch="312"/>
        </w:sectPr>
      </w:pPr>
    </w:p>
    <w:p w14:paraId="68CE133D" w14:textId="77777777" w:rsidR="008D0810" w:rsidRDefault="00417F9F">
      <w:pPr>
        <w:pStyle w:val="1"/>
        <w:jc w:val="center"/>
        <w:rPr>
          <w:rFonts w:asciiTheme="minorEastAsia" w:eastAsiaTheme="minorEastAsia" w:hAnsiTheme="minorEastAsia" w:hint="eastAsia"/>
          <w:sz w:val="30"/>
          <w:szCs w:val="30"/>
        </w:rPr>
      </w:pPr>
      <w:bookmarkStart w:id="90" w:name="_Toc146096080"/>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0"/>
    </w:p>
    <w:p w14:paraId="44C502AC" w14:textId="77777777" w:rsidR="008D0810" w:rsidRDefault="00417F9F">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一、基本情况</w:t>
      </w:r>
    </w:p>
    <w:p w14:paraId="55044F75"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名称：中国光大银行股份有限公司</w:t>
      </w:r>
    </w:p>
    <w:p w14:paraId="21692694"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住所及办公地址：北京市西城区太平桥大街25 号、甲25 号中国光大中心</w:t>
      </w:r>
    </w:p>
    <w:p w14:paraId="59F9C4E5"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成立日期：1992年6月18日</w:t>
      </w:r>
    </w:p>
    <w:p w14:paraId="5E0369D2"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批准设立机关和批准设立文号：国务院、国函[1992]7号</w:t>
      </w:r>
    </w:p>
    <w:p w14:paraId="43FF74F5"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组织形式：股份有限公司</w:t>
      </w:r>
    </w:p>
    <w:p w14:paraId="3A36A269"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注册资本：590.85551亿元人民币</w:t>
      </w:r>
    </w:p>
    <w:p w14:paraId="5D0173F4"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法定代表人：吴利军</w:t>
      </w:r>
    </w:p>
    <w:p w14:paraId="1BCA415E"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基金托管业务批准文号：中国证监会证监基字【2002】75号</w:t>
      </w:r>
    </w:p>
    <w:p w14:paraId="393A71F0"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资产托管部总经理：贾光华</w:t>
      </w:r>
    </w:p>
    <w:p w14:paraId="1231E646"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电话：（010） 63636363</w:t>
      </w:r>
    </w:p>
    <w:p w14:paraId="1F5BB5FE"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传真：（010） 63639132</w:t>
      </w:r>
    </w:p>
    <w:p w14:paraId="1C618B58"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网址：www.cebbank.com</w:t>
      </w:r>
    </w:p>
    <w:p w14:paraId="652B800A" w14:textId="77777777" w:rsidR="008D0810" w:rsidRDefault="00417F9F">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50DBEE00"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董事长吴利军先生，自2020年3月起任本行副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20466532"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学位，高级工程师。</w:t>
      </w:r>
    </w:p>
    <w:p w14:paraId="47A4F7EB" w14:textId="77777777" w:rsidR="008D0810" w:rsidRDefault="00417F9F">
      <w:pPr>
        <w:spacing w:line="360" w:lineRule="auto"/>
        <w:ind w:firstLineChars="200" w:firstLine="480"/>
        <w:rPr>
          <w:rFonts w:ascii="宋体" w:hAnsi="宋体" w:cs="宋体" w:hint="eastAsia"/>
          <w:sz w:val="24"/>
          <w:szCs w:val="24"/>
        </w:rPr>
      </w:pPr>
      <w:r>
        <w:rPr>
          <w:rFonts w:ascii="宋体" w:hAnsi="宋体" w:cs="宋体" w:hint="eastAsia"/>
          <w:sz w:val="24"/>
          <w:szCs w:val="24"/>
        </w:rPr>
        <w:t>资产托管部总经理贾光华先生，1994年7月在光大银行总行营业部参加工作，2005年10月调入同业机构部（后更名为金融同业部）后，先后任处长、总</w:t>
      </w:r>
      <w:r>
        <w:rPr>
          <w:rFonts w:ascii="宋体" w:hAnsi="宋体" w:cs="宋体" w:hint="eastAsia"/>
          <w:sz w:val="24"/>
          <w:szCs w:val="24"/>
        </w:rPr>
        <w:lastRenderedPageBreak/>
        <w:t>经理助理、副总经理、副总经理（主持工作），2018年5月任金融同业部总经理，2025年1月任资产托管部总经理。</w:t>
      </w:r>
    </w:p>
    <w:p w14:paraId="1EC7DA86" w14:textId="77777777" w:rsidR="008D0810" w:rsidRDefault="00417F9F">
      <w:pPr>
        <w:spacing w:line="360" w:lineRule="auto"/>
        <w:ind w:firstLine="420"/>
        <w:rPr>
          <w:rFonts w:asciiTheme="minorEastAsia" w:hAnsiTheme="minorEastAsia" w:cs="宋体" w:hint="eastAsia"/>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74170C96" w14:textId="42D0C980" w:rsidR="008D0810" w:rsidRDefault="00F93644">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截至</w:t>
      </w:r>
      <w:r>
        <w:rPr>
          <w:rFonts w:ascii="宋体" w:hAnsi="宋体" w:cs="宋体" w:hint="eastAsia"/>
          <w:sz w:val="24"/>
          <w:szCs w:val="24"/>
        </w:rPr>
        <w:t>2025</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w:t>
      </w:r>
      <w:r>
        <w:rPr>
          <w:rFonts w:ascii="宋体" w:hAnsi="宋体" w:cs="宋体" w:hint="eastAsia"/>
          <w:sz w:val="24"/>
          <w:szCs w:val="24"/>
        </w:rPr>
        <w:t>30</w:t>
      </w:r>
      <w:r>
        <w:rPr>
          <w:rFonts w:ascii="宋体" w:hAnsi="宋体" w:cs="宋体" w:hint="eastAsia"/>
          <w:sz w:val="24"/>
          <w:szCs w:val="24"/>
          <w:lang w:val="zh-CN"/>
        </w:rPr>
        <w:t>日，中国光大银行股份有限公司托管公开募集证券投资基</w:t>
      </w:r>
      <w:r>
        <w:rPr>
          <w:rFonts w:ascii="宋体" w:hAnsi="宋体" w:cs="宋体" w:hint="eastAsia"/>
          <w:sz w:val="24"/>
          <w:szCs w:val="24"/>
        </w:rPr>
        <w:t>金共350只，</w:t>
      </w:r>
      <w:r>
        <w:rPr>
          <w:rFonts w:ascii="宋体" w:hAnsi="宋体" w:cs="宋体" w:hint="eastAsia"/>
          <w:sz w:val="24"/>
          <w:szCs w:val="24"/>
          <w:lang w:val="zh-CN"/>
        </w:rPr>
        <w:t>托管基金资产规模</w:t>
      </w:r>
      <w:r>
        <w:rPr>
          <w:rFonts w:ascii="宋体" w:hAnsi="宋体" w:cs="宋体" w:hint="eastAsia"/>
          <w:sz w:val="24"/>
          <w:szCs w:val="24"/>
        </w:rPr>
        <w:t>7164.75</w:t>
      </w:r>
      <w:r>
        <w:rPr>
          <w:rFonts w:ascii="宋体" w:hAnsi="宋体" w:cs="宋体" w:hint="eastAsia"/>
          <w:sz w:val="24"/>
          <w:szCs w:val="24"/>
          <w:lang w:val="zh-CN"/>
        </w:rPr>
        <w:t>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34AC264" w14:textId="77777777" w:rsidR="008D0810" w:rsidRDefault="00417F9F">
      <w:pPr>
        <w:spacing w:line="360" w:lineRule="auto"/>
        <w:ind w:firstLineChars="200" w:firstLine="482"/>
        <w:rPr>
          <w:rFonts w:asciiTheme="minorEastAsia" w:hAnsiTheme="minorEastAsia" w:hint="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1E4A8A92"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1、内部控制目标</w:t>
      </w:r>
    </w:p>
    <w:p w14:paraId="2CB2C414"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61190037"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2、内部控制的原则</w:t>
      </w:r>
    </w:p>
    <w:p w14:paraId="172A2CBA"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4802A0E1"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27E2B241"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3EDD2B46"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45D1F718"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3、内部控制组织结构</w:t>
      </w:r>
    </w:p>
    <w:p w14:paraId="7E0166D8" w14:textId="74D4B230" w:rsidR="00F93644" w:rsidRDefault="00F93644" w:rsidP="00F93644">
      <w:pPr>
        <w:spacing w:line="360" w:lineRule="auto"/>
        <w:ind w:firstLine="420"/>
        <w:rPr>
          <w:rFonts w:ascii="宋体" w:hAnsi="宋体" w:cs="宋体" w:hint="eastAsia"/>
          <w:sz w:val="24"/>
          <w:szCs w:val="24"/>
        </w:rPr>
      </w:pPr>
      <w:r>
        <w:rPr>
          <w:rFonts w:ascii="宋体" w:hAnsi="宋体" w:cs="宋体" w:hint="eastAsia"/>
          <w:sz w:val="24"/>
          <w:szCs w:val="24"/>
        </w:rPr>
        <w:t>中国光大银行股份有限公司设有风险管理与内控合规委员会，负责全行风险管理与内部控制工作。资产托管部</w:t>
      </w:r>
      <w:r>
        <w:rPr>
          <w:rFonts w:ascii="宋体" w:eastAsia="宋体" w:hAnsi="宋体" w:cs="宋体" w:hint="eastAsia"/>
          <w:sz w:val="24"/>
          <w:szCs w:val="24"/>
          <w:lang w:val="zh-CN"/>
        </w:rPr>
        <w:t>建立了严密的内控</w:t>
      </w:r>
      <w:r>
        <w:rPr>
          <w:rFonts w:ascii="宋体" w:eastAsia="宋体" w:hAnsi="宋体" w:cs="宋体" w:hint="eastAsia"/>
          <w:sz w:val="24"/>
          <w:szCs w:val="24"/>
        </w:rPr>
        <w:t>监督</w:t>
      </w:r>
      <w:r>
        <w:rPr>
          <w:rFonts w:ascii="宋体" w:eastAsia="宋体" w:hAnsi="宋体" w:cs="宋体" w:hint="eastAsia"/>
          <w:sz w:val="24"/>
          <w:szCs w:val="24"/>
          <w:lang w:val="zh-CN"/>
        </w:rPr>
        <w:t>体系，设立了投资监督与内控</w:t>
      </w:r>
      <w:r>
        <w:rPr>
          <w:rFonts w:ascii="宋体" w:eastAsia="宋体" w:hAnsi="宋体" w:cs="宋体" w:hint="eastAsia"/>
          <w:sz w:val="24"/>
          <w:szCs w:val="24"/>
        </w:rPr>
        <w:t>合规</w:t>
      </w:r>
      <w:r>
        <w:rPr>
          <w:rFonts w:ascii="宋体" w:eastAsia="宋体" w:hAnsi="宋体" w:cs="宋体" w:hint="eastAsia"/>
          <w:sz w:val="24"/>
          <w:szCs w:val="24"/>
          <w:lang w:val="zh-CN"/>
        </w:rPr>
        <w:t>处，</w:t>
      </w:r>
      <w:r>
        <w:rPr>
          <w:rFonts w:ascii="宋体" w:eastAsia="宋体" w:hAnsi="宋体" w:cs="宋体" w:hint="eastAsia"/>
          <w:sz w:val="24"/>
          <w:szCs w:val="24"/>
        </w:rPr>
        <w:t>配备了专职内控合规人员，</w:t>
      </w:r>
      <w:r>
        <w:rPr>
          <w:rFonts w:ascii="宋体" w:eastAsia="宋体" w:hAnsi="宋体" w:cs="宋体" w:hint="eastAsia"/>
          <w:sz w:val="24"/>
          <w:szCs w:val="24"/>
          <w:lang w:val="zh-CN"/>
        </w:rPr>
        <w:t>负责证券投资基金托管业务的</w:t>
      </w:r>
      <w:r>
        <w:rPr>
          <w:rFonts w:ascii="宋体" w:eastAsia="宋体" w:hAnsi="宋体" w:cs="宋体" w:hint="eastAsia"/>
          <w:sz w:val="24"/>
          <w:szCs w:val="24"/>
        </w:rPr>
        <w:t>内控</w:t>
      </w:r>
      <w:r>
        <w:rPr>
          <w:rFonts w:ascii="宋体" w:eastAsia="宋体" w:hAnsi="宋体" w:cs="宋体" w:hint="eastAsia"/>
          <w:sz w:val="24"/>
          <w:szCs w:val="24"/>
          <w:lang w:val="zh-CN"/>
        </w:rPr>
        <w:t>管理</w:t>
      </w:r>
      <w:r>
        <w:rPr>
          <w:rFonts w:ascii="宋体" w:eastAsia="宋体" w:hAnsi="宋体" w:cs="宋体" w:hint="eastAsia"/>
          <w:sz w:val="24"/>
          <w:szCs w:val="24"/>
        </w:rPr>
        <w:t>工作</w:t>
      </w:r>
      <w:r>
        <w:rPr>
          <w:rFonts w:ascii="宋体" w:eastAsia="宋体" w:hAnsi="宋体" w:cs="宋体" w:hint="eastAsia"/>
          <w:sz w:val="24"/>
          <w:szCs w:val="24"/>
          <w:lang w:val="zh-CN"/>
        </w:rPr>
        <w:t>。</w:t>
      </w:r>
    </w:p>
    <w:p w14:paraId="16D3652E" w14:textId="77777777" w:rsidR="00F93644" w:rsidRDefault="00F93644" w:rsidP="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4、内部控制制度</w:t>
      </w:r>
    </w:p>
    <w:p w14:paraId="776D5F00" w14:textId="702830F5" w:rsidR="008D0810" w:rsidRDefault="00F93644">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lastRenderedPageBreak/>
        <w:t>中国光大银行股份有限公司</w:t>
      </w:r>
      <w:r>
        <w:rPr>
          <w:rFonts w:ascii="宋体" w:hAnsi="宋体" w:cs="宋体" w:hint="eastAsia"/>
          <w:sz w:val="24"/>
          <w:szCs w:val="24"/>
        </w:rPr>
        <w:t>资产托管</w:t>
      </w:r>
      <w:r>
        <w:rPr>
          <w:rFonts w:ascii="宋体" w:hAnsi="宋体" w:cs="宋体" w:hint="eastAsia"/>
          <w:sz w:val="24"/>
          <w:szCs w:val="24"/>
          <w:lang w:val="zh-CN"/>
        </w:rPr>
        <w:t>部自成立以来严格遵照《基金法》、《中华人民共和国商业银行法》、《信息披露管理办法》、《运作办法》、《销售办法》等法律、法规的要求，并根据相关法律法规制订、完善了《中国光大银行</w:t>
      </w:r>
      <w:r>
        <w:rPr>
          <w:rFonts w:ascii="宋体" w:hAnsi="宋体" w:cs="宋体" w:hint="eastAsia"/>
          <w:sz w:val="24"/>
          <w:szCs w:val="24"/>
        </w:rPr>
        <w:t>资产</w:t>
      </w:r>
      <w:r>
        <w:rPr>
          <w:rFonts w:ascii="宋体" w:hAnsi="宋体" w:cs="宋体" w:hint="eastAsia"/>
          <w:sz w:val="24"/>
          <w:szCs w:val="24"/>
          <w:lang w:val="zh-CN"/>
        </w:rPr>
        <w:t>托管业务内部控制规定》、《中国光大银行</w:t>
      </w:r>
      <w:r>
        <w:rPr>
          <w:rFonts w:ascii="宋体" w:hAnsi="宋体" w:cs="宋体" w:hint="eastAsia"/>
          <w:sz w:val="24"/>
          <w:szCs w:val="24"/>
        </w:rPr>
        <w:t>资产托管业务</w:t>
      </w:r>
      <w:r>
        <w:rPr>
          <w:rFonts w:ascii="宋体" w:hAnsi="宋体" w:cs="宋体" w:hint="eastAsia"/>
          <w:sz w:val="24"/>
          <w:szCs w:val="24"/>
          <w:lang w:val="zh-CN"/>
        </w:rPr>
        <w:t>保密规定》等十余项规章制度和实施细则，将风险控制落实到每一个工作环节。中国光大银行</w:t>
      </w:r>
      <w:r>
        <w:rPr>
          <w:rFonts w:ascii="宋体" w:hAnsi="宋体" w:cs="宋体" w:hint="eastAsia"/>
          <w:sz w:val="24"/>
          <w:szCs w:val="24"/>
        </w:rPr>
        <w:t>资产托管</w:t>
      </w:r>
      <w:r>
        <w:rPr>
          <w:rFonts w:ascii="宋体" w:hAnsi="宋体" w:cs="宋体" w:hint="eastAsia"/>
          <w:sz w:val="24"/>
          <w:szCs w:val="24"/>
          <w:lang w:val="zh-CN"/>
        </w:rPr>
        <w:t>部以控制和防范基金托管业务风险为主线，在重要岗位（基金清算、基金核算、</w:t>
      </w:r>
      <w:r>
        <w:rPr>
          <w:rFonts w:ascii="宋体" w:hAnsi="宋体" w:cs="宋体" w:hint="eastAsia"/>
          <w:sz w:val="24"/>
          <w:szCs w:val="24"/>
        </w:rPr>
        <w:t>投资监督</w:t>
      </w:r>
      <w:r>
        <w:rPr>
          <w:rFonts w:ascii="宋体" w:hAnsi="宋体" w:cs="宋体" w:hint="eastAsia"/>
          <w:sz w:val="24"/>
          <w:szCs w:val="24"/>
          <w:lang w:val="zh-CN"/>
        </w:rPr>
        <w:t>）还建立了安全保密区，安装了录像监视系统和录音监听系统，以保障基金信息的安全。</w:t>
      </w:r>
    </w:p>
    <w:p w14:paraId="39E283A7" w14:textId="77777777" w:rsidR="008D0810" w:rsidRDefault="00417F9F">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五、基金托管人对基金管理人运作基金进行监督的方法和程序</w:t>
      </w:r>
    </w:p>
    <w:p w14:paraId="672F5EB3" w14:textId="77777777" w:rsidR="00F93644" w:rsidRDefault="00F93644" w:rsidP="00F93644">
      <w:pPr>
        <w:spacing w:line="360" w:lineRule="auto"/>
        <w:ind w:firstLine="420"/>
        <w:rPr>
          <w:rFonts w:ascii="宋体" w:hAnsi="宋体" w:cs="宋体" w:hint="eastAsia"/>
          <w:sz w:val="24"/>
          <w:szCs w:val="24"/>
          <w:lang w:val="zh-CN"/>
        </w:rPr>
      </w:pPr>
      <w:bookmarkStart w:id="91" w:name="OLE_LINK7"/>
      <w:bookmarkStart w:id="92" w:name="OLE_LINK5"/>
      <w:r>
        <w:rPr>
          <w:rFonts w:ascii="宋体" w:hAnsi="宋体" w:cs="宋体" w:hint="eastAsia"/>
          <w:sz w:val="24"/>
          <w:szCs w:val="24"/>
          <w:lang w:val="zh-CN"/>
        </w:rPr>
        <w:t>根据法律、法规和基金合同等的要求，基金托管人主要通过定性和定量相结合、事前</w:t>
      </w:r>
      <w:r>
        <w:rPr>
          <w:rFonts w:ascii="宋体" w:hAnsi="宋体" w:cs="宋体" w:hint="eastAsia"/>
          <w:sz w:val="24"/>
          <w:szCs w:val="24"/>
        </w:rPr>
        <w:t>事中</w:t>
      </w:r>
      <w:r>
        <w:rPr>
          <w:rFonts w:ascii="宋体" w:hAnsi="宋体" w:cs="宋体" w:hint="eastAsia"/>
          <w:sz w:val="24"/>
          <w:szCs w:val="24"/>
          <w:lang w:val="zh-CN"/>
        </w:rPr>
        <w:t>和事后</w:t>
      </w:r>
      <w:r>
        <w:rPr>
          <w:rFonts w:ascii="宋体" w:hAnsi="宋体" w:cs="宋体" w:hint="eastAsia"/>
          <w:sz w:val="24"/>
          <w:szCs w:val="24"/>
        </w:rPr>
        <w:t>监督</w:t>
      </w:r>
      <w:r>
        <w:rPr>
          <w:rFonts w:ascii="宋体" w:hAnsi="宋体" w:cs="宋体" w:hint="eastAsia"/>
          <w:sz w:val="24"/>
          <w:szCs w:val="24"/>
          <w:lang w:val="zh-CN"/>
        </w:rPr>
        <w:t>相结合、技术与人工监督相结合等方式方法，对基金投资</w:t>
      </w:r>
      <w:r>
        <w:rPr>
          <w:rFonts w:ascii="宋体" w:hAnsi="宋体" w:cs="宋体" w:hint="eastAsia"/>
          <w:sz w:val="24"/>
          <w:szCs w:val="24"/>
        </w:rPr>
        <w:t>范围</w:t>
      </w:r>
      <w:r>
        <w:rPr>
          <w:rFonts w:ascii="宋体" w:hAnsi="宋体" w:cs="宋体" w:hint="eastAsia"/>
          <w:sz w:val="24"/>
          <w:szCs w:val="24"/>
          <w:lang w:val="zh-CN"/>
        </w:rPr>
        <w:t>、投资组合比例每日进行监督；同时，对基金管理人就基金资产净值的计算、基金管理人和基金托管人报酬的计提和支付、基金收益分配、基金费用支付等行为的合法性、合规性进行监督和核查。</w:t>
      </w:r>
    </w:p>
    <w:p w14:paraId="01004FEC" w14:textId="4C4C9541" w:rsidR="008D0810" w:rsidRDefault="00F93644">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基金托管人发现基金管理人</w:t>
      </w:r>
      <w:r>
        <w:rPr>
          <w:rFonts w:ascii="宋体" w:hAnsi="宋体" w:cs="宋体" w:hint="eastAsia"/>
          <w:sz w:val="24"/>
          <w:szCs w:val="24"/>
        </w:rPr>
        <w:t>有</w:t>
      </w:r>
      <w:r>
        <w:rPr>
          <w:rFonts w:ascii="宋体" w:hAnsi="宋体" w:cs="宋体" w:hint="eastAsia"/>
          <w:sz w:val="24"/>
          <w:szCs w:val="24"/>
          <w:lang w:val="zh-CN"/>
        </w:rPr>
        <w:t>违反法律、法规和基金合同等规定的行为，及时以</w:t>
      </w:r>
      <w:r>
        <w:rPr>
          <w:rFonts w:ascii="宋体" w:hAnsi="宋体" w:cs="宋体" w:hint="eastAsia"/>
          <w:sz w:val="24"/>
          <w:szCs w:val="24"/>
        </w:rPr>
        <w:t>邮件、电话或书面等</w:t>
      </w:r>
      <w:r>
        <w:rPr>
          <w:rFonts w:ascii="宋体" w:hAnsi="宋体" w:cs="宋体" w:hint="eastAsia"/>
          <w:sz w:val="24"/>
          <w:szCs w:val="24"/>
          <w:lang w:val="zh-CN"/>
        </w:rPr>
        <w:t>形式通知基金管理人限期纠正，基金管理人收到通知后应及时核对确认并以</w:t>
      </w:r>
      <w:r>
        <w:rPr>
          <w:rFonts w:ascii="宋体" w:hAnsi="宋体" w:cs="宋体" w:hint="eastAsia"/>
          <w:sz w:val="24"/>
          <w:szCs w:val="24"/>
        </w:rPr>
        <w:t>邮件或</w:t>
      </w:r>
      <w:r>
        <w:rPr>
          <w:rFonts w:ascii="宋体" w:hAnsi="宋体" w:cs="宋体" w:hint="eastAsia"/>
          <w:sz w:val="24"/>
          <w:szCs w:val="24"/>
          <w:lang w:val="zh-CN"/>
        </w:rPr>
        <w:t>书面形式对基金托管人发出回函。在限期内，基金托管人有权随时对通知事项进行复查。基金管理人对基金托管人通知的违规事项未能在限期内纠正的，基金托管人应报告中国证监会。</w:t>
      </w:r>
      <w:bookmarkEnd w:id="91"/>
      <w:bookmarkEnd w:id="92"/>
    </w:p>
    <w:p w14:paraId="0406B6BA" w14:textId="77777777" w:rsidR="008D0810" w:rsidRDefault="00417F9F">
      <w:pPr>
        <w:widowControl/>
        <w:jc w:val="left"/>
        <w:rPr>
          <w:rFonts w:asciiTheme="minorEastAsia" w:hAnsiTheme="minorEastAsia" w:cs="Times New Roman" w:hint="eastAsia"/>
          <w:b/>
          <w:bCs/>
          <w:color w:val="000000"/>
          <w:kern w:val="0"/>
          <w:sz w:val="24"/>
          <w:szCs w:val="24"/>
        </w:rPr>
      </w:pPr>
      <w:r>
        <w:rPr>
          <w:rFonts w:asciiTheme="minorEastAsia" w:hAnsiTheme="minorEastAsia"/>
          <w:bCs/>
          <w:szCs w:val="24"/>
        </w:rPr>
        <w:br w:type="page"/>
      </w:r>
    </w:p>
    <w:p w14:paraId="109CB492" w14:textId="77777777" w:rsidR="008D0810" w:rsidRDefault="00417F9F">
      <w:pPr>
        <w:pStyle w:val="1"/>
        <w:jc w:val="center"/>
        <w:rPr>
          <w:rFonts w:asciiTheme="minorEastAsia" w:eastAsiaTheme="minorEastAsia" w:hAnsiTheme="minorEastAsia" w:hint="eastAsia"/>
          <w:sz w:val="30"/>
          <w:szCs w:val="30"/>
        </w:rPr>
      </w:pPr>
      <w:bookmarkStart w:id="93" w:name="_Toc416264541"/>
      <w:bookmarkStart w:id="94" w:name="_Toc263092313"/>
      <w:bookmarkStart w:id="95" w:name="_Toc146096081"/>
      <w:bookmarkStart w:id="96" w:name="_Toc214873594"/>
      <w:bookmarkStart w:id="97" w:name="_Toc11081"/>
      <w:bookmarkStart w:id="98" w:name="_Toc23261"/>
      <w:bookmarkStart w:id="99" w:name="_Toc7920"/>
      <w:bookmarkStart w:id="100" w:name="_Toc1427"/>
      <w:bookmarkStart w:id="101" w:name="_Toc610"/>
      <w:bookmarkStart w:id="102" w:name="_Toc352229752"/>
      <w:bookmarkStart w:id="103" w:name="_Toc79392606"/>
      <w:bookmarkStart w:id="104" w:name="_Toc352229751"/>
      <w:bookmarkStart w:id="105" w:name="_Toc23822"/>
      <w:bookmarkStart w:id="106" w:name="_Toc141703886"/>
      <w:bookmarkStart w:id="107" w:name="_Toc123102453"/>
      <w:bookmarkStart w:id="108" w:name="_Toc20733"/>
      <w:bookmarkStart w:id="109" w:name="_Toc123051452"/>
      <w:bookmarkStart w:id="110" w:name="_Toc139991736"/>
      <w:bookmarkStart w:id="111" w:name="_Toc98560352"/>
      <w:bookmarkStart w:id="112" w:name="_Toc1270"/>
      <w:bookmarkStart w:id="113" w:name="_Toc48649707"/>
      <w:bookmarkStart w:id="114" w:name="_Toc10463"/>
      <w:bookmarkStart w:id="115" w:name="_Toc17244"/>
      <w:bookmarkStart w:id="116" w:name="_Toc123112234"/>
      <w:bookmarkStart w:id="117" w:name="_Toc4003"/>
      <w:bookmarkEnd w:id="70"/>
      <w:bookmarkEnd w:id="71"/>
      <w:bookmarkEnd w:id="72"/>
      <w:bookmarkEnd w:id="73"/>
      <w:bookmarkEnd w:id="74"/>
      <w:bookmarkEnd w:id="75"/>
      <w:bookmarkEnd w:id="76"/>
      <w:bookmarkEnd w:id="77"/>
      <w:bookmarkEnd w:id="78"/>
      <w:bookmarkEnd w:id="79"/>
      <w:bookmarkEnd w:id="80"/>
      <w:bookmarkEnd w:id="81"/>
      <w:bookmarkEnd w:id="82"/>
      <w:bookmarkEnd w:id="84"/>
      <w:bookmarkEnd w:id="85"/>
      <w:bookmarkEnd w:id="86"/>
      <w:bookmarkEnd w:id="87"/>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3"/>
      <w:bookmarkEnd w:id="94"/>
      <w:bookmarkEnd w:id="95"/>
      <w:bookmarkEnd w:id="96"/>
    </w:p>
    <w:p w14:paraId="66C81073" w14:textId="77777777" w:rsidR="008D0810" w:rsidRDefault="00417F9F">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242BEA52"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43C90FF9"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注册地址：广东省广州市南沙区横沥镇汇通二街2号3110房</w:t>
      </w:r>
      <w:r>
        <w:rPr>
          <w:rFonts w:asciiTheme="minorEastAsia" w:hAnsiTheme="minorEastAsia" w:cs="Arial"/>
          <w:sz w:val="24"/>
          <w:szCs w:val="24"/>
        </w:rPr>
        <w:t xml:space="preserve"> </w:t>
      </w:r>
    </w:p>
    <w:p w14:paraId="1376A88A"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4A2C6AE2"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250D3526"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06BCAC81"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0F327F19"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1F429855"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58DABBD6" w14:textId="77777777" w:rsidR="008D0810" w:rsidRDefault="00417F9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p w14:paraId="319F221C" w14:textId="5B81ED36" w:rsidR="008D0810" w:rsidRPr="00C83E86" w:rsidRDefault="00C83E86" w:rsidP="00C83E86">
      <w:pPr>
        <w:tabs>
          <w:tab w:val="left" w:pos="540"/>
        </w:tabs>
        <w:adjustRightInd w:val="0"/>
        <w:snapToGrid w:val="0"/>
        <w:spacing w:line="360" w:lineRule="auto"/>
        <w:ind w:firstLineChars="200" w:firstLine="480"/>
        <w:rPr>
          <w:rFonts w:asciiTheme="minorEastAsia" w:hAnsiTheme="minorEastAsia" w:cs="Arial" w:hint="eastAsia"/>
          <w:b/>
          <w:bCs/>
          <w:sz w:val="24"/>
          <w:szCs w:val="24"/>
        </w:rPr>
      </w:pPr>
      <w:r w:rsidRPr="00987B6D">
        <w:rPr>
          <w:rFonts w:asciiTheme="minorEastAsia" w:hAnsiTheme="minorEastAsia" w:cs="Arial" w:hint="eastAsia"/>
          <w:sz w:val="24"/>
          <w:szCs w:val="24"/>
        </w:rPr>
        <w:t>具体名单详见基金管理人官方网站。</w:t>
      </w:r>
    </w:p>
    <w:p w14:paraId="40EC67A9" w14:textId="77777777" w:rsidR="008D0810" w:rsidRDefault="00417F9F">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48518FEB" w14:textId="77777777" w:rsidR="008D0810" w:rsidRDefault="00417F9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7C0AF5D2" w14:textId="77777777" w:rsidR="008D0810" w:rsidRDefault="00417F9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广东省广州市南沙区横沥镇汇通二街2号3110房</w:t>
      </w:r>
      <w:r>
        <w:rPr>
          <w:rFonts w:asciiTheme="minorEastAsia" w:hAnsiTheme="minorEastAsia" w:cs="Arial"/>
          <w:color w:val="000000"/>
          <w:kern w:val="0"/>
          <w:sz w:val="24"/>
          <w:szCs w:val="24"/>
        </w:rPr>
        <w:t xml:space="preserve"> </w:t>
      </w:r>
    </w:p>
    <w:p w14:paraId="4B85761F" w14:textId="77777777" w:rsidR="008D0810" w:rsidRDefault="00417F9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5A114E6A" w14:textId="77777777" w:rsidR="008D0810" w:rsidRDefault="00417F9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64FA1977" w14:textId="77777777" w:rsidR="008D0810" w:rsidRDefault="00417F9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69AFC5B7" w14:textId="77777777" w:rsidR="008D0810" w:rsidRDefault="00417F9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1740F55E" w14:textId="77777777" w:rsidR="008D0810" w:rsidRDefault="00417F9F">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3211E29A" w14:textId="77777777" w:rsidR="008D0810" w:rsidRDefault="00417F9F">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732F0469"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6DC92182"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581771AF"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1671315A"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0F7EF6F5"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14D4BD65"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0727B7F" w14:textId="77777777" w:rsidR="008D0810" w:rsidRDefault="00417F9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02F88CA2"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1437DFFF" w14:textId="77777777" w:rsidR="008D0810" w:rsidRDefault="00417F9F">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3E98F582"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D0F4BBB" w14:textId="3106BFA6"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w:t>
      </w:r>
      <w:r w:rsidR="00C83E86">
        <w:rPr>
          <w:rFonts w:asciiTheme="minorEastAsia" w:hAnsiTheme="minorEastAsia" w:cs="Arial" w:hint="eastAsia"/>
          <w:kern w:val="0"/>
          <w:sz w:val="24"/>
          <w:szCs w:val="24"/>
        </w:rPr>
        <w:t>17</w:t>
      </w:r>
      <w:r>
        <w:rPr>
          <w:rFonts w:asciiTheme="minorEastAsia" w:hAnsiTheme="minorEastAsia" w:cs="Arial"/>
          <w:kern w:val="0"/>
          <w:sz w:val="24"/>
          <w:szCs w:val="24"/>
        </w:rPr>
        <w:t>层</w:t>
      </w:r>
    </w:p>
    <w:p w14:paraId="1ED8EDB2" w14:textId="6AF2FF65"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w:t>
      </w:r>
      <w:r w:rsidR="00C83E86">
        <w:rPr>
          <w:rFonts w:asciiTheme="minorEastAsia" w:hAnsiTheme="minorEastAsia" w:cs="Arial" w:hint="eastAsia"/>
          <w:kern w:val="0"/>
          <w:sz w:val="24"/>
          <w:szCs w:val="24"/>
        </w:rPr>
        <w:t>17</w:t>
      </w:r>
      <w:r>
        <w:rPr>
          <w:rFonts w:asciiTheme="minorEastAsia" w:hAnsiTheme="minorEastAsia" w:cs="Arial"/>
          <w:kern w:val="0"/>
          <w:sz w:val="24"/>
          <w:szCs w:val="24"/>
        </w:rPr>
        <w:t>层</w:t>
      </w:r>
    </w:p>
    <w:p w14:paraId="03239850"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0796F5F4"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456650A8"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013124A7"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5557C6E0"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23755FA9" w14:textId="77777777" w:rsidR="008D0810" w:rsidRDefault="008D0810">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8D0810">
          <w:footerReference w:type="default" r:id="rId19"/>
          <w:pgSz w:w="11906" w:h="16838"/>
          <w:pgMar w:top="1440" w:right="1800" w:bottom="1440" w:left="1800" w:header="851" w:footer="992" w:gutter="0"/>
          <w:pgNumType w:chapStyle="1"/>
          <w:cols w:space="720"/>
          <w:docGrid w:type="lines" w:linePitch="312"/>
        </w:sectPr>
      </w:pPr>
      <w:bookmarkStart w:id="118" w:name="_Toc416264542"/>
      <w:bookmarkStart w:id="119" w:name="_Toc263092314"/>
      <w:bookmarkStart w:id="120" w:name="_Toc3601"/>
      <w:bookmarkStart w:id="121" w:name="_Toc26207"/>
      <w:bookmarkStart w:id="122" w:name="_Toc12245"/>
      <w:bookmarkStart w:id="123" w:name="_Toc31644"/>
      <w:bookmarkStart w:id="124" w:name="_Toc16859"/>
      <w:bookmarkStart w:id="125" w:name="_Toc31235"/>
      <w:bookmarkStart w:id="126" w:name="_Toc139991737"/>
      <w:bookmarkStart w:id="127" w:name="_Toc15143"/>
      <w:bookmarkStart w:id="128" w:name="_Toc123102454"/>
      <w:bookmarkStart w:id="129" w:name="_Toc29251"/>
      <w:bookmarkStart w:id="130" w:name="_Toc6405"/>
      <w:bookmarkStart w:id="131" w:name="_Toc352229753"/>
      <w:bookmarkStart w:id="132" w:name="_Toc14835"/>
      <w:bookmarkStart w:id="133" w:name="_Toc123051453"/>
      <w:bookmarkStart w:id="134" w:name="_Toc123112235"/>
      <w:bookmarkStart w:id="135" w:name="_Toc98560353"/>
      <w:bookmarkStart w:id="136" w:name="_Toc31653"/>
      <w:bookmarkStart w:id="137" w:name="_Toc141703887"/>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68E3A4FE" w14:textId="77777777" w:rsidR="008D0810" w:rsidRDefault="00417F9F">
      <w:pPr>
        <w:pStyle w:val="1"/>
        <w:jc w:val="center"/>
        <w:rPr>
          <w:rFonts w:asciiTheme="minorEastAsia" w:eastAsiaTheme="minorEastAsia" w:hAnsiTheme="minorEastAsia" w:hint="eastAsia"/>
          <w:sz w:val="30"/>
          <w:szCs w:val="30"/>
        </w:rPr>
      </w:pPr>
      <w:bookmarkStart w:id="138" w:name="_Toc146096082"/>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8"/>
      <w:bookmarkEnd w:id="119"/>
      <w:bookmarkEnd w:id="138"/>
    </w:p>
    <w:p w14:paraId="003D92DF" w14:textId="77777777" w:rsidR="008D0810" w:rsidRDefault="00417F9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55382C62" w14:textId="77777777" w:rsidR="008D0810" w:rsidRDefault="008D0810">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670B8E5B" w14:textId="77777777" w:rsidR="008D0810" w:rsidRDefault="008D0810">
      <w:pPr>
        <w:keepNext/>
        <w:keepLines/>
        <w:spacing w:line="360" w:lineRule="auto"/>
        <w:jc w:val="center"/>
        <w:outlineLvl w:val="0"/>
        <w:rPr>
          <w:rFonts w:asciiTheme="minorEastAsia" w:hAnsiTheme="minorEastAsia" w:cs="Times New Roman" w:hint="eastAsia"/>
          <w:b/>
          <w:kern w:val="0"/>
          <w:sz w:val="30"/>
          <w:szCs w:val="30"/>
        </w:rPr>
        <w:sectPr w:rsidR="008D0810">
          <w:footerReference w:type="default" r:id="rId20"/>
          <w:pgSz w:w="11906" w:h="16838"/>
          <w:pgMar w:top="1440" w:right="1800" w:bottom="1440" w:left="1800" w:header="851" w:footer="992" w:gutter="0"/>
          <w:pgNumType w:chapStyle="1"/>
          <w:cols w:space="720"/>
          <w:docGrid w:type="lines" w:linePitch="312"/>
        </w:sectPr>
      </w:pPr>
      <w:bookmarkStart w:id="139" w:name="_Toc263092315"/>
      <w:bookmarkStart w:id="140" w:name="_Toc214873596"/>
      <w:bookmarkStart w:id="141" w:name="_Toc416264543"/>
      <w:bookmarkStart w:id="142" w:name="_Toc98560354"/>
      <w:bookmarkStart w:id="143" w:name="_Toc18567"/>
      <w:bookmarkStart w:id="144" w:name="_Toc3321"/>
      <w:bookmarkStart w:id="145" w:name="_Toc20768"/>
      <w:bookmarkStart w:id="146" w:name="_Toc139991738"/>
      <w:bookmarkStart w:id="147" w:name="_Toc25783"/>
      <w:bookmarkStart w:id="148" w:name="_Toc4559"/>
      <w:bookmarkStart w:id="149" w:name="_Toc9706"/>
      <w:bookmarkStart w:id="150" w:name="_Toc7058"/>
      <w:bookmarkStart w:id="151" w:name="_Toc352229754"/>
      <w:bookmarkStart w:id="152" w:name="_Toc3771"/>
      <w:bookmarkStart w:id="153" w:name="_Toc141703888"/>
      <w:bookmarkStart w:id="154" w:name="_Toc123112236"/>
      <w:bookmarkStart w:id="155" w:name="_Toc10650"/>
      <w:bookmarkStart w:id="156" w:name="_Toc11030"/>
      <w:bookmarkStart w:id="157" w:name="_Toc123102455"/>
      <w:bookmarkStart w:id="158" w:name="_Toc79392583"/>
      <w:bookmarkStart w:id="159" w:name="_Toc123051454"/>
      <w:bookmarkStart w:id="160" w:name="_Toc6447"/>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416130B8" w14:textId="77777777" w:rsidR="008D0810" w:rsidRDefault="00417F9F">
      <w:pPr>
        <w:pStyle w:val="1"/>
        <w:jc w:val="center"/>
        <w:rPr>
          <w:rFonts w:asciiTheme="minorEastAsia" w:eastAsiaTheme="minorEastAsia" w:hAnsiTheme="minorEastAsia" w:hint="eastAsia"/>
          <w:sz w:val="30"/>
          <w:szCs w:val="30"/>
        </w:rPr>
      </w:pPr>
      <w:bookmarkStart w:id="161" w:name="_Toc146096083"/>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9"/>
      <w:bookmarkEnd w:id="140"/>
      <w:r>
        <w:rPr>
          <w:rFonts w:asciiTheme="minorEastAsia" w:eastAsiaTheme="minorEastAsia" w:hAnsiTheme="minorEastAsia" w:hint="eastAsia"/>
          <w:sz w:val="30"/>
          <w:szCs w:val="30"/>
        </w:rPr>
        <w:t>合同的生效</w:t>
      </w:r>
      <w:bookmarkEnd w:id="141"/>
      <w:bookmarkEnd w:id="161"/>
    </w:p>
    <w:p w14:paraId="4896DFC1"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5F12D1F1"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700CFACA" w14:textId="77777777" w:rsidR="008D0810" w:rsidRDefault="00417F9F">
      <w:pPr>
        <w:snapToGrid w:val="0"/>
        <w:spacing w:line="360" w:lineRule="auto"/>
        <w:ind w:firstLineChars="200" w:firstLine="480"/>
        <w:rPr>
          <w:rFonts w:asciiTheme="minorEastAsia" w:hAnsiTheme="minorEastAsia" w:cs="Times New Roman" w:hint="eastAsia"/>
          <w:szCs w:val="20"/>
        </w:rPr>
        <w:sectPr w:rsidR="008D0810">
          <w:footerReference w:type="default" r:id="rId21"/>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62" w:name="_Toc263092316"/>
      <w:bookmarkStart w:id="163" w:name="_Toc214873597"/>
      <w:bookmarkStart w:id="164" w:name="_Toc21073391"/>
      <w:bookmarkStart w:id="165" w:name="_Toc147463118"/>
      <w:bookmarkStart w:id="166" w:name="_Toc416264544"/>
      <w:bookmarkStart w:id="167" w:name="_Toc12357171"/>
      <w:bookmarkStart w:id="168" w:name="_Toc123051455"/>
      <w:bookmarkStart w:id="169" w:name="_Toc141703889"/>
      <w:bookmarkStart w:id="170" w:name="_Toc18769"/>
      <w:bookmarkStart w:id="171" w:name="_Toc3080"/>
      <w:bookmarkStart w:id="172" w:name="_Toc725"/>
      <w:bookmarkStart w:id="173" w:name="_Toc10398"/>
      <w:bookmarkStart w:id="174" w:name="_Toc21735"/>
      <w:bookmarkStart w:id="175" w:name="_Toc123112237"/>
      <w:bookmarkStart w:id="176" w:name="_Toc1745"/>
      <w:bookmarkStart w:id="177" w:name="_Toc352229755"/>
      <w:bookmarkStart w:id="178" w:name="_Toc139991739"/>
      <w:bookmarkStart w:id="179" w:name="_Toc3963"/>
      <w:bookmarkStart w:id="180" w:name="_Toc98560355"/>
      <w:bookmarkStart w:id="181" w:name="_Toc18206"/>
      <w:bookmarkStart w:id="182" w:name="_Toc3572"/>
      <w:bookmarkStart w:id="183" w:name="_Toc31821"/>
      <w:bookmarkStart w:id="184" w:name="_Toc123102456"/>
      <w:bookmarkStart w:id="185" w:name="_Toc16164"/>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3CFE1B55" w14:textId="77777777" w:rsidR="008D0810" w:rsidRDefault="00417F9F">
      <w:pPr>
        <w:pStyle w:val="1"/>
        <w:jc w:val="center"/>
        <w:rPr>
          <w:rFonts w:asciiTheme="minorEastAsia" w:eastAsiaTheme="minorEastAsia" w:hAnsiTheme="minorEastAsia" w:cs="Arial" w:hint="eastAsia"/>
          <w:bCs/>
          <w:sz w:val="30"/>
          <w:szCs w:val="30"/>
        </w:rPr>
      </w:pPr>
      <w:bookmarkStart w:id="186" w:name="_Toc14609608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2"/>
      <w:bookmarkEnd w:id="163"/>
      <w:bookmarkEnd w:id="164"/>
      <w:bookmarkEnd w:id="165"/>
      <w:bookmarkEnd w:id="166"/>
      <w:bookmarkEnd w:id="167"/>
      <w:bookmarkEnd w:id="186"/>
    </w:p>
    <w:p w14:paraId="7B6B60C5" w14:textId="77777777" w:rsidR="008D0810" w:rsidRDefault="00417F9F">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616C5E0D"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1560F590"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43B94AD0" w14:textId="77777777" w:rsidR="008D0810" w:rsidRDefault="00417F9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3677DB90"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7" w:name="_Toc510842719"/>
      <w:r>
        <w:rPr>
          <w:rFonts w:asciiTheme="minorEastAsia" w:hAnsiTheme="minorEastAsia" w:cs="Arial"/>
          <w:sz w:val="24"/>
          <w:szCs w:val="24"/>
        </w:rPr>
        <w:t>1、开放日及开放时间</w:t>
      </w:r>
    </w:p>
    <w:p w14:paraId="2F2F0086"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933ED05"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818B894"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076DBE7D"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18318825"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7"/>
    <w:p w14:paraId="3F40B8E6" w14:textId="77777777" w:rsidR="008D0810" w:rsidRDefault="00417F9F">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31023802"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2B6025"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441446DB"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8EF0A1C"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6563CA1B"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404D6A44"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74F2813A" w14:textId="77777777" w:rsidR="008D0810" w:rsidRDefault="00417F9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165475B3"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1340F98"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05472392"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152C5A5B"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6192FF04"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5F4E31DD"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55DBDD53"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EC6A486"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5A28DAF"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82246B8" w14:textId="77777777" w:rsidR="008D0810" w:rsidRDefault="00417F9F">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35FFDA02"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335B5E69"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5341BA42"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1B936732"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00EAAE41"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462B92DC" w14:textId="77777777" w:rsidR="008D0810" w:rsidRDefault="00417F9F">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10ADD1F3"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5C15EA" w14:textId="77777777" w:rsidR="008D0810" w:rsidRDefault="00417F9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22C1AC85" w14:textId="77777777" w:rsidR="008D0810" w:rsidRDefault="008D081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8D0810" w14:paraId="67E0C773"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7B041D30" w14:textId="77777777" w:rsidR="008D0810" w:rsidRDefault="00417F9F">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8D0810" w14:paraId="0513674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35508149" w14:textId="77777777" w:rsidR="008D0810" w:rsidRDefault="00417F9F">
            <w:pPr>
              <w:widowControl/>
              <w:spacing w:line="336" w:lineRule="auto"/>
              <w:jc w:val="center"/>
              <w:rPr>
                <w:rFonts w:asciiTheme="minorEastAsia" w:hAnsiTheme="minorEastAsia" w:cs="Arial" w:hint="eastAsia"/>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6C7CA6AF"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8D0810" w14:paraId="458DCC6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546D272B" w14:textId="77777777" w:rsidR="008D0810" w:rsidRDefault="00417F9F">
            <w:pPr>
              <w:widowControl/>
              <w:spacing w:line="336" w:lineRule="auto"/>
              <w:jc w:val="center"/>
              <w:rPr>
                <w:rFonts w:asciiTheme="minorEastAsia" w:hAnsiTheme="minorEastAsia" w:cs="Arial" w:hint="eastAsia"/>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A846E71"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1.50%</w:t>
            </w:r>
          </w:p>
        </w:tc>
      </w:tr>
      <w:tr w:rsidR="008D0810" w14:paraId="34EEE498"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6BE66B4B"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01AF1615"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8D0810" w14:paraId="5B4063E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BC46134"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47D1EB65"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0.30%</w:t>
            </w:r>
          </w:p>
        </w:tc>
      </w:tr>
      <w:tr w:rsidR="008D0810" w14:paraId="286C5BF8"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50463398"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362669" w14:textId="77777777" w:rsidR="008D0810" w:rsidRDefault="00417F9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8D0810" w14:paraId="0655D770"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010FA0E" w14:textId="77777777" w:rsidR="008D0810" w:rsidRDefault="00417F9F">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8D0810" w14:paraId="15524EF4"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263689D4" w14:textId="77777777" w:rsidR="008D0810" w:rsidRDefault="00417F9F">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1AB9E51" w14:textId="77777777" w:rsidR="008D0810" w:rsidRDefault="008D081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7FE53B53" w14:textId="77777777" w:rsidR="008D0810" w:rsidRDefault="00417F9F">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1821DE4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665A399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8D0810" w14:paraId="10A1BEEF"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612FBA" w14:textId="77777777" w:rsidR="008D0810" w:rsidRDefault="00417F9F">
            <w:pPr>
              <w:ind w:firstLineChars="200" w:firstLine="422"/>
              <w:jc w:val="center"/>
              <w:rPr>
                <w:rFonts w:asciiTheme="minorEastAsia" w:hAnsiTheme="minorEastAsia" w:cs="Arial" w:hint="eastAsia"/>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6170B76D" w14:textId="77777777" w:rsidR="008D0810" w:rsidRDefault="00417F9F">
            <w:pPr>
              <w:jc w:val="center"/>
              <w:rPr>
                <w:rFonts w:asciiTheme="minorEastAsia" w:hAnsiTheme="minorEastAsia" w:cs="Arial" w:hint="eastAsia"/>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3C39CE07" w14:textId="77777777" w:rsidR="008D0810" w:rsidRDefault="00417F9F">
            <w:pPr>
              <w:jc w:val="center"/>
              <w:rPr>
                <w:rFonts w:asciiTheme="minorEastAsia" w:hAnsiTheme="minorEastAsia" w:cs="Arial" w:hint="eastAsia"/>
                <w:b/>
                <w:color w:val="000000"/>
                <w:szCs w:val="24"/>
              </w:rPr>
            </w:pPr>
            <w:r>
              <w:rPr>
                <w:rFonts w:asciiTheme="minorEastAsia" w:hAnsiTheme="minorEastAsia" w:cs="Arial"/>
                <w:b/>
                <w:color w:val="000000"/>
                <w:szCs w:val="24"/>
              </w:rPr>
              <w:t>C类份额赎回费率</w:t>
            </w:r>
          </w:p>
        </w:tc>
      </w:tr>
      <w:tr w:rsidR="008D0810" w14:paraId="15C7234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82688E1" w14:textId="77777777" w:rsidR="008D0810" w:rsidRDefault="00417F9F">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95DE019"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516B2068" w14:textId="77777777" w:rsidR="008D0810" w:rsidRDefault="00417F9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8D0810" w14:paraId="731D732E"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3A0368E"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04599312"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7B6BD6D4" w14:textId="77777777" w:rsidR="008D0810" w:rsidRDefault="00417F9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8D0810" w14:paraId="2556A88C"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4BD8A8C4"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51CF472F"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17EACA11" w14:textId="77777777" w:rsidR="008D0810" w:rsidRDefault="00417F9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8D0810" w14:paraId="0945DEF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088CC972"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1C18D1F0" w14:textId="77777777" w:rsidR="008D0810" w:rsidRDefault="00417F9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7F3AAE83" w14:textId="77777777" w:rsidR="008D0810" w:rsidRDefault="00417F9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58884C14" w14:textId="77777777" w:rsidR="008D0810" w:rsidRDefault="008D0810">
      <w:pPr>
        <w:adjustRightInd w:val="0"/>
        <w:snapToGrid w:val="0"/>
        <w:spacing w:line="360" w:lineRule="auto"/>
        <w:rPr>
          <w:rFonts w:asciiTheme="minorEastAsia" w:hAnsiTheme="minorEastAsia" w:cs="Arial" w:hint="eastAsia"/>
          <w:sz w:val="24"/>
          <w:szCs w:val="24"/>
        </w:rPr>
      </w:pPr>
    </w:p>
    <w:p w14:paraId="7FDB6FA2" w14:textId="77777777" w:rsidR="008D0810" w:rsidRDefault="00417F9F">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205687E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32A93C2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21749E3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1E5C6B3" w14:textId="77777777" w:rsidR="008D0810" w:rsidRDefault="00417F9F">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37046F09" w14:textId="77777777" w:rsidR="008D0810" w:rsidRDefault="00417F9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02473F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5182112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5D86B5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5A99E91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5D8F784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4056D9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3F493B9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77805A4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121580F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5E01255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039CB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3E9F948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0B11277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2C235A0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6341333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575727D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45A1236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51D8D3C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641689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16552C0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C87394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4AAE054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110C76FE"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263DA2B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59872BE"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6476AD3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37DF76F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E48C3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64E5198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411960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B47A2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33BF298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47A9B19B"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540F67A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6E08D53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63E8DE3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7A112FB"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796219D2" w14:textId="77777777" w:rsidR="008D0810" w:rsidRDefault="00417F9F">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43858A3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7513723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611577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6256102E" w14:textId="77777777" w:rsidR="008D0810" w:rsidRDefault="00417F9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1AB79047" w14:textId="77777777" w:rsidR="008D0810" w:rsidRDefault="00417F9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F26A5E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58B8161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933610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331DC44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8007C6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65B0C79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49E4EB34"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6E200873"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当前一估值日基金资产净值50%以上的资产出现无可参考的活跃市场价格且采用估值技术仍导致公允价值存在重大不确定性时，经与基金托管人协商确认后，基金管理人应当采取延缓支付赎回款项或暂停接受基金申购赎回申请的措施。</w:t>
      </w:r>
    </w:p>
    <w:p w14:paraId="5DF10675"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9、法律法规规定或中国证监会认定的其他情形。</w:t>
      </w:r>
    </w:p>
    <w:p w14:paraId="029198E4"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26A302E6" w14:textId="77777777" w:rsidR="008D0810" w:rsidRDefault="00417F9F">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56B3018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2C4D9B70"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1、因不可抗力导致基金管理人不能支付赎回款项。</w:t>
      </w:r>
    </w:p>
    <w:p w14:paraId="3850EEE8"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13E9FE3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12CB60B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1F49742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5FF95CF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7C718D42" w14:textId="77777777" w:rsidR="008D0810" w:rsidRDefault="00417F9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2B450906"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8" w:name="_Toc416264545"/>
      <w:bookmarkStart w:id="189" w:name="_Toc29408"/>
      <w:bookmarkStart w:id="190" w:name="_Toc141703890"/>
      <w:bookmarkStart w:id="191" w:name="_Toc3329"/>
      <w:bookmarkStart w:id="192" w:name="_Toc139991740"/>
      <w:bookmarkStart w:id="193" w:name="_Toc32584"/>
      <w:bookmarkStart w:id="194" w:name="_Toc48649708"/>
      <w:bookmarkStart w:id="195" w:name="_Toc20976"/>
      <w:bookmarkStart w:id="196" w:name="_Toc739"/>
      <w:bookmarkStart w:id="197" w:name="_Toc8791"/>
      <w:bookmarkStart w:id="198" w:name="_Toc17920"/>
      <w:bookmarkStart w:id="199" w:name="_Toc32092"/>
      <w:bookmarkStart w:id="200" w:name="_Toc352229756"/>
      <w:bookmarkStart w:id="201" w:name="_Toc123051456"/>
      <w:bookmarkStart w:id="202" w:name="_Toc79392622"/>
      <w:bookmarkStart w:id="203" w:name="_Toc17198"/>
      <w:bookmarkStart w:id="204" w:name="_Toc21237"/>
      <w:bookmarkStart w:id="205" w:name="_Toc123102457"/>
      <w:bookmarkStart w:id="206" w:name="_Toc5170"/>
      <w:bookmarkStart w:id="207" w:name="_Toc123112238"/>
      <w:bookmarkStart w:id="208" w:name="_Toc98560356"/>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12780253"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20FDE725"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47994ABC"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5ED4F566"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2AD7217F"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1A2CDE01"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464D902C" w14:textId="77777777" w:rsidR="008D0810" w:rsidRDefault="00417F9F">
      <w:pPr>
        <w:spacing w:line="360" w:lineRule="auto"/>
        <w:ind w:firstLineChars="200" w:firstLine="480"/>
        <w:rPr>
          <w:rFonts w:asciiTheme="minorEastAsia" w:hAnsiTheme="minorEastAsia" w:hint="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28A0D096"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3C6ED3D9"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2C1FF02"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676094AA"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7F342CA7"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0FA1ECEB"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520ABCBA"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00F6FEBF"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1E978A54"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6A2810C"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133D881C"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A9B54C4"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740FBEB0"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B135DD3"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103331B"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02CC6948"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6EF93CB"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6005CC21"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597508CB" w14:textId="77777777" w:rsidR="008D0810" w:rsidRDefault="00417F9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79DF48C8" w14:textId="77777777" w:rsidR="008D0810" w:rsidRDefault="00417F9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5F81639"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19793C09" w14:textId="77777777" w:rsidR="008D0810" w:rsidRDefault="00417F9F">
      <w:pPr>
        <w:widowControl/>
        <w:spacing w:line="360" w:lineRule="auto"/>
        <w:ind w:firstLineChars="200" w:firstLine="480"/>
        <w:jc w:val="left"/>
        <w:rPr>
          <w:rFonts w:asciiTheme="minorEastAsia" w:hAnsiTheme="minorEastAsia" w:cs="Arial" w:hint="eastAsia"/>
          <w:szCs w:val="21"/>
        </w:rPr>
        <w:sectPr w:rsidR="008D0810">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B00E901" w14:textId="77777777" w:rsidR="008D0810" w:rsidRDefault="00417F9F">
      <w:pPr>
        <w:pStyle w:val="1"/>
        <w:jc w:val="center"/>
        <w:rPr>
          <w:rFonts w:asciiTheme="minorEastAsia" w:eastAsiaTheme="minorEastAsia" w:hAnsiTheme="minorEastAsia" w:hint="eastAsia"/>
          <w:sz w:val="30"/>
          <w:szCs w:val="30"/>
        </w:rPr>
      </w:pPr>
      <w:bookmarkStart w:id="209" w:name="_Toc146096085"/>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8"/>
      <w:bookmarkEnd w:id="209"/>
    </w:p>
    <w:p w14:paraId="4CF7ACFF"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54B4801D"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2BA3AB55"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40F0AAB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6BD19886"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62D5446A" w14:textId="77777777" w:rsidR="008D0810" w:rsidRDefault="00417F9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AAE7A8A"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029FC66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（一）资产配置策略</w:t>
      </w:r>
    </w:p>
    <w:p w14:paraId="468BB8E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794090E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（二）债券投资策略</w:t>
      </w:r>
    </w:p>
    <w:p w14:paraId="3D04578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本基金债券投资将采取久期策略、收益率曲线策略、骑乘策略、息差策略、</w:t>
      </w:r>
      <w:r>
        <w:rPr>
          <w:rFonts w:asciiTheme="minorEastAsia" w:hAnsiTheme="minorEastAsia" w:hint="eastAsia"/>
          <w:bCs/>
          <w:sz w:val="24"/>
        </w:rPr>
        <w:lastRenderedPageBreak/>
        <w:t>个券选择策略、信用策略、中小企业私募债投资策略、可转债投资策略等积极投资策略，灵活地调整组合的券种搭配，精选个券，力争实现投资组合的保值增值。</w:t>
      </w:r>
    </w:p>
    <w:p w14:paraId="6A9F571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1、久期策略</w:t>
      </w:r>
    </w:p>
    <w:p w14:paraId="7DDE221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久期管理是债券投资的重要考量因素，本基金将采用以“目标久期”为中心、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自上而下的组合久期管理策略。</w:t>
      </w:r>
    </w:p>
    <w:p w14:paraId="4DCFBB4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2、收益率曲线策略</w:t>
      </w:r>
    </w:p>
    <w:p w14:paraId="35507FA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6C3E73A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3、骑乘策略</w:t>
      </w:r>
    </w:p>
    <w:p w14:paraId="32E8824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1CDB7E5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4、息差策略</w:t>
      </w:r>
    </w:p>
    <w:p w14:paraId="2B8ABC8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本基金将采用息差策略，以达到更好地利用杠杆放大债券投资的收益的目的。</w:t>
      </w:r>
    </w:p>
    <w:p w14:paraId="04704B1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5、个券选择策略</w:t>
      </w:r>
    </w:p>
    <w:p w14:paraId="62FE3B8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4E3D7E8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6、信用策略</w:t>
      </w:r>
    </w:p>
    <w:p w14:paraId="282C09D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3C8330B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7、中小企业私募债券策略</w:t>
      </w:r>
    </w:p>
    <w:p w14:paraId="0FEF9BC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7637812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8、可转债投资策略</w:t>
      </w:r>
    </w:p>
    <w:p w14:paraId="4A626B9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3CC56EB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（三）股票投资策略</w:t>
      </w:r>
    </w:p>
    <w:p w14:paraId="7D3568E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05063A8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1、自上而下的行业遴选</w:t>
      </w:r>
    </w:p>
    <w:p w14:paraId="5AFF904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194EC1B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2、自下而上的个股选择</w:t>
      </w:r>
    </w:p>
    <w:p w14:paraId="7D6A861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7AA6D67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6D7DFFA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3、综合研判</w:t>
      </w:r>
    </w:p>
    <w:p w14:paraId="15C65A1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757B719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bookmarkStart w:id="210" w:name="_Toc386095938"/>
      <w:r>
        <w:rPr>
          <w:rFonts w:asciiTheme="minorEastAsia" w:hAnsiTheme="minorEastAsia" w:hint="eastAsia"/>
          <w:bCs/>
          <w:sz w:val="24"/>
        </w:rPr>
        <w:t>（四）金融衍生品投资策略</w:t>
      </w:r>
      <w:bookmarkEnd w:id="210"/>
    </w:p>
    <w:p w14:paraId="1BC14EA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、权证投资策略</w:t>
      </w:r>
    </w:p>
    <w:p w14:paraId="61F40BE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6A797A9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、股指期货投资策略</w:t>
      </w:r>
    </w:p>
    <w:p w14:paraId="51605B8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78A51D9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3、股票期权投资策略</w:t>
      </w:r>
    </w:p>
    <w:p w14:paraId="716E17B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279138F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94392C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4、国债期货投资策略</w:t>
      </w:r>
    </w:p>
    <w:p w14:paraId="0062D2D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6A3EF67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0C8313B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（五）资产支持证券投资策略</w:t>
      </w:r>
    </w:p>
    <w:p w14:paraId="1B976650" w14:textId="77777777" w:rsidR="008D0810" w:rsidRDefault="00417F9F">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A3CCBF4" w14:textId="77777777" w:rsidR="008D0810" w:rsidRDefault="00417F9F">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9690EA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3E6413A8"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2052D898"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254BFA6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6ED27B0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1BC61F5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AAE4DF7"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BF1B707"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73074728"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941AB89"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675E9716"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D70B9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7EE5AA6D"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4BC8055E"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5382C508"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5ACDB499"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096329E"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3D20937E"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25C7162D"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61AA882C"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636F94B"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66068F0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24A9149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0588E9E3"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70815FE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E4A560D"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74D3FED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03E59C2A"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1AA4A125"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38C6D086"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3E3A747B" w14:textId="77777777"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63935751" w14:textId="77777777"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2689A6F4" w14:textId="77777777"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9D6A108"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9EC60D7"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4C4BBCAC"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（20）本基金主动投资于流动性受限资产的市值合计不得超过基金资产净值的15%；</w:t>
      </w:r>
    </w:p>
    <w:p w14:paraId="1091DE8A"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4713159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42314529" w14:textId="77777777" w:rsidR="008D0810" w:rsidRDefault="00417F9F">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77370BE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15D0D79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7EA9B2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4E4E4FC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2D584D4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2F98920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0B26E11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D964BA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39E1422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11B2943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0AED3D4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A5590B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4F9D528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61732E8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CBC636"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67FB3B3"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3C1DA8B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本基金的业绩比较基准为：中证全债指数收益率×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58DDD09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中证全债指数的选样债券的信用类别覆盖全面，期限构成宽泛，适于做基金债券资产的业绩比较基准。沪深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0980A78"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3D680B9"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07151EF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本基金属于混合型基金，其预期风险和预期收益高于货币市场基金、债券基金，低于股票型基金，属于证券投资基金中中高风险、中高预期收益的品种。</w:t>
      </w:r>
    </w:p>
    <w:p w14:paraId="5051909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七、基金管理人代表基金行使股东和债权人权利的处理原则及方法</w:t>
      </w:r>
    </w:p>
    <w:p w14:paraId="6425E1A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1C4E9ED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0F31139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68C8A3F9"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744782C9"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八、基金投资组合报告</w:t>
      </w:r>
    </w:p>
    <w:p w14:paraId="76715878"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已复核了本报告中的财务指标、净值表现和投资组合报告等内容，保证复核内容不存在虚假记载、误导性陈述或者重大遗漏。</w:t>
      </w:r>
    </w:p>
    <w:p w14:paraId="755BF2BE" w14:textId="24B50364"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w:t>
      </w:r>
      <w:r w:rsidR="00C83E86" w:rsidRPr="00987B6D">
        <w:rPr>
          <w:rFonts w:asciiTheme="minorEastAsia" w:hAnsiTheme="minorEastAsia" w:hint="eastAsia"/>
          <w:bCs/>
          <w:sz w:val="24"/>
          <w:szCs w:val="24"/>
        </w:rPr>
        <w:t>取自本基金2025年第2季度报告</w:t>
      </w:r>
      <w:r>
        <w:rPr>
          <w:rFonts w:asciiTheme="minorEastAsia" w:hAnsiTheme="minorEastAsia" w:cs="Times New Roman"/>
          <w:bCs/>
          <w:sz w:val="24"/>
          <w:szCs w:val="24"/>
        </w:rPr>
        <w:t>，本报告中所列财务数据未经审计。</w:t>
      </w:r>
    </w:p>
    <w:p w14:paraId="637C6CAA" w14:textId="77777777" w:rsidR="008D0810" w:rsidRDefault="00417F9F">
      <w:pPr>
        <w:autoSpaceDE w:val="0"/>
        <w:autoSpaceDN w:val="0"/>
        <w:spacing w:line="360" w:lineRule="auto"/>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8D0810" w14:paraId="24C42F48"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3761A986" w14:textId="77777777" w:rsidR="008D0810" w:rsidRDefault="00417F9F">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tcPr>
          <w:p w14:paraId="38B14582" w14:textId="77777777" w:rsidR="008D0810" w:rsidRDefault="00417F9F">
            <w:pPr>
              <w:pStyle w:val="biaogecenter"/>
              <w:wordWrap w:val="0"/>
              <w:rPr>
                <w:rFonts w:hint="eastAsia"/>
              </w:rPr>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tcPr>
          <w:p w14:paraId="03C45F2D" w14:textId="77777777" w:rsidR="008D0810" w:rsidRDefault="00417F9F">
            <w:pPr>
              <w:pStyle w:val="biaogecenter"/>
              <w:wordWrap w:val="0"/>
              <w:rPr>
                <w:rFonts w:hint="eastAsia"/>
              </w:rPr>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14:paraId="1F83F7BF" w14:textId="77777777" w:rsidR="008D0810" w:rsidRDefault="00417F9F">
            <w:pPr>
              <w:pStyle w:val="biaogecenter"/>
              <w:wordWrap w:val="0"/>
              <w:rPr>
                <w:rFonts w:hint="eastAsia"/>
              </w:rPr>
            </w:pPr>
            <w:r>
              <w:rPr>
                <w:rFonts w:hAnsi="等线" w:hint="eastAsia"/>
                <w:color w:val="000000"/>
              </w:rPr>
              <w:t>占基金总资产的比例（%）</w:t>
            </w:r>
          </w:p>
        </w:tc>
      </w:tr>
      <w:tr w:rsidR="005B7208" w14:paraId="0C69A6E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556AF48" w14:textId="77777777" w:rsidR="005B7208" w:rsidRDefault="005B7208" w:rsidP="005B7208">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tcPr>
          <w:p w14:paraId="398F13A1" w14:textId="77777777" w:rsidR="005B7208" w:rsidRDefault="005B7208" w:rsidP="005B7208">
            <w:pPr>
              <w:pStyle w:val="biaogeleft"/>
              <w:wordWrap w:val="0"/>
              <w:rPr>
                <w:rFonts w:hint="eastAsia"/>
              </w:rPr>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40F0E35A" w14:textId="4F4FD33E" w:rsidR="005B7208" w:rsidRDefault="005B7208" w:rsidP="005B7208">
            <w:pPr>
              <w:pStyle w:val="biaogeright"/>
              <w:wordWrap w:val="0"/>
              <w:rPr>
                <w:rFonts w:hint="eastAsia"/>
              </w:rPr>
            </w:pPr>
            <w:r w:rsidRPr="00206ABF">
              <w:rPr>
                <w:rFonts w:hAnsi="等线"/>
                <w:color w:val="000000"/>
              </w:rPr>
              <w:t>5,500,745.20</w:t>
            </w:r>
          </w:p>
        </w:tc>
        <w:tc>
          <w:tcPr>
            <w:tcW w:w="2494" w:type="dxa"/>
            <w:tcBorders>
              <w:top w:val="single" w:sz="8" w:space="0" w:color="000000"/>
              <w:left w:val="single" w:sz="8" w:space="0" w:color="000000"/>
              <w:bottom w:val="single" w:sz="8" w:space="0" w:color="000000"/>
              <w:right w:val="single" w:sz="8" w:space="0" w:color="000000"/>
            </w:tcBorders>
            <w:vAlign w:val="center"/>
          </w:tcPr>
          <w:p w14:paraId="744EC1B1" w14:textId="4467C90A" w:rsidR="005B7208" w:rsidRDefault="005B7208" w:rsidP="005B7208">
            <w:pPr>
              <w:pStyle w:val="biaogeright"/>
              <w:wordWrap w:val="0"/>
              <w:rPr>
                <w:rFonts w:hint="eastAsia"/>
              </w:rPr>
            </w:pPr>
            <w:r w:rsidRPr="00206ABF">
              <w:rPr>
                <w:rFonts w:hAnsi="等线"/>
                <w:color w:val="000000"/>
              </w:rPr>
              <w:t>81.94</w:t>
            </w:r>
          </w:p>
        </w:tc>
      </w:tr>
      <w:tr w:rsidR="005B7208" w14:paraId="0BE5B22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C33B7B7" w14:textId="77777777" w:rsidR="005B7208" w:rsidRDefault="005B7208" w:rsidP="005B7208">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771BC73C" w14:textId="77777777" w:rsidR="005B7208" w:rsidRDefault="005B7208" w:rsidP="005B7208">
            <w:pPr>
              <w:pStyle w:val="biaogeleft"/>
              <w:wordWrap w:val="0"/>
              <w:rPr>
                <w:rFonts w:hint="eastAsia"/>
              </w:rPr>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tcPr>
          <w:p w14:paraId="7FB74E3E" w14:textId="5C986477" w:rsidR="005B7208" w:rsidRDefault="005B7208" w:rsidP="005B7208">
            <w:pPr>
              <w:pStyle w:val="biaogeright"/>
              <w:wordWrap w:val="0"/>
              <w:rPr>
                <w:rFonts w:hint="eastAsia"/>
              </w:rPr>
            </w:pPr>
            <w:r w:rsidRPr="00206ABF">
              <w:rPr>
                <w:rFonts w:hAnsi="等线"/>
                <w:color w:val="000000"/>
              </w:rPr>
              <w:t>5,500,745.20</w:t>
            </w:r>
          </w:p>
        </w:tc>
        <w:tc>
          <w:tcPr>
            <w:tcW w:w="2494" w:type="dxa"/>
            <w:tcBorders>
              <w:top w:val="single" w:sz="8" w:space="0" w:color="000000"/>
              <w:left w:val="single" w:sz="8" w:space="0" w:color="000000"/>
              <w:bottom w:val="single" w:sz="8" w:space="0" w:color="000000"/>
              <w:right w:val="single" w:sz="8" w:space="0" w:color="000000"/>
            </w:tcBorders>
            <w:vAlign w:val="center"/>
          </w:tcPr>
          <w:p w14:paraId="36418DB2" w14:textId="5D530F48" w:rsidR="005B7208" w:rsidRDefault="005B7208" w:rsidP="005B7208">
            <w:pPr>
              <w:pStyle w:val="biaogeright"/>
              <w:wordWrap w:val="0"/>
              <w:rPr>
                <w:rFonts w:hint="eastAsia"/>
              </w:rPr>
            </w:pPr>
            <w:r w:rsidRPr="00206ABF">
              <w:rPr>
                <w:rFonts w:hAnsi="等线"/>
                <w:color w:val="000000"/>
              </w:rPr>
              <w:t>81.94</w:t>
            </w:r>
          </w:p>
        </w:tc>
      </w:tr>
      <w:tr w:rsidR="005B7208" w14:paraId="2D44761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F0E08F" w14:textId="77777777" w:rsidR="005B7208" w:rsidRDefault="005B7208" w:rsidP="005B7208">
            <w:pPr>
              <w:pStyle w:val="biaogecenter"/>
              <w:wordWrap w:val="0"/>
              <w:rPr>
                <w:rFonts w:hint="eastAsia"/>
              </w:rPr>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tcPr>
          <w:p w14:paraId="04E385A0" w14:textId="77777777" w:rsidR="005B7208" w:rsidRDefault="005B7208" w:rsidP="005B7208">
            <w:pPr>
              <w:pStyle w:val="biaogeleft"/>
              <w:wordWrap w:val="0"/>
              <w:rPr>
                <w:rFonts w:hint="eastAsia"/>
              </w:rPr>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2789FD07" w14:textId="567E2621" w:rsidR="005B7208" w:rsidRDefault="005B7208" w:rsidP="005B7208">
            <w:pPr>
              <w:pStyle w:val="biaogeright"/>
              <w:wordWrap w:val="0"/>
              <w:rPr>
                <w:rFonts w:hint="eastAsia"/>
              </w:rPr>
            </w:pPr>
            <w:r w:rsidRPr="00206ABF">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73BCCE55" w14:textId="4089AC2F" w:rsidR="005B7208" w:rsidRDefault="005B7208" w:rsidP="005B7208">
            <w:pPr>
              <w:pStyle w:val="biaogeright"/>
              <w:wordWrap w:val="0"/>
              <w:rPr>
                <w:rFonts w:hint="eastAsia"/>
              </w:rPr>
            </w:pPr>
            <w:r w:rsidRPr="00206ABF">
              <w:rPr>
                <w:rFonts w:hAnsi="等线"/>
                <w:color w:val="000000"/>
              </w:rPr>
              <w:t>-</w:t>
            </w:r>
          </w:p>
        </w:tc>
      </w:tr>
      <w:tr w:rsidR="005B7208" w14:paraId="7C8D468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72F05A" w14:textId="77777777" w:rsidR="005B7208" w:rsidRDefault="005B7208" w:rsidP="005B7208">
            <w:pPr>
              <w:pStyle w:val="biaogecenter"/>
              <w:wordWrap w:val="0"/>
              <w:rPr>
                <w:rFonts w:hint="eastAsia"/>
              </w:rPr>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tcPr>
          <w:p w14:paraId="727B75AC" w14:textId="77777777" w:rsidR="005B7208" w:rsidRDefault="005B7208" w:rsidP="005B7208">
            <w:pPr>
              <w:pStyle w:val="biaogeleft"/>
              <w:wordWrap w:val="0"/>
              <w:rPr>
                <w:rFonts w:hint="eastAsia"/>
              </w:rPr>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055E448B" w14:textId="7C9F6C00" w:rsidR="005B7208" w:rsidRDefault="005B7208" w:rsidP="005B7208">
            <w:pPr>
              <w:pStyle w:val="biaogeright"/>
              <w:wordWrap w:val="0"/>
              <w:rPr>
                <w:rFonts w:hint="eastAsia"/>
              </w:rPr>
            </w:pPr>
            <w:r w:rsidRPr="00206ABF">
              <w:rPr>
                <w:rFonts w:hAnsi="等线"/>
                <w:color w:val="000000"/>
              </w:rPr>
              <w:t>403,589.26</w:t>
            </w:r>
          </w:p>
        </w:tc>
        <w:tc>
          <w:tcPr>
            <w:tcW w:w="2494" w:type="dxa"/>
            <w:tcBorders>
              <w:top w:val="single" w:sz="8" w:space="0" w:color="000000"/>
              <w:left w:val="single" w:sz="8" w:space="0" w:color="000000"/>
              <w:bottom w:val="single" w:sz="8" w:space="0" w:color="000000"/>
              <w:right w:val="single" w:sz="8" w:space="0" w:color="000000"/>
            </w:tcBorders>
            <w:vAlign w:val="center"/>
          </w:tcPr>
          <w:p w14:paraId="0C78421F" w14:textId="0AFF2F8B" w:rsidR="005B7208" w:rsidRDefault="005B7208" w:rsidP="005B7208">
            <w:pPr>
              <w:pStyle w:val="biaogeright"/>
              <w:wordWrap w:val="0"/>
              <w:rPr>
                <w:rFonts w:hint="eastAsia"/>
              </w:rPr>
            </w:pPr>
            <w:r w:rsidRPr="00206ABF">
              <w:rPr>
                <w:rFonts w:hAnsi="等线"/>
                <w:color w:val="000000"/>
              </w:rPr>
              <w:t>6.01</w:t>
            </w:r>
          </w:p>
        </w:tc>
      </w:tr>
      <w:tr w:rsidR="005B7208" w14:paraId="189A106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2D76369" w14:textId="77777777" w:rsidR="005B7208" w:rsidRDefault="005B7208" w:rsidP="005B7208">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2C0DA02B" w14:textId="77777777" w:rsidR="005B7208" w:rsidRDefault="005B7208" w:rsidP="005B7208">
            <w:pPr>
              <w:pStyle w:val="biaogeleft"/>
              <w:wordWrap w:val="0"/>
              <w:rPr>
                <w:rFonts w:hint="eastAsia"/>
              </w:rPr>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tcPr>
          <w:p w14:paraId="21C6501D" w14:textId="7ACF9E91" w:rsidR="005B7208" w:rsidRDefault="005B7208" w:rsidP="005B7208">
            <w:pPr>
              <w:pStyle w:val="biaogeright"/>
              <w:wordWrap w:val="0"/>
              <w:rPr>
                <w:rFonts w:hint="eastAsia"/>
              </w:rPr>
            </w:pPr>
            <w:r w:rsidRPr="00206ABF">
              <w:rPr>
                <w:rFonts w:hAnsi="等线"/>
                <w:color w:val="000000"/>
              </w:rPr>
              <w:t>403,589.26</w:t>
            </w:r>
          </w:p>
        </w:tc>
        <w:tc>
          <w:tcPr>
            <w:tcW w:w="2494" w:type="dxa"/>
            <w:tcBorders>
              <w:top w:val="single" w:sz="8" w:space="0" w:color="000000"/>
              <w:left w:val="single" w:sz="8" w:space="0" w:color="000000"/>
              <w:bottom w:val="single" w:sz="8" w:space="0" w:color="000000"/>
              <w:right w:val="single" w:sz="8" w:space="0" w:color="000000"/>
            </w:tcBorders>
            <w:vAlign w:val="center"/>
          </w:tcPr>
          <w:p w14:paraId="4FFC2EBE" w14:textId="0A030DED" w:rsidR="005B7208" w:rsidRDefault="005B7208" w:rsidP="005B7208">
            <w:pPr>
              <w:pStyle w:val="biaogeright"/>
              <w:wordWrap w:val="0"/>
              <w:rPr>
                <w:rFonts w:hint="eastAsia"/>
              </w:rPr>
            </w:pPr>
            <w:r w:rsidRPr="00206ABF">
              <w:rPr>
                <w:rFonts w:hAnsi="等线"/>
                <w:color w:val="000000"/>
              </w:rPr>
              <w:t>6.01</w:t>
            </w:r>
          </w:p>
        </w:tc>
      </w:tr>
      <w:tr w:rsidR="005B7208" w14:paraId="7606DB2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752AE5" w14:textId="77777777" w:rsidR="005B7208" w:rsidRDefault="005B7208" w:rsidP="005B7208">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4EFB725A" w14:textId="77777777" w:rsidR="005B7208" w:rsidRDefault="005B7208" w:rsidP="005B7208">
            <w:pPr>
              <w:pStyle w:val="biaogeleft"/>
              <w:wordWrap w:val="0"/>
              <w:ind w:left="750"/>
              <w:rPr>
                <w:rFonts w:hint="eastAsia"/>
              </w:rPr>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tcPr>
          <w:p w14:paraId="1F5EB466" w14:textId="3239EA48" w:rsidR="005B7208" w:rsidRDefault="005B7208" w:rsidP="005B7208">
            <w:pPr>
              <w:pStyle w:val="biaogeright"/>
              <w:wordWrap w:val="0"/>
              <w:rPr>
                <w:rFonts w:hint="eastAsia"/>
              </w:rPr>
            </w:pPr>
            <w:r w:rsidRPr="00206ABF">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0F3B6E65" w14:textId="72DD93EF" w:rsidR="005B7208" w:rsidRDefault="005B7208" w:rsidP="005B7208">
            <w:pPr>
              <w:pStyle w:val="biaogeright"/>
              <w:wordWrap w:val="0"/>
              <w:rPr>
                <w:rFonts w:hint="eastAsia"/>
              </w:rPr>
            </w:pPr>
            <w:r w:rsidRPr="00206ABF">
              <w:rPr>
                <w:rFonts w:hAnsi="等线"/>
                <w:color w:val="000000"/>
              </w:rPr>
              <w:t>-</w:t>
            </w:r>
          </w:p>
        </w:tc>
      </w:tr>
      <w:tr w:rsidR="005B7208" w14:paraId="68589AF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12456F" w14:textId="77777777" w:rsidR="005B7208" w:rsidRDefault="005B7208" w:rsidP="005B7208">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tcPr>
          <w:p w14:paraId="57FE53EB" w14:textId="77777777" w:rsidR="005B7208" w:rsidRDefault="005B7208" w:rsidP="005B7208">
            <w:pPr>
              <w:pStyle w:val="biaogeleft"/>
              <w:wordWrap w:val="0"/>
              <w:rPr>
                <w:rFonts w:hint="eastAsia"/>
              </w:rPr>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52E638BC" w14:textId="3981387A" w:rsidR="005B7208" w:rsidRDefault="005B7208" w:rsidP="005B7208">
            <w:pPr>
              <w:pStyle w:val="biaogeright"/>
              <w:wordWrap w:val="0"/>
              <w:rPr>
                <w:rFonts w:hint="eastAsia"/>
              </w:rPr>
            </w:pPr>
            <w:r w:rsidRPr="00206ABF">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651B6E05" w14:textId="2D607584" w:rsidR="005B7208" w:rsidRDefault="005B7208" w:rsidP="005B7208">
            <w:pPr>
              <w:pStyle w:val="biaogeright"/>
              <w:wordWrap w:val="0"/>
              <w:rPr>
                <w:rFonts w:hint="eastAsia"/>
              </w:rPr>
            </w:pPr>
            <w:r w:rsidRPr="00206ABF">
              <w:rPr>
                <w:rFonts w:hAnsi="等线"/>
                <w:color w:val="000000"/>
              </w:rPr>
              <w:t>-</w:t>
            </w:r>
          </w:p>
        </w:tc>
      </w:tr>
      <w:tr w:rsidR="005B7208" w14:paraId="0159CA6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A3DFE2D" w14:textId="77777777" w:rsidR="005B7208" w:rsidRDefault="005B7208" w:rsidP="005B7208">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tcPr>
          <w:p w14:paraId="274CD546" w14:textId="77777777" w:rsidR="005B7208" w:rsidRDefault="005B7208" w:rsidP="005B7208">
            <w:pPr>
              <w:pStyle w:val="biaogeleft"/>
              <w:wordWrap w:val="0"/>
              <w:rPr>
                <w:rFonts w:hint="eastAsia"/>
              </w:rPr>
            </w:pPr>
            <w:r>
              <w:rPr>
                <w:rFonts w:hint="eastAsia"/>
              </w:rPr>
              <w:t>金融衍生品投资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499E9880" w14:textId="68891095" w:rsidR="005B7208" w:rsidRDefault="005B7208" w:rsidP="005B7208">
            <w:pPr>
              <w:pStyle w:val="biaogeright"/>
              <w:wordWrap w:val="0"/>
              <w:rPr>
                <w:rFonts w:hint="eastAsia"/>
              </w:rPr>
            </w:pPr>
            <w:r w:rsidRPr="00206ABF">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644D3792" w14:textId="6D4E16D7" w:rsidR="005B7208" w:rsidRDefault="005B7208" w:rsidP="005B7208">
            <w:pPr>
              <w:pStyle w:val="biaogeright"/>
              <w:wordWrap w:val="0"/>
              <w:rPr>
                <w:rFonts w:hint="eastAsia"/>
              </w:rPr>
            </w:pPr>
            <w:r w:rsidRPr="00206ABF">
              <w:rPr>
                <w:rFonts w:hAnsi="等线"/>
                <w:color w:val="000000"/>
              </w:rPr>
              <w:t>-</w:t>
            </w:r>
          </w:p>
        </w:tc>
      </w:tr>
      <w:tr w:rsidR="005B7208" w14:paraId="00FE4BB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B6E6F9" w14:textId="77777777" w:rsidR="005B7208" w:rsidRDefault="005B7208" w:rsidP="005B7208">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tcPr>
          <w:p w14:paraId="3FC7CD94" w14:textId="77777777" w:rsidR="005B7208" w:rsidRDefault="005B7208" w:rsidP="005B7208">
            <w:pPr>
              <w:pStyle w:val="biaogeleft"/>
              <w:wordWrap w:val="0"/>
              <w:rPr>
                <w:rFonts w:hint="eastAsia"/>
              </w:rPr>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6F26742A" w14:textId="67CF39D4" w:rsidR="005B7208" w:rsidRDefault="005B7208" w:rsidP="005B7208">
            <w:pPr>
              <w:pStyle w:val="biaogeright"/>
              <w:wordWrap w:val="0"/>
              <w:rPr>
                <w:rFonts w:hint="eastAsia"/>
              </w:rPr>
            </w:pPr>
            <w:r w:rsidRPr="00206ABF">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31436173" w14:textId="13EA6072" w:rsidR="005B7208" w:rsidRDefault="005B7208" w:rsidP="005B7208">
            <w:pPr>
              <w:pStyle w:val="biaogeright"/>
              <w:wordWrap w:val="0"/>
              <w:rPr>
                <w:rFonts w:hint="eastAsia"/>
              </w:rPr>
            </w:pPr>
            <w:r w:rsidRPr="00206ABF">
              <w:rPr>
                <w:rFonts w:hAnsi="等线"/>
                <w:color w:val="000000"/>
              </w:rPr>
              <w:t>-</w:t>
            </w:r>
          </w:p>
        </w:tc>
      </w:tr>
      <w:tr w:rsidR="005B7208" w14:paraId="3636970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ABD4F8" w14:textId="77777777" w:rsidR="005B7208" w:rsidRDefault="005B7208" w:rsidP="005B7208">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791602FC" w14:textId="77777777" w:rsidR="005B7208" w:rsidRDefault="005B7208" w:rsidP="005B7208">
            <w:pPr>
              <w:pStyle w:val="biaogeleft"/>
              <w:wordWrap w:val="0"/>
              <w:rPr>
                <w:rFonts w:hint="eastAsia"/>
              </w:rPr>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5C7D817F" w14:textId="2182B482" w:rsidR="005B7208" w:rsidRDefault="005B7208" w:rsidP="005B7208">
            <w:pPr>
              <w:pStyle w:val="biaogeright"/>
              <w:wordWrap w:val="0"/>
              <w:rPr>
                <w:rFonts w:hint="eastAsia"/>
              </w:rPr>
            </w:pPr>
            <w:r w:rsidRPr="00206ABF">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55DDBA08" w14:textId="2E539075" w:rsidR="005B7208" w:rsidRDefault="005B7208" w:rsidP="005B7208">
            <w:pPr>
              <w:pStyle w:val="biaogeright"/>
              <w:wordWrap w:val="0"/>
              <w:rPr>
                <w:rFonts w:hint="eastAsia"/>
              </w:rPr>
            </w:pPr>
            <w:r w:rsidRPr="00206ABF">
              <w:rPr>
                <w:rFonts w:hAnsi="等线"/>
                <w:color w:val="000000"/>
              </w:rPr>
              <w:t>-</w:t>
            </w:r>
          </w:p>
        </w:tc>
      </w:tr>
      <w:tr w:rsidR="005B7208" w14:paraId="6E2E447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74CC461" w14:textId="77777777" w:rsidR="005B7208" w:rsidRDefault="005B7208" w:rsidP="005B7208">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tcPr>
          <w:p w14:paraId="0716991B" w14:textId="77777777" w:rsidR="005B7208" w:rsidRDefault="005B7208" w:rsidP="005B7208">
            <w:pPr>
              <w:pStyle w:val="biaogeleft"/>
              <w:wordWrap w:val="0"/>
              <w:rPr>
                <w:rFonts w:hint="eastAsia"/>
              </w:rPr>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tcPr>
          <w:p w14:paraId="08FC4873" w14:textId="56D998F1" w:rsidR="005B7208" w:rsidRDefault="005B7208" w:rsidP="005B7208">
            <w:pPr>
              <w:pStyle w:val="biaogeright"/>
              <w:wordWrap w:val="0"/>
              <w:rPr>
                <w:rFonts w:hint="eastAsia"/>
              </w:rPr>
            </w:pPr>
            <w:r w:rsidRPr="00206ABF">
              <w:rPr>
                <w:rFonts w:hAnsi="等线"/>
                <w:color w:val="000000"/>
              </w:rPr>
              <w:t>393,833.75</w:t>
            </w:r>
          </w:p>
        </w:tc>
        <w:tc>
          <w:tcPr>
            <w:tcW w:w="2494" w:type="dxa"/>
            <w:tcBorders>
              <w:top w:val="single" w:sz="8" w:space="0" w:color="000000"/>
              <w:left w:val="single" w:sz="8" w:space="0" w:color="000000"/>
              <w:bottom w:val="single" w:sz="8" w:space="0" w:color="000000"/>
              <w:right w:val="single" w:sz="8" w:space="0" w:color="000000"/>
            </w:tcBorders>
            <w:vAlign w:val="center"/>
          </w:tcPr>
          <w:p w14:paraId="51741AA0" w14:textId="74CD377B" w:rsidR="005B7208" w:rsidRDefault="005B7208" w:rsidP="005B7208">
            <w:pPr>
              <w:pStyle w:val="biaogeright"/>
              <w:wordWrap w:val="0"/>
              <w:rPr>
                <w:rFonts w:hint="eastAsia"/>
              </w:rPr>
            </w:pPr>
            <w:r w:rsidRPr="00206ABF">
              <w:rPr>
                <w:rFonts w:hAnsi="等线"/>
                <w:color w:val="000000"/>
              </w:rPr>
              <w:t>5.87</w:t>
            </w:r>
          </w:p>
        </w:tc>
      </w:tr>
      <w:tr w:rsidR="005B7208" w14:paraId="7F254D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0568FE" w14:textId="77777777" w:rsidR="005B7208" w:rsidRDefault="005B7208" w:rsidP="005B7208">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tcPr>
          <w:p w14:paraId="6A999124" w14:textId="77777777" w:rsidR="005B7208" w:rsidRDefault="005B7208" w:rsidP="005B7208">
            <w:pPr>
              <w:pStyle w:val="biaogeleft"/>
              <w:wordWrap w:val="0"/>
              <w:rPr>
                <w:rFonts w:hint="eastAsia"/>
              </w:rPr>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20620D1D" w14:textId="7FD65307" w:rsidR="005B7208" w:rsidRDefault="005B7208" w:rsidP="005B7208">
            <w:pPr>
              <w:pStyle w:val="biaogeright"/>
              <w:wordWrap w:val="0"/>
              <w:rPr>
                <w:rFonts w:hint="eastAsia"/>
              </w:rPr>
            </w:pPr>
            <w:r w:rsidRPr="00206ABF">
              <w:rPr>
                <w:rFonts w:hAnsi="等线"/>
                <w:color w:val="000000"/>
              </w:rPr>
              <w:t>414,602.18</w:t>
            </w:r>
          </w:p>
        </w:tc>
        <w:tc>
          <w:tcPr>
            <w:tcW w:w="2494" w:type="dxa"/>
            <w:tcBorders>
              <w:top w:val="single" w:sz="8" w:space="0" w:color="000000"/>
              <w:left w:val="single" w:sz="8" w:space="0" w:color="000000"/>
              <w:bottom w:val="single" w:sz="8" w:space="0" w:color="000000"/>
              <w:right w:val="single" w:sz="8" w:space="0" w:color="000000"/>
            </w:tcBorders>
            <w:vAlign w:val="center"/>
          </w:tcPr>
          <w:p w14:paraId="6C9DDC9C" w14:textId="5C3C42BB" w:rsidR="005B7208" w:rsidRDefault="005B7208" w:rsidP="005B7208">
            <w:pPr>
              <w:pStyle w:val="biaogeright"/>
              <w:wordWrap w:val="0"/>
              <w:rPr>
                <w:rFonts w:hint="eastAsia"/>
              </w:rPr>
            </w:pPr>
            <w:r w:rsidRPr="00206ABF">
              <w:rPr>
                <w:rFonts w:hAnsi="等线"/>
                <w:color w:val="000000"/>
              </w:rPr>
              <w:t>6.18</w:t>
            </w:r>
          </w:p>
        </w:tc>
      </w:tr>
      <w:tr w:rsidR="005B7208" w14:paraId="32524D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08BEDD" w14:textId="77777777" w:rsidR="005B7208" w:rsidRDefault="005B7208" w:rsidP="005B7208">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tcPr>
          <w:p w14:paraId="4B8EFC7A" w14:textId="77777777" w:rsidR="005B7208" w:rsidRDefault="005B7208" w:rsidP="005B7208">
            <w:pPr>
              <w:pStyle w:val="biaogeleft"/>
              <w:wordWrap w:val="0"/>
              <w:rPr>
                <w:rFonts w:hint="eastAsia"/>
              </w:rPr>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tcPr>
          <w:p w14:paraId="4778A624" w14:textId="0ED8DE46" w:rsidR="005B7208" w:rsidRDefault="005B7208" w:rsidP="005B7208">
            <w:pPr>
              <w:pStyle w:val="biaogeright"/>
              <w:wordWrap w:val="0"/>
              <w:rPr>
                <w:rFonts w:hint="eastAsia"/>
              </w:rPr>
            </w:pPr>
            <w:r w:rsidRPr="00206ABF">
              <w:rPr>
                <w:rFonts w:hAnsi="等线"/>
                <w:color w:val="000000"/>
              </w:rPr>
              <w:t>6,712,770.39</w:t>
            </w:r>
          </w:p>
        </w:tc>
        <w:tc>
          <w:tcPr>
            <w:tcW w:w="2494" w:type="dxa"/>
            <w:tcBorders>
              <w:top w:val="single" w:sz="8" w:space="0" w:color="000000"/>
              <w:left w:val="single" w:sz="8" w:space="0" w:color="000000"/>
              <w:bottom w:val="single" w:sz="8" w:space="0" w:color="000000"/>
              <w:right w:val="single" w:sz="8" w:space="0" w:color="000000"/>
            </w:tcBorders>
            <w:vAlign w:val="center"/>
          </w:tcPr>
          <w:p w14:paraId="7A8A9A67" w14:textId="30D3CAD8" w:rsidR="005B7208" w:rsidRDefault="005B7208" w:rsidP="005B7208">
            <w:pPr>
              <w:pStyle w:val="biaogeright"/>
              <w:wordWrap w:val="0"/>
              <w:rPr>
                <w:rFonts w:hint="eastAsia"/>
              </w:rPr>
            </w:pPr>
            <w:r w:rsidRPr="00206ABF">
              <w:rPr>
                <w:rFonts w:hAnsi="等线"/>
                <w:color w:val="000000"/>
              </w:rPr>
              <w:t>100.00</w:t>
            </w:r>
          </w:p>
        </w:tc>
      </w:tr>
    </w:tbl>
    <w:p w14:paraId="1A7E24DB"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7458B86D"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2、报告期末按行业分类的股票投资组合</w:t>
      </w:r>
    </w:p>
    <w:p w14:paraId="0AA829C2" w14:textId="77777777" w:rsidR="008D0810" w:rsidRDefault="00417F9F">
      <w:pPr>
        <w:autoSpaceDE w:val="0"/>
        <w:autoSpaceDN w:val="0"/>
        <w:spacing w:line="360" w:lineRule="auto"/>
        <w:ind w:firstLineChars="150" w:firstLine="36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8D0810" w14:paraId="2C15A236"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7056AA33" w14:textId="77777777" w:rsidR="008D0810" w:rsidRDefault="00417F9F">
            <w:pPr>
              <w:pStyle w:val="biaogecenter"/>
              <w:wordWrap w:val="0"/>
              <w:rPr>
                <w:rFonts w:hint="eastAsia"/>
              </w:rPr>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tcPr>
          <w:p w14:paraId="47CC659B" w14:textId="77777777" w:rsidR="008D0810" w:rsidRDefault="00417F9F">
            <w:pPr>
              <w:pStyle w:val="biaogecenter"/>
              <w:wordWrap w:val="0"/>
              <w:rPr>
                <w:rFonts w:hint="eastAsia"/>
              </w:rPr>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tcPr>
          <w:p w14:paraId="0762C78D" w14:textId="77777777" w:rsidR="008D0810" w:rsidRDefault="00417F9F">
            <w:pPr>
              <w:pStyle w:val="biaogecenter"/>
              <w:wordWrap w:val="0"/>
              <w:rPr>
                <w:rFonts w:hint="eastAsia"/>
              </w:rPr>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738E1056" w14:textId="77777777" w:rsidR="008D0810" w:rsidRDefault="00417F9F">
            <w:pPr>
              <w:pStyle w:val="biaogecenter"/>
              <w:wordWrap w:val="0"/>
              <w:rPr>
                <w:rFonts w:hint="eastAsia"/>
              </w:rPr>
            </w:pPr>
            <w:r>
              <w:rPr>
                <w:rFonts w:hAnsi="等线" w:hint="eastAsia"/>
                <w:color w:val="000000"/>
              </w:rPr>
              <w:t>占基金资产净值比例（%）</w:t>
            </w:r>
          </w:p>
        </w:tc>
      </w:tr>
      <w:tr w:rsidR="005B7208" w14:paraId="017793E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4FCCBE8" w14:textId="77777777" w:rsidR="005B7208" w:rsidRDefault="005B7208" w:rsidP="005B7208">
            <w:pPr>
              <w:pStyle w:val="biaogecenter"/>
              <w:wordWrap w:val="0"/>
              <w:rPr>
                <w:rFonts w:hint="eastAsia"/>
              </w:rPr>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tcPr>
          <w:p w14:paraId="01275867" w14:textId="77777777" w:rsidR="005B7208" w:rsidRDefault="005B7208" w:rsidP="005B7208">
            <w:pPr>
              <w:pStyle w:val="biaogeleft"/>
              <w:wordWrap w:val="0"/>
              <w:rPr>
                <w:rFonts w:hint="eastAsia"/>
              </w:rPr>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5D772814" w14:textId="481988C6"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3F497E1A" w14:textId="16A0F8A3" w:rsidR="005B7208" w:rsidRDefault="005B7208" w:rsidP="005B7208">
            <w:pPr>
              <w:pStyle w:val="biaogeright"/>
              <w:wordWrap w:val="0"/>
              <w:rPr>
                <w:rFonts w:hint="eastAsia"/>
              </w:rPr>
            </w:pPr>
            <w:r w:rsidRPr="00206ABF">
              <w:rPr>
                <w:rFonts w:hAnsi="等线"/>
                <w:color w:val="000000"/>
              </w:rPr>
              <w:t>-</w:t>
            </w:r>
          </w:p>
        </w:tc>
      </w:tr>
      <w:tr w:rsidR="005B7208" w14:paraId="2D7C359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37199F9" w14:textId="77777777" w:rsidR="005B7208" w:rsidRDefault="005B7208" w:rsidP="005B7208">
            <w:pPr>
              <w:pStyle w:val="biaogecenter"/>
              <w:wordWrap w:val="0"/>
              <w:rPr>
                <w:rFonts w:hint="eastAsia"/>
              </w:rPr>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tcPr>
          <w:p w14:paraId="182CC0E0" w14:textId="77777777" w:rsidR="005B7208" w:rsidRDefault="005B7208" w:rsidP="005B7208">
            <w:pPr>
              <w:pStyle w:val="biaogeleft"/>
              <w:wordWrap w:val="0"/>
              <w:rPr>
                <w:rFonts w:hint="eastAsia"/>
              </w:rPr>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7F00108" w14:textId="386F3D7D" w:rsidR="005B7208" w:rsidRDefault="005B7208" w:rsidP="005B7208">
            <w:pPr>
              <w:pStyle w:val="biaogeright"/>
              <w:wordWrap w:val="0"/>
              <w:rPr>
                <w:rFonts w:hint="eastAsia"/>
              </w:rPr>
            </w:pPr>
            <w:r w:rsidRPr="00206ABF">
              <w:rPr>
                <w:rFonts w:hAnsi="等线"/>
                <w:color w:val="000000"/>
              </w:rPr>
              <w:t>374,099.00</w:t>
            </w:r>
          </w:p>
        </w:tc>
        <w:tc>
          <w:tcPr>
            <w:tcW w:w="2596" w:type="dxa"/>
            <w:tcBorders>
              <w:top w:val="single" w:sz="8" w:space="0" w:color="000000"/>
              <w:left w:val="single" w:sz="8" w:space="0" w:color="000000"/>
              <w:bottom w:val="single" w:sz="8" w:space="0" w:color="000000"/>
              <w:right w:val="single" w:sz="8" w:space="0" w:color="000000"/>
            </w:tcBorders>
            <w:vAlign w:val="center"/>
          </w:tcPr>
          <w:p w14:paraId="1D645777" w14:textId="1E96A7B3" w:rsidR="005B7208" w:rsidRDefault="005B7208" w:rsidP="005B7208">
            <w:pPr>
              <w:pStyle w:val="biaogeright"/>
              <w:wordWrap w:val="0"/>
              <w:rPr>
                <w:rFonts w:hint="eastAsia"/>
              </w:rPr>
            </w:pPr>
            <w:r w:rsidRPr="00206ABF">
              <w:rPr>
                <w:rFonts w:hAnsi="等线"/>
                <w:color w:val="000000"/>
              </w:rPr>
              <w:t>6.32</w:t>
            </w:r>
          </w:p>
        </w:tc>
      </w:tr>
      <w:tr w:rsidR="005B7208" w14:paraId="7500663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21A985" w14:textId="77777777" w:rsidR="005B7208" w:rsidRDefault="005B7208" w:rsidP="005B7208">
            <w:pPr>
              <w:pStyle w:val="biaogecenter"/>
              <w:wordWrap w:val="0"/>
              <w:rPr>
                <w:rFonts w:hint="eastAsia"/>
              </w:rPr>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tcPr>
          <w:p w14:paraId="537112DB" w14:textId="77777777" w:rsidR="005B7208" w:rsidRDefault="005B7208" w:rsidP="005B7208">
            <w:pPr>
              <w:pStyle w:val="biaogeleft"/>
              <w:wordWrap w:val="0"/>
              <w:rPr>
                <w:rFonts w:hint="eastAsia"/>
              </w:rPr>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3ED3699" w14:textId="14AC35DA" w:rsidR="005B7208" w:rsidRDefault="005B7208" w:rsidP="005B7208">
            <w:pPr>
              <w:pStyle w:val="biaogeright"/>
              <w:wordWrap w:val="0"/>
              <w:rPr>
                <w:rFonts w:hint="eastAsia"/>
              </w:rPr>
            </w:pPr>
            <w:r w:rsidRPr="00206ABF">
              <w:rPr>
                <w:rFonts w:hAnsi="等线"/>
                <w:color w:val="000000"/>
              </w:rPr>
              <w:t>3,507,791.80</w:t>
            </w:r>
          </w:p>
        </w:tc>
        <w:tc>
          <w:tcPr>
            <w:tcW w:w="2596" w:type="dxa"/>
            <w:tcBorders>
              <w:top w:val="single" w:sz="8" w:space="0" w:color="000000"/>
              <w:left w:val="single" w:sz="8" w:space="0" w:color="000000"/>
              <w:bottom w:val="single" w:sz="8" w:space="0" w:color="000000"/>
              <w:right w:val="single" w:sz="8" w:space="0" w:color="000000"/>
            </w:tcBorders>
            <w:vAlign w:val="center"/>
          </w:tcPr>
          <w:p w14:paraId="2E5459A9" w14:textId="2D9AAC09" w:rsidR="005B7208" w:rsidRDefault="005B7208" w:rsidP="005B7208">
            <w:pPr>
              <w:pStyle w:val="biaogeright"/>
              <w:wordWrap w:val="0"/>
              <w:rPr>
                <w:rFonts w:hint="eastAsia"/>
              </w:rPr>
            </w:pPr>
            <w:r w:rsidRPr="00206ABF">
              <w:rPr>
                <w:rFonts w:hAnsi="等线"/>
                <w:color w:val="000000"/>
              </w:rPr>
              <w:t>59.25</w:t>
            </w:r>
          </w:p>
        </w:tc>
      </w:tr>
      <w:tr w:rsidR="005B7208" w14:paraId="09DAD78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5DF9D7" w14:textId="77777777" w:rsidR="005B7208" w:rsidRDefault="005B7208" w:rsidP="005B7208">
            <w:pPr>
              <w:pStyle w:val="biaogecenter"/>
              <w:wordWrap w:val="0"/>
              <w:rPr>
                <w:rFonts w:hint="eastAsia"/>
              </w:rPr>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tcPr>
          <w:p w14:paraId="4F4666E0" w14:textId="77777777" w:rsidR="005B7208" w:rsidRDefault="005B7208" w:rsidP="005B7208">
            <w:pPr>
              <w:pStyle w:val="biaogeleft"/>
              <w:wordWrap w:val="0"/>
              <w:rPr>
                <w:rFonts w:hint="eastAsia"/>
              </w:rPr>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5AE57AF0" w14:textId="21C6A5D2" w:rsidR="005B7208" w:rsidRDefault="005B7208" w:rsidP="005B7208">
            <w:pPr>
              <w:pStyle w:val="biaogeright"/>
              <w:wordWrap w:val="0"/>
              <w:rPr>
                <w:rFonts w:hint="eastAsia"/>
              </w:rPr>
            </w:pPr>
            <w:r w:rsidRPr="00206ABF">
              <w:rPr>
                <w:rFonts w:hAnsi="等线"/>
                <w:color w:val="000000"/>
              </w:rPr>
              <w:t>368,592.40</w:t>
            </w:r>
          </w:p>
        </w:tc>
        <w:tc>
          <w:tcPr>
            <w:tcW w:w="2596" w:type="dxa"/>
            <w:tcBorders>
              <w:top w:val="single" w:sz="8" w:space="0" w:color="000000"/>
              <w:left w:val="single" w:sz="8" w:space="0" w:color="000000"/>
              <w:bottom w:val="single" w:sz="8" w:space="0" w:color="000000"/>
              <w:right w:val="single" w:sz="8" w:space="0" w:color="000000"/>
            </w:tcBorders>
            <w:vAlign w:val="center"/>
          </w:tcPr>
          <w:p w14:paraId="30AA21AE" w14:textId="5CD426E1" w:rsidR="005B7208" w:rsidRDefault="005B7208" w:rsidP="005B7208">
            <w:pPr>
              <w:pStyle w:val="biaogeright"/>
              <w:wordWrap w:val="0"/>
              <w:rPr>
                <w:rFonts w:hint="eastAsia"/>
              </w:rPr>
            </w:pPr>
            <w:r w:rsidRPr="00206ABF">
              <w:rPr>
                <w:rFonts w:hAnsi="等线"/>
                <w:color w:val="000000"/>
              </w:rPr>
              <w:t>6.23</w:t>
            </w:r>
          </w:p>
        </w:tc>
      </w:tr>
      <w:tr w:rsidR="005B7208" w14:paraId="4813A12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8BC657" w14:textId="77777777" w:rsidR="005B7208" w:rsidRDefault="005B7208" w:rsidP="005B7208">
            <w:pPr>
              <w:pStyle w:val="biaogecenter"/>
              <w:wordWrap w:val="0"/>
              <w:rPr>
                <w:rFonts w:hint="eastAsia"/>
              </w:rPr>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tcPr>
          <w:p w14:paraId="2C44BF17" w14:textId="77777777" w:rsidR="005B7208" w:rsidRDefault="005B7208" w:rsidP="005B7208">
            <w:pPr>
              <w:pStyle w:val="biaogeleft"/>
              <w:wordWrap w:val="0"/>
              <w:rPr>
                <w:rFonts w:hint="eastAsia"/>
              </w:rPr>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46393C5" w14:textId="51E46B6A"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B28D22B" w14:textId="42F9AE01" w:rsidR="005B7208" w:rsidRDefault="005B7208" w:rsidP="005B7208">
            <w:pPr>
              <w:pStyle w:val="biaogeright"/>
              <w:wordWrap w:val="0"/>
              <w:rPr>
                <w:rFonts w:hint="eastAsia"/>
              </w:rPr>
            </w:pPr>
            <w:r w:rsidRPr="00206ABF">
              <w:rPr>
                <w:rFonts w:hAnsi="等线"/>
                <w:color w:val="000000"/>
              </w:rPr>
              <w:t>-</w:t>
            </w:r>
          </w:p>
        </w:tc>
      </w:tr>
      <w:tr w:rsidR="005B7208" w14:paraId="23C4C0A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1A0D5E" w14:textId="77777777" w:rsidR="005B7208" w:rsidRDefault="005B7208" w:rsidP="005B7208">
            <w:pPr>
              <w:pStyle w:val="biaogecenter"/>
              <w:wordWrap w:val="0"/>
              <w:rPr>
                <w:rFonts w:hint="eastAsia"/>
              </w:rPr>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tcPr>
          <w:p w14:paraId="667F8B77" w14:textId="77777777" w:rsidR="005B7208" w:rsidRDefault="005B7208" w:rsidP="005B7208">
            <w:pPr>
              <w:pStyle w:val="biaogeleft"/>
              <w:wordWrap w:val="0"/>
              <w:rPr>
                <w:rFonts w:hint="eastAsia"/>
              </w:rPr>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46163689" w14:textId="7F9536CC" w:rsidR="005B7208" w:rsidRDefault="005B7208" w:rsidP="005B7208">
            <w:pPr>
              <w:pStyle w:val="biaogeright"/>
              <w:wordWrap w:val="0"/>
              <w:rPr>
                <w:rFonts w:hint="eastAsia"/>
              </w:rPr>
            </w:pPr>
            <w:r w:rsidRPr="00206ABF">
              <w:rPr>
                <w:rFonts w:hAnsi="等线"/>
                <w:color w:val="000000"/>
              </w:rPr>
              <w:t>253,230.00</w:t>
            </w:r>
          </w:p>
        </w:tc>
        <w:tc>
          <w:tcPr>
            <w:tcW w:w="2596" w:type="dxa"/>
            <w:tcBorders>
              <w:top w:val="single" w:sz="8" w:space="0" w:color="000000"/>
              <w:left w:val="single" w:sz="8" w:space="0" w:color="000000"/>
              <w:bottom w:val="single" w:sz="8" w:space="0" w:color="000000"/>
              <w:right w:val="single" w:sz="8" w:space="0" w:color="000000"/>
            </w:tcBorders>
            <w:vAlign w:val="center"/>
          </w:tcPr>
          <w:p w14:paraId="5D370B98" w14:textId="1A643988" w:rsidR="005B7208" w:rsidRDefault="005B7208" w:rsidP="005B7208">
            <w:pPr>
              <w:pStyle w:val="biaogeright"/>
              <w:wordWrap w:val="0"/>
              <w:rPr>
                <w:rFonts w:hint="eastAsia"/>
              </w:rPr>
            </w:pPr>
            <w:r w:rsidRPr="00206ABF">
              <w:rPr>
                <w:rFonts w:hAnsi="等线"/>
                <w:color w:val="000000"/>
              </w:rPr>
              <w:t>4.28</w:t>
            </w:r>
          </w:p>
        </w:tc>
      </w:tr>
      <w:tr w:rsidR="005B7208" w14:paraId="7EE4D73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1F98DD" w14:textId="77777777" w:rsidR="005B7208" w:rsidRDefault="005B7208" w:rsidP="005B7208">
            <w:pPr>
              <w:pStyle w:val="biaogecenter"/>
              <w:wordWrap w:val="0"/>
              <w:rPr>
                <w:rFonts w:hint="eastAsia"/>
              </w:rPr>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tcPr>
          <w:p w14:paraId="2D383A17" w14:textId="77777777" w:rsidR="005B7208" w:rsidRDefault="005B7208" w:rsidP="005B7208">
            <w:pPr>
              <w:pStyle w:val="biaogeleft"/>
              <w:wordWrap w:val="0"/>
              <w:rPr>
                <w:rFonts w:hint="eastAsia"/>
              </w:rPr>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1195C18" w14:textId="11FFCEFB" w:rsidR="005B7208" w:rsidRDefault="005B7208" w:rsidP="005B7208">
            <w:pPr>
              <w:pStyle w:val="biaogeright"/>
              <w:wordWrap w:val="0"/>
              <w:rPr>
                <w:rFonts w:hint="eastAsia"/>
              </w:rPr>
            </w:pPr>
            <w:r w:rsidRPr="00206ABF">
              <w:rPr>
                <w:rFonts w:hAnsi="等线"/>
                <w:color w:val="000000"/>
              </w:rPr>
              <w:t>476,776.00</w:t>
            </w:r>
          </w:p>
        </w:tc>
        <w:tc>
          <w:tcPr>
            <w:tcW w:w="2596" w:type="dxa"/>
            <w:tcBorders>
              <w:top w:val="single" w:sz="8" w:space="0" w:color="000000"/>
              <w:left w:val="single" w:sz="8" w:space="0" w:color="000000"/>
              <w:bottom w:val="single" w:sz="8" w:space="0" w:color="000000"/>
              <w:right w:val="single" w:sz="8" w:space="0" w:color="000000"/>
            </w:tcBorders>
            <w:vAlign w:val="center"/>
          </w:tcPr>
          <w:p w14:paraId="24EEF976" w14:textId="1DB42BFB" w:rsidR="005B7208" w:rsidRDefault="005B7208" w:rsidP="005B7208">
            <w:pPr>
              <w:pStyle w:val="biaogeright"/>
              <w:wordWrap w:val="0"/>
              <w:rPr>
                <w:rFonts w:hint="eastAsia"/>
              </w:rPr>
            </w:pPr>
            <w:r w:rsidRPr="00206ABF">
              <w:rPr>
                <w:rFonts w:hAnsi="等线"/>
                <w:color w:val="000000"/>
              </w:rPr>
              <w:t>8.05</w:t>
            </w:r>
          </w:p>
        </w:tc>
      </w:tr>
      <w:tr w:rsidR="005B7208" w14:paraId="0A652B6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205CE7" w14:textId="77777777" w:rsidR="005B7208" w:rsidRDefault="005B7208" w:rsidP="005B7208">
            <w:pPr>
              <w:pStyle w:val="biaogecenter"/>
              <w:wordWrap w:val="0"/>
              <w:rPr>
                <w:rFonts w:hint="eastAsia"/>
              </w:rPr>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tcPr>
          <w:p w14:paraId="7098C52F" w14:textId="77777777" w:rsidR="005B7208" w:rsidRDefault="005B7208" w:rsidP="005B7208">
            <w:pPr>
              <w:pStyle w:val="biaogeleft"/>
              <w:wordWrap w:val="0"/>
              <w:rPr>
                <w:rFonts w:hint="eastAsia"/>
              </w:rPr>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2FD18FEA" w14:textId="240809E3"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158AD6F5" w14:textId="63700ACD" w:rsidR="005B7208" w:rsidRDefault="005B7208" w:rsidP="005B7208">
            <w:pPr>
              <w:pStyle w:val="biaogeright"/>
              <w:wordWrap w:val="0"/>
              <w:rPr>
                <w:rFonts w:hint="eastAsia"/>
              </w:rPr>
            </w:pPr>
            <w:r w:rsidRPr="00206ABF">
              <w:rPr>
                <w:rFonts w:hAnsi="等线"/>
                <w:color w:val="000000"/>
              </w:rPr>
              <w:t>-</w:t>
            </w:r>
          </w:p>
        </w:tc>
      </w:tr>
      <w:tr w:rsidR="005B7208" w14:paraId="0CEAF43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63EE34F" w14:textId="77777777" w:rsidR="005B7208" w:rsidRDefault="005B7208" w:rsidP="005B7208">
            <w:pPr>
              <w:pStyle w:val="biaogecenter"/>
              <w:wordWrap w:val="0"/>
              <w:rPr>
                <w:rFonts w:hint="eastAsia"/>
              </w:rPr>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tcPr>
          <w:p w14:paraId="15A34630" w14:textId="77777777" w:rsidR="005B7208" w:rsidRDefault="005B7208" w:rsidP="005B7208">
            <w:pPr>
              <w:pStyle w:val="biaogeleft"/>
              <w:wordWrap w:val="0"/>
              <w:rPr>
                <w:rFonts w:hint="eastAsia"/>
              </w:rPr>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3C855E9" w14:textId="5C5B434C" w:rsidR="005B7208" w:rsidRDefault="005B7208" w:rsidP="005B7208">
            <w:pPr>
              <w:pStyle w:val="biaogeright"/>
              <w:wordWrap w:val="0"/>
              <w:rPr>
                <w:rFonts w:hint="eastAsia"/>
              </w:rPr>
            </w:pPr>
            <w:r w:rsidRPr="00206ABF">
              <w:rPr>
                <w:rFonts w:hAnsi="等线"/>
                <w:color w:val="000000"/>
              </w:rPr>
              <w:t>151,370.00</w:t>
            </w:r>
          </w:p>
        </w:tc>
        <w:tc>
          <w:tcPr>
            <w:tcW w:w="2596" w:type="dxa"/>
            <w:tcBorders>
              <w:top w:val="single" w:sz="8" w:space="0" w:color="000000"/>
              <w:left w:val="single" w:sz="8" w:space="0" w:color="000000"/>
              <w:bottom w:val="single" w:sz="8" w:space="0" w:color="000000"/>
              <w:right w:val="single" w:sz="8" w:space="0" w:color="000000"/>
            </w:tcBorders>
            <w:vAlign w:val="center"/>
          </w:tcPr>
          <w:p w14:paraId="2794A782" w14:textId="343198DF" w:rsidR="005B7208" w:rsidRDefault="005B7208" w:rsidP="005B7208">
            <w:pPr>
              <w:pStyle w:val="biaogeright"/>
              <w:wordWrap w:val="0"/>
              <w:rPr>
                <w:rFonts w:hint="eastAsia"/>
              </w:rPr>
            </w:pPr>
            <w:r w:rsidRPr="00206ABF">
              <w:rPr>
                <w:rFonts w:hAnsi="等线"/>
                <w:color w:val="000000"/>
              </w:rPr>
              <w:t>2.56</w:t>
            </w:r>
          </w:p>
        </w:tc>
      </w:tr>
      <w:tr w:rsidR="005B7208" w14:paraId="1468359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A83248" w14:textId="77777777" w:rsidR="005B7208" w:rsidRDefault="005B7208" w:rsidP="005B7208">
            <w:pPr>
              <w:pStyle w:val="biaogecenter"/>
              <w:wordWrap w:val="0"/>
              <w:rPr>
                <w:rFonts w:hint="eastAsia"/>
              </w:rPr>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tcPr>
          <w:p w14:paraId="4B9DCC7F" w14:textId="77777777" w:rsidR="005B7208" w:rsidRDefault="005B7208" w:rsidP="005B7208">
            <w:pPr>
              <w:pStyle w:val="biaogeleft"/>
              <w:wordWrap w:val="0"/>
              <w:rPr>
                <w:rFonts w:hint="eastAsia"/>
              </w:rPr>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7FBB03E4" w14:textId="6DC269D1"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44914747" w14:textId="566269B7" w:rsidR="005B7208" w:rsidRDefault="005B7208" w:rsidP="005B7208">
            <w:pPr>
              <w:pStyle w:val="biaogeright"/>
              <w:wordWrap w:val="0"/>
              <w:rPr>
                <w:rFonts w:hint="eastAsia"/>
              </w:rPr>
            </w:pPr>
            <w:r w:rsidRPr="00206ABF">
              <w:rPr>
                <w:rFonts w:hAnsi="等线"/>
                <w:color w:val="000000"/>
              </w:rPr>
              <w:t>-</w:t>
            </w:r>
          </w:p>
        </w:tc>
      </w:tr>
      <w:tr w:rsidR="005B7208" w14:paraId="702A32A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DD215E" w14:textId="77777777" w:rsidR="005B7208" w:rsidRDefault="005B7208" w:rsidP="005B7208">
            <w:pPr>
              <w:pStyle w:val="biaogecenter"/>
              <w:wordWrap w:val="0"/>
              <w:rPr>
                <w:rFonts w:hint="eastAsia"/>
              </w:rPr>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tcPr>
          <w:p w14:paraId="4A561DD7" w14:textId="77777777" w:rsidR="005B7208" w:rsidRDefault="005B7208" w:rsidP="005B7208">
            <w:pPr>
              <w:pStyle w:val="biaogeleft"/>
              <w:wordWrap w:val="0"/>
              <w:rPr>
                <w:rFonts w:hint="eastAsia"/>
              </w:rPr>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4C3A356" w14:textId="187E75D0" w:rsidR="005B7208" w:rsidRDefault="005B7208" w:rsidP="005B7208">
            <w:pPr>
              <w:pStyle w:val="biaogeright"/>
              <w:wordWrap w:val="0"/>
              <w:rPr>
                <w:rFonts w:hint="eastAsia"/>
              </w:rPr>
            </w:pPr>
            <w:r w:rsidRPr="00206ABF">
              <w:rPr>
                <w:rFonts w:hAnsi="等线"/>
                <w:color w:val="000000"/>
              </w:rPr>
              <w:t>127,890.00</w:t>
            </w:r>
          </w:p>
        </w:tc>
        <w:tc>
          <w:tcPr>
            <w:tcW w:w="2596" w:type="dxa"/>
            <w:tcBorders>
              <w:top w:val="single" w:sz="8" w:space="0" w:color="000000"/>
              <w:left w:val="single" w:sz="8" w:space="0" w:color="000000"/>
              <w:bottom w:val="single" w:sz="8" w:space="0" w:color="000000"/>
              <w:right w:val="single" w:sz="8" w:space="0" w:color="000000"/>
            </w:tcBorders>
            <w:vAlign w:val="center"/>
          </w:tcPr>
          <w:p w14:paraId="405DF91A" w14:textId="467A685B" w:rsidR="005B7208" w:rsidRDefault="005B7208" w:rsidP="005B7208">
            <w:pPr>
              <w:pStyle w:val="biaogeright"/>
              <w:wordWrap w:val="0"/>
              <w:rPr>
                <w:rFonts w:hint="eastAsia"/>
              </w:rPr>
            </w:pPr>
            <w:r w:rsidRPr="00206ABF">
              <w:rPr>
                <w:rFonts w:hAnsi="等线"/>
                <w:color w:val="000000"/>
              </w:rPr>
              <w:t>2.16</w:t>
            </w:r>
          </w:p>
        </w:tc>
      </w:tr>
      <w:tr w:rsidR="005B7208" w14:paraId="0CA838A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DE5690A" w14:textId="77777777" w:rsidR="005B7208" w:rsidRDefault="005B7208" w:rsidP="005B7208">
            <w:pPr>
              <w:pStyle w:val="biaogecenter"/>
              <w:wordWrap w:val="0"/>
              <w:rPr>
                <w:rFonts w:hint="eastAsia"/>
              </w:rPr>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tcPr>
          <w:p w14:paraId="04FB6599" w14:textId="77777777" w:rsidR="005B7208" w:rsidRDefault="005B7208" w:rsidP="005B7208">
            <w:pPr>
              <w:pStyle w:val="biaogeleft"/>
              <w:wordWrap w:val="0"/>
              <w:rPr>
                <w:rFonts w:hint="eastAsia"/>
              </w:rPr>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B756491" w14:textId="610242F3"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19FDB2E" w14:textId="2ECF4097" w:rsidR="005B7208" w:rsidRDefault="005B7208" w:rsidP="005B7208">
            <w:pPr>
              <w:pStyle w:val="biaogeright"/>
              <w:wordWrap w:val="0"/>
              <w:rPr>
                <w:rFonts w:hint="eastAsia"/>
              </w:rPr>
            </w:pPr>
            <w:r w:rsidRPr="00206ABF">
              <w:rPr>
                <w:rFonts w:hAnsi="等线"/>
                <w:color w:val="000000"/>
              </w:rPr>
              <w:t>-</w:t>
            </w:r>
          </w:p>
        </w:tc>
      </w:tr>
      <w:tr w:rsidR="005B7208" w14:paraId="498541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91EFFA" w14:textId="77777777" w:rsidR="005B7208" w:rsidRDefault="005B7208" w:rsidP="005B7208">
            <w:pPr>
              <w:pStyle w:val="biaogecenter"/>
              <w:wordWrap w:val="0"/>
              <w:rPr>
                <w:rFonts w:hint="eastAsia"/>
              </w:rPr>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tcPr>
          <w:p w14:paraId="75B02215" w14:textId="77777777" w:rsidR="005B7208" w:rsidRDefault="005B7208" w:rsidP="005B7208">
            <w:pPr>
              <w:pStyle w:val="biaogeleft"/>
              <w:wordWrap w:val="0"/>
              <w:rPr>
                <w:rFonts w:hint="eastAsia"/>
              </w:rPr>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1187EC9" w14:textId="5FEDB24D" w:rsidR="005B7208" w:rsidRDefault="005B7208" w:rsidP="005B7208">
            <w:pPr>
              <w:pStyle w:val="biaogeright"/>
              <w:wordWrap w:val="0"/>
              <w:rPr>
                <w:rFonts w:hint="eastAsia"/>
              </w:rPr>
            </w:pPr>
            <w:r w:rsidRPr="00206ABF">
              <w:rPr>
                <w:rFonts w:hAnsi="等线"/>
                <w:color w:val="000000"/>
              </w:rPr>
              <w:t>129,276.00</w:t>
            </w:r>
          </w:p>
        </w:tc>
        <w:tc>
          <w:tcPr>
            <w:tcW w:w="2596" w:type="dxa"/>
            <w:tcBorders>
              <w:top w:val="single" w:sz="8" w:space="0" w:color="000000"/>
              <w:left w:val="single" w:sz="8" w:space="0" w:color="000000"/>
              <w:bottom w:val="single" w:sz="8" w:space="0" w:color="000000"/>
              <w:right w:val="single" w:sz="8" w:space="0" w:color="000000"/>
            </w:tcBorders>
            <w:vAlign w:val="center"/>
          </w:tcPr>
          <w:p w14:paraId="23C4A1F0" w14:textId="3CDE1ED2" w:rsidR="005B7208" w:rsidRDefault="005B7208" w:rsidP="005B7208">
            <w:pPr>
              <w:pStyle w:val="biaogeright"/>
              <w:wordWrap w:val="0"/>
              <w:rPr>
                <w:rFonts w:hint="eastAsia"/>
              </w:rPr>
            </w:pPr>
            <w:r w:rsidRPr="00206ABF">
              <w:rPr>
                <w:rFonts w:hAnsi="等线"/>
                <w:color w:val="000000"/>
              </w:rPr>
              <w:t>2.18</w:t>
            </w:r>
          </w:p>
        </w:tc>
      </w:tr>
      <w:tr w:rsidR="005B7208" w14:paraId="2335FB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2F3551" w14:textId="77777777" w:rsidR="005B7208" w:rsidRDefault="005B7208" w:rsidP="005B7208">
            <w:pPr>
              <w:pStyle w:val="biaogecenter"/>
              <w:wordWrap w:val="0"/>
              <w:rPr>
                <w:rFonts w:hint="eastAsia"/>
              </w:rPr>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tcPr>
          <w:p w14:paraId="661D23D0" w14:textId="77777777" w:rsidR="005B7208" w:rsidRDefault="005B7208" w:rsidP="005B7208">
            <w:pPr>
              <w:pStyle w:val="biaogeleft"/>
              <w:wordWrap w:val="0"/>
              <w:rPr>
                <w:rFonts w:hint="eastAsia"/>
              </w:rPr>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6F3D608" w14:textId="305138E1" w:rsidR="005B7208" w:rsidRDefault="005B7208" w:rsidP="005B7208">
            <w:pPr>
              <w:pStyle w:val="biaogeright"/>
              <w:wordWrap w:val="0"/>
              <w:rPr>
                <w:rFonts w:hint="eastAsia"/>
              </w:rPr>
            </w:pPr>
            <w:r w:rsidRPr="00206ABF">
              <w:rPr>
                <w:rFonts w:hAnsi="等线"/>
                <w:color w:val="000000"/>
              </w:rPr>
              <w:lastRenderedPageBreak/>
              <w:t>111,720.00</w:t>
            </w:r>
          </w:p>
        </w:tc>
        <w:tc>
          <w:tcPr>
            <w:tcW w:w="2596" w:type="dxa"/>
            <w:tcBorders>
              <w:top w:val="single" w:sz="8" w:space="0" w:color="000000"/>
              <w:left w:val="single" w:sz="8" w:space="0" w:color="000000"/>
              <w:bottom w:val="single" w:sz="8" w:space="0" w:color="000000"/>
              <w:right w:val="single" w:sz="8" w:space="0" w:color="000000"/>
            </w:tcBorders>
            <w:vAlign w:val="center"/>
          </w:tcPr>
          <w:p w14:paraId="5366A0DC" w14:textId="36FFDA5E" w:rsidR="005B7208" w:rsidRDefault="005B7208" w:rsidP="005B7208">
            <w:pPr>
              <w:pStyle w:val="biaogeright"/>
              <w:wordWrap w:val="0"/>
              <w:rPr>
                <w:rFonts w:hint="eastAsia"/>
              </w:rPr>
            </w:pPr>
            <w:r w:rsidRPr="00206ABF">
              <w:rPr>
                <w:rFonts w:hAnsi="等线"/>
                <w:color w:val="000000"/>
              </w:rPr>
              <w:t>1.89</w:t>
            </w:r>
          </w:p>
        </w:tc>
      </w:tr>
      <w:tr w:rsidR="005B7208" w14:paraId="1C836E8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8F886F5" w14:textId="77777777" w:rsidR="005B7208" w:rsidRDefault="005B7208" w:rsidP="005B7208">
            <w:pPr>
              <w:pStyle w:val="biaogecenter"/>
              <w:wordWrap w:val="0"/>
              <w:rPr>
                <w:rFonts w:hint="eastAsia"/>
              </w:rPr>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tcPr>
          <w:p w14:paraId="215E47FD" w14:textId="77777777" w:rsidR="005B7208" w:rsidRDefault="005B7208" w:rsidP="005B7208">
            <w:pPr>
              <w:pStyle w:val="biaogeleft"/>
              <w:wordWrap w:val="0"/>
              <w:rPr>
                <w:rFonts w:hint="eastAsia"/>
              </w:rPr>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8FC665D" w14:textId="10691EB2"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45EFD321" w14:textId="2BCB3E46" w:rsidR="005B7208" w:rsidRDefault="005B7208" w:rsidP="005B7208">
            <w:pPr>
              <w:pStyle w:val="biaogeright"/>
              <w:wordWrap w:val="0"/>
              <w:rPr>
                <w:rFonts w:hint="eastAsia"/>
              </w:rPr>
            </w:pPr>
            <w:r w:rsidRPr="00206ABF">
              <w:rPr>
                <w:rFonts w:hAnsi="等线"/>
                <w:color w:val="000000"/>
              </w:rPr>
              <w:t>-</w:t>
            </w:r>
          </w:p>
        </w:tc>
      </w:tr>
      <w:tr w:rsidR="005B7208" w14:paraId="0CB40DC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35280E" w14:textId="77777777" w:rsidR="005B7208" w:rsidRDefault="005B7208" w:rsidP="005B7208">
            <w:pPr>
              <w:pStyle w:val="biaogecenter"/>
              <w:wordWrap w:val="0"/>
              <w:rPr>
                <w:rFonts w:hint="eastAsia"/>
              </w:rPr>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tcPr>
          <w:p w14:paraId="074EA590" w14:textId="77777777" w:rsidR="005B7208" w:rsidRDefault="005B7208" w:rsidP="005B7208">
            <w:pPr>
              <w:pStyle w:val="biaogeleft"/>
              <w:wordWrap w:val="0"/>
              <w:rPr>
                <w:rFonts w:hint="eastAsia"/>
              </w:rPr>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tcPr>
          <w:p w14:paraId="6F323E2E" w14:textId="2F20D255"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758865BE" w14:textId="1931C49F" w:rsidR="005B7208" w:rsidRDefault="005B7208" w:rsidP="005B7208">
            <w:pPr>
              <w:pStyle w:val="biaogeright"/>
              <w:wordWrap w:val="0"/>
              <w:rPr>
                <w:rFonts w:hint="eastAsia"/>
              </w:rPr>
            </w:pPr>
            <w:r w:rsidRPr="00206ABF">
              <w:rPr>
                <w:rFonts w:hAnsi="等线"/>
                <w:color w:val="000000"/>
              </w:rPr>
              <w:t>-</w:t>
            </w:r>
          </w:p>
        </w:tc>
      </w:tr>
      <w:tr w:rsidR="005B7208" w14:paraId="47F7FF6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28075F5" w14:textId="77777777" w:rsidR="005B7208" w:rsidRDefault="005B7208" w:rsidP="005B7208">
            <w:pPr>
              <w:pStyle w:val="biaogecenter"/>
              <w:wordWrap w:val="0"/>
              <w:rPr>
                <w:rFonts w:hint="eastAsia"/>
              </w:rPr>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tcPr>
          <w:p w14:paraId="453A37D5" w14:textId="77777777" w:rsidR="005B7208" w:rsidRDefault="005B7208" w:rsidP="005B7208">
            <w:pPr>
              <w:pStyle w:val="biaogeleft"/>
              <w:wordWrap w:val="0"/>
              <w:rPr>
                <w:rFonts w:hint="eastAsia"/>
              </w:rPr>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tcPr>
          <w:p w14:paraId="657CBBB8" w14:textId="2550D504"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7D3A7DC6" w14:textId="2908B858" w:rsidR="005B7208" w:rsidRDefault="005B7208" w:rsidP="005B7208">
            <w:pPr>
              <w:pStyle w:val="biaogeright"/>
              <w:wordWrap w:val="0"/>
              <w:rPr>
                <w:rFonts w:hint="eastAsia"/>
              </w:rPr>
            </w:pPr>
            <w:r w:rsidRPr="00206ABF">
              <w:rPr>
                <w:rFonts w:hAnsi="等线"/>
                <w:color w:val="000000"/>
              </w:rPr>
              <w:t>-</w:t>
            </w:r>
          </w:p>
        </w:tc>
      </w:tr>
      <w:tr w:rsidR="005B7208" w14:paraId="2F71A0F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00DF09B" w14:textId="77777777" w:rsidR="005B7208" w:rsidRDefault="005B7208" w:rsidP="005B7208">
            <w:pPr>
              <w:pStyle w:val="biaogecenter"/>
              <w:wordWrap w:val="0"/>
              <w:rPr>
                <w:rFonts w:hint="eastAsia"/>
              </w:rPr>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tcPr>
          <w:p w14:paraId="01D42A27" w14:textId="77777777" w:rsidR="005B7208" w:rsidRDefault="005B7208" w:rsidP="005B7208">
            <w:pPr>
              <w:pStyle w:val="biaogeleft"/>
              <w:wordWrap w:val="0"/>
              <w:rPr>
                <w:rFonts w:hint="eastAsia"/>
              </w:rPr>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4361C45A" w14:textId="4E94E328"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18B694A8" w14:textId="40DB518B" w:rsidR="005B7208" w:rsidRDefault="005B7208" w:rsidP="005B7208">
            <w:pPr>
              <w:pStyle w:val="biaogeright"/>
              <w:wordWrap w:val="0"/>
              <w:rPr>
                <w:rFonts w:hint="eastAsia"/>
              </w:rPr>
            </w:pPr>
            <w:r w:rsidRPr="00206ABF">
              <w:rPr>
                <w:rFonts w:hAnsi="等线"/>
                <w:color w:val="000000"/>
              </w:rPr>
              <w:t>-</w:t>
            </w:r>
          </w:p>
        </w:tc>
      </w:tr>
      <w:tr w:rsidR="005B7208" w14:paraId="45F670C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39C6FA" w14:textId="77777777" w:rsidR="005B7208" w:rsidRDefault="005B7208" w:rsidP="005B7208">
            <w:pPr>
              <w:pStyle w:val="biaogecenter"/>
              <w:wordWrap w:val="0"/>
              <w:rPr>
                <w:rFonts w:hint="eastAsia"/>
              </w:rPr>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tcPr>
          <w:p w14:paraId="04934016" w14:textId="77777777" w:rsidR="005B7208" w:rsidRDefault="005B7208" w:rsidP="005B7208">
            <w:pPr>
              <w:pStyle w:val="biaogeleft"/>
              <w:wordWrap w:val="0"/>
              <w:rPr>
                <w:rFonts w:hint="eastAsia"/>
              </w:rPr>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tcPr>
          <w:p w14:paraId="200E489D" w14:textId="38D41D6F" w:rsidR="005B7208" w:rsidRDefault="005B7208" w:rsidP="005B7208">
            <w:pPr>
              <w:pStyle w:val="biaogeright"/>
              <w:wordWrap w:val="0"/>
              <w:rPr>
                <w:rFonts w:hint="eastAsia"/>
              </w:rPr>
            </w:pPr>
            <w:r w:rsidRPr="00206ABF">
              <w:rPr>
                <w:rFonts w:hAnsi="等线"/>
                <w:color w:val="000000"/>
              </w:rP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F04607C" w14:textId="3C7A004B" w:rsidR="005B7208" w:rsidRDefault="005B7208" w:rsidP="005B7208">
            <w:pPr>
              <w:pStyle w:val="biaogeright"/>
              <w:wordWrap w:val="0"/>
              <w:rPr>
                <w:rFonts w:hint="eastAsia"/>
              </w:rPr>
            </w:pPr>
            <w:r w:rsidRPr="00206ABF">
              <w:rPr>
                <w:rFonts w:hAnsi="等线"/>
                <w:color w:val="000000"/>
              </w:rPr>
              <w:t>-</w:t>
            </w:r>
          </w:p>
        </w:tc>
      </w:tr>
      <w:tr w:rsidR="005B7208" w14:paraId="1A29D2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5071AF" w14:textId="77777777" w:rsidR="005B7208" w:rsidRDefault="005B7208" w:rsidP="005B7208">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tcPr>
          <w:p w14:paraId="1B260AB0" w14:textId="77777777" w:rsidR="005B7208" w:rsidRDefault="005B7208" w:rsidP="005B7208">
            <w:pPr>
              <w:pStyle w:val="biaogeleft"/>
              <w:wordWrap w:val="0"/>
              <w:rPr>
                <w:rFonts w:hint="eastAsia"/>
              </w:rPr>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tcPr>
          <w:p w14:paraId="1D74B9B0" w14:textId="2F6A1656" w:rsidR="005B7208" w:rsidRDefault="005B7208" w:rsidP="005B7208">
            <w:pPr>
              <w:pStyle w:val="biaogeright"/>
              <w:wordWrap w:val="0"/>
              <w:rPr>
                <w:rFonts w:hint="eastAsia"/>
              </w:rPr>
            </w:pPr>
            <w:r w:rsidRPr="00206ABF">
              <w:rPr>
                <w:rFonts w:hAnsi="等线"/>
                <w:color w:val="000000"/>
              </w:rPr>
              <w:t>5,500,745.20</w:t>
            </w:r>
          </w:p>
        </w:tc>
        <w:tc>
          <w:tcPr>
            <w:tcW w:w="2596" w:type="dxa"/>
            <w:tcBorders>
              <w:top w:val="single" w:sz="8" w:space="0" w:color="000000"/>
              <w:left w:val="single" w:sz="8" w:space="0" w:color="000000"/>
              <w:bottom w:val="single" w:sz="8" w:space="0" w:color="000000"/>
              <w:right w:val="single" w:sz="8" w:space="0" w:color="000000"/>
            </w:tcBorders>
            <w:vAlign w:val="center"/>
          </w:tcPr>
          <w:p w14:paraId="22044DCF" w14:textId="13E7B9F6" w:rsidR="005B7208" w:rsidRDefault="005B7208" w:rsidP="005B7208">
            <w:pPr>
              <w:pStyle w:val="biaogeright"/>
              <w:wordWrap w:val="0"/>
              <w:rPr>
                <w:rFonts w:hint="eastAsia"/>
              </w:rPr>
            </w:pPr>
            <w:r w:rsidRPr="00206ABF">
              <w:rPr>
                <w:rFonts w:hAnsi="等线"/>
                <w:color w:val="000000"/>
              </w:rPr>
              <w:t>92.91</w:t>
            </w:r>
          </w:p>
        </w:tc>
      </w:tr>
    </w:tbl>
    <w:p w14:paraId="518B723A" w14:textId="77777777" w:rsidR="008D0810" w:rsidRDefault="008D0810">
      <w:pPr>
        <w:autoSpaceDE w:val="0"/>
        <w:autoSpaceDN w:val="0"/>
        <w:spacing w:line="360" w:lineRule="auto"/>
        <w:ind w:firstLineChars="150" w:firstLine="360"/>
        <w:textAlignment w:val="bottom"/>
        <w:rPr>
          <w:rFonts w:asciiTheme="minorEastAsia" w:hAnsiTheme="minorEastAsia" w:cs="Times New Roman" w:hint="eastAsia"/>
          <w:bCs/>
          <w:sz w:val="24"/>
          <w:szCs w:val="24"/>
        </w:rPr>
      </w:pPr>
    </w:p>
    <w:p w14:paraId="6DAA0444" w14:textId="77777777" w:rsidR="008D0810" w:rsidRDefault="00417F9F">
      <w:pPr>
        <w:autoSpaceDE w:val="0"/>
        <w:autoSpaceDN w:val="0"/>
        <w:spacing w:line="360" w:lineRule="auto"/>
        <w:ind w:firstLineChars="150" w:firstLine="36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2E72A5CE" w14:textId="77777777" w:rsidR="008D0810" w:rsidRDefault="00417F9F">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本基金报告期末未持有港股通股票。</w:t>
      </w:r>
    </w:p>
    <w:p w14:paraId="7F4FA879"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2DFF2597"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8D0810" w14:paraId="16D175A4"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051E09B" w14:textId="77777777" w:rsidR="008D0810" w:rsidRDefault="00417F9F">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tcPr>
          <w:p w14:paraId="5022707A" w14:textId="77777777" w:rsidR="008D0810" w:rsidRDefault="00417F9F">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tcPr>
          <w:p w14:paraId="5441CDD0" w14:textId="77777777" w:rsidR="008D0810" w:rsidRDefault="00417F9F">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tcPr>
          <w:p w14:paraId="7B818810" w14:textId="77777777" w:rsidR="008D0810" w:rsidRDefault="00417F9F">
            <w:pPr>
              <w:pStyle w:val="biaogecenter"/>
              <w:wordWrap w:val="0"/>
              <w:rPr>
                <w:rFonts w:hint="eastAsia"/>
              </w:rPr>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tcPr>
          <w:p w14:paraId="334DD668" w14:textId="77777777" w:rsidR="008D0810" w:rsidRDefault="00417F9F">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tcPr>
          <w:p w14:paraId="4C2732B7" w14:textId="77777777" w:rsidR="008D0810" w:rsidRDefault="00417F9F">
            <w:pPr>
              <w:pStyle w:val="biaogecenter"/>
              <w:wordWrap w:val="0"/>
              <w:rPr>
                <w:rFonts w:hint="eastAsia"/>
              </w:rPr>
            </w:pPr>
            <w:r>
              <w:rPr>
                <w:rFonts w:hAnsi="等线" w:hint="eastAsia"/>
                <w:color w:val="000000"/>
              </w:rPr>
              <w:t>占基金资产净值比例（％）</w:t>
            </w:r>
          </w:p>
        </w:tc>
      </w:tr>
      <w:tr w:rsidR="005B7208" w14:paraId="7720A7A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7C9AE247" w14:textId="77777777" w:rsidR="005B7208" w:rsidRDefault="005B7208" w:rsidP="005B7208">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tcPr>
          <w:p w14:paraId="5CE7A57E" w14:textId="3BD5C83E" w:rsidR="005B7208" w:rsidRDefault="005B7208" w:rsidP="005B7208">
            <w:pPr>
              <w:pStyle w:val="biaogeleft"/>
              <w:wordWrap w:val="0"/>
              <w:rPr>
                <w:rFonts w:hint="eastAsia"/>
              </w:rPr>
            </w:pPr>
            <w:r w:rsidRPr="00A67984">
              <w:rPr>
                <w:rFonts w:hAnsi="等线"/>
                <w:color w:val="000000"/>
              </w:rPr>
              <w:t>002999</w:t>
            </w:r>
          </w:p>
        </w:tc>
        <w:tc>
          <w:tcPr>
            <w:tcW w:w="1613" w:type="dxa"/>
            <w:tcBorders>
              <w:top w:val="single" w:sz="8" w:space="0" w:color="000000"/>
              <w:left w:val="single" w:sz="8" w:space="0" w:color="000000"/>
              <w:bottom w:val="single" w:sz="6" w:space="0" w:color="000000"/>
              <w:right w:val="single" w:sz="8" w:space="0" w:color="000000"/>
            </w:tcBorders>
            <w:vAlign w:val="center"/>
          </w:tcPr>
          <w:p w14:paraId="3DC4BB99" w14:textId="136FBD01" w:rsidR="005B7208" w:rsidRDefault="005B7208" w:rsidP="005B7208">
            <w:pPr>
              <w:pStyle w:val="biaogeleft"/>
              <w:wordWrap w:val="0"/>
              <w:rPr>
                <w:rFonts w:hint="eastAsia"/>
              </w:rPr>
            </w:pPr>
            <w:r w:rsidRPr="00A67984">
              <w:rPr>
                <w:rFonts w:hAnsi="等线"/>
                <w:color w:val="000000"/>
              </w:rPr>
              <w:t>天禾股份</w:t>
            </w:r>
          </w:p>
        </w:tc>
        <w:tc>
          <w:tcPr>
            <w:tcW w:w="1647" w:type="dxa"/>
            <w:tcBorders>
              <w:top w:val="single" w:sz="8" w:space="0" w:color="000000"/>
              <w:left w:val="single" w:sz="8" w:space="0" w:color="000000"/>
              <w:bottom w:val="single" w:sz="6" w:space="0" w:color="000000"/>
              <w:right w:val="single" w:sz="8" w:space="0" w:color="000000"/>
            </w:tcBorders>
            <w:vAlign w:val="center"/>
          </w:tcPr>
          <w:p w14:paraId="3F5DBAD8" w14:textId="40B297F8" w:rsidR="005B7208" w:rsidRDefault="005B7208" w:rsidP="005B7208">
            <w:pPr>
              <w:pStyle w:val="biaogeright"/>
              <w:wordWrap w:val="0"/>
              <w:rPr>
                <w:rFonts w:hint="eastAsia"/>
              </w:rPr>
            </w:pPr>
            <w:r w:rsidRPr="00A67984">
              <w:rPr>
                <w:rFonts w:hAnsi="等线"/>
                <w:color w:val="000000"/>
              </w:rPr>
              <w:t>21,700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9D5B748" w14:textId="1E7CDF4F" w:rsidR="005B7208" w:rsidRDefault="005B7208" w:rsidP="005B7208">
            <w:pPr>
              <w:pStyle w:val="biaogeright"/>
              <w:wordWrap w:val="0"/>
              <w:rPr>
                <w:rFonts w:hint="eastAsia"/>
              </w:rPr>
            </w:pPr>
            <w:r w:rsidRPr="00A67984">
              <w:rPr>
                <w:rFonts w:hAnsi="等线"/>
                <w:color w:val="000000"/>
              </w:rPr>
              <w:t>151,466.00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6E4EB38" w14:textId="378FA7DA" w:rsidR="005B7208" w:rsidRDefault="005B7208" w:rsidP="005B7208">
            <w:pPr>
              <w:pStyle w:val="biaogeright"/>
              <w:wordWrap w:val="0"/>
              <w:rPr>
                <w:rFonts w:hint="eastAsia"/>
              </w:rPr>
            </w:pPr>
            <w:r w:rsidRPr="00A67984">
              <w:rPr>
                <w:rFonts w:hAnsi="等线"/>
                <w:color w:val="000000"/>
              </w:rPr>
              <w:t>2.56</w:t>
            </w:r>
          </w:p>
        </w:tc>
      </w:tr>
      <w:tr w:rsidR="005B7208" w14:paraId="72964AC9"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ACD53A4" w14:textId="77777777" w:rsidR="005B7208" w:rsidRDefault="005B7208" w:rsidP="005B7208">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tcPr>
          <w:p w14:paraId="720E929E" w14:textId="1D271AFB" w:rsidR="005B7208" w:rsidRDefault="005B7208" w:rsidP="005B7208">
            <w:pPr>
              <w:pStyle w:val="biaogeleft"/>
              <w:wordWrap w:val="0"/>
              <w:rPr>
                <w:rFonts w:hint="eastAsia"/>
              </w:rPr>
            </w:pPr>
            <w:r w:rsidRPr="00A67984">
              <w:rPr>
                <w:rFonts w:hAnsi="等线"/>
                <w:color w:val="000000"/>
              </w:rPr>
              <w:t>001231</w:t>
            </w:r>
          </w:p>
        </w:tc>
        <w:tc>
          <w:tcPr>
            <w:tcW w:w="1613" w:type="dxa"/>
            <w:tcBorders>
              <w:top w:val="single" w:sz="8" w:space="0" w:color="000000"/>
              <w:left w:val="single" w:sz="8" w:space="0" w:color="000000"/>
              <w:bottom w:val="single" w:sz="6" w:space="0" w:color="000000"/>
              <w:right w:val="single" w:sz="8" w:space="0" w:color="000000"/>
            </w:tcBorders>
            <w:vAlign w:val="center"/>
          </w:tcPr>
          <w:p w14:paraId="341BA1A6" w14:textId="0042DF49" w:rsidR="005B7208" w:rsidRDefault="005B7208" w:rsidP="005B7208">
            <w:pPr>
              <w:pStyle w:val="biaogeleft"/>
              <w:wordWrap w:val="0"/>
              <w:rPr>
                <w:rFonts w:hint="eastAsia"/>
              </w:rPr>
            </w:pPr>
            <w:r w:rsidRPr="00A67984">
              <w:rPr>
                <w:rFonts w:hAnsi="等线"/>
                <w:color w:val="000000"/>
              </w:rPr>
              <w:t>农心科技</w:t>
            </w:r>
          </w:p>
        </w:tc>
        <w:tc>
          <w:tcPr>
            <w:tcW w:w="1647" w:type="dxa"/>
            <w:tcBorders>
              <w:top w:val="single" w:sz="8" w:space="0" w:color="000000"/>
              <w:left w:val="single" w:sz="8" w:space="0" w:color="000000"/>
              <w:bottom w:val="single" w:sz="6" w:space="0" w:color="000000"/>
              <w:right w:val="single" w:sz="8" w:space="0" w:color="000000"/>
            </w:tcBorders>
            <w:vAlign w:val="center"/>
          </w:tcPr>
          <w:p w14:paraId="231526A9" w14:textId="207CADAB" w:rsidR="005B7208" w:rsidRDefault="005B7208" w:rsidP="005B7208">
            <w:pPr>
              <w:pStyle w:val="biaogeright"/>
              <w:wordWrap w:val="0"/>
              <w:rPr>
                <w:rFonts w:hint="eastAsia"/>
              </w:rPr>
            </w:pPr>
            <w:r w:rsidRPr="00A67984">
              <w:rPr>
                <w:rFonts w:hAnsi="等线"/>
                <w:color w:val="000000"/>
              </w:rPr>
              <w:t>7,400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D78F490" w14:textId="6A1F2ACC" w:rsidR="005B7208" w:rsidRDefault="005B7208" w:rsidP="005B7208">
            <w:pPr>
              <w:pStyle w:val="biaogeright"/>
              <w:wordWrap w:val="0"/>
              <w:rPr>
                <w:rFonts w:hint="eastAsia"/>
              </w:rPr>
            </w:pPr>
            <w:r w:rsidRPr="00A67984">
              <w:rPr>
                <w:rFonts w:hAnsi="等线"/>
                <w:color w:val="000000"/>
              </w:rPr>
              <w:t>148,888.00</w:t>
            </w:r>
          </w:p>
        </w:tc>
        <w:tc>
          <w:tcPr>
            <w:tcW w:w="1681" w:type="dxa"/>
            <w:tcBorders>
              <w:top w:val="single" w:sz="8" w:space="0" w:color="000000"/>
              <w:left w:val="single" w:sz="8" w:space="0" w:color="000000"/>
              <w:bottom w:val="single" w:sz="6" w:space="0" w:color="000000"/>
              <w:right w:val="single" w:sz="8" w:space="0" w:color="000000"/>
            </w:tcBorders>
            <w:vAlign w:val="center"/>
          </w:tcPr>
          <w:p w14:paraId="244B29FB" w14:textId="48B9CCBE" w:rsidR="005B7208" w:rsidRDefault="005B7208" w:rsidP="005B7208">
            <w:pPr>
              <w:pStyle w:val="biaogeright"/>
              <w:wordWrap w:val="0"/>
              <w:rPr>
                <w:rFonts w:hint="eastAsia"/>
              </w:rPr>
            </w:pPr>
            <w:r w:rsidRPr="00A67984">
              <w:rPr>
                <w:rFonts w:hAnsi="等线"/>
                <w:color w:val="000000"/>
              </w:rPr>
              <w:t>2.51</w:t>
            </w:r>
          </w:p>
        </w:tc>
      </w:tr>
      <w:tr w:rsidR="005B7208" w14:paraId="6E073404"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AC0019A" w14:textId="77777777" w:rsidR="005B7208" w:rsidRDefault="005B7208" w:rsidP="005B7208">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tcPr>
          <w:p w14:paraId="030A18BC" w14:textId="1AF07FCD" w:rsidR="005B7208" w:rsidRDefault="005B7208" w:rsidP="005B7208">
            <w:pPr>
              <w:pStyle w:val="biaogeleft"/>
              <w:wordWrap w:val="0"/>
              <w:rPr>
                <w:rFonts w:hint="eastAsia"/>
              </w:rPr>
            </w:pPr>
            <w:r w:rsidRPr="00A67984">
              <w:rPr>
                <w:rFonts w:hAnsi="等线"/>
                <w:color w:val="000000"/>
              </w:rPr>
              <w:t>001210</w:t>
            </w:r>
          </w:p>
        </w:tc>
        <w:tc>
          <w:tcPr>
            <w:tcW w:w="1613" w:type="dxa"/>
            <w:tcBorders>
              <w:top w:val="single" w:sz="8" w:space="0" w:color="000000"/>
              <w:left w:val="single" w:sz="8" w:space="0" w:color="000000"/>
              <w:bottom w:val="single" w:sz="6" w:space="0" w:color="000000"/>
              <w:right w:val="single" w:sz="8" w:space="0" w:color="000000"/>
            </w:tcBorders>
            <w:vAlign w:val="center"/>
          </w:tcPr>
          <w:p w14:paraId="3563A915" w14:textId="176388BB" w:rsidR="005B7208" w:rsidRDefault="005B7208" w:rsidP="005B7208">
            <w:pPr>
              <w:pStyle w:val="biaogeleft"/>
              <w:wordWrap w:val="0"/>
              <w:rPr>
                <w:rFonts w:hint="eastAsia"/>
              </w:rPr>
            </w:pPr>
            <w:r w:rsidRPr="00A67984">
              <w:rPr>
                <w:rFonts w:hAnsi="等线"/>
                <w:color w:val="000000"/>
              </w:rPr>
              <w:t>金房能源</w:t>
            </w:r>
          </w:p>
        </w:tc>
        <w:tc>
          <w:tcPr>
            <w:tcW w:w="1647" w:type="dxa"/>
            <w:tcBorders>
              <w:top w:val="single" w:sz="8" w:space="0" w:color="000000"/>
              <w:left w:val="single" w:sz="8" w:space="0" w:color="000000"/>
              <w:bottom w:val="single" w:sz="6" w:space="0" w:color="000000"/>
              <w:right w:val="single" w:sz="8" w:space="0" w:color="000000"/>
            </w:tcBorders>
            <w:vAlign w:val="center"/>
          </w:tcPr>
          <w:p w14:paraId="4B5A5ABB" w14:textId="60813CAE" w:rsidR="005B7208" w:rsidRDefault="005B7208" w:rsidP="005B7208">
            <w:pPr>
              <w:pStyle w:val="biaogeright"/>
              <w:wordWrap w:val="0"/>
              <w:rPr>
                <w:rFonts w:hint="eastAsia"/>
              </w:rPr>
            </w:pPr>
            <w:r w:rsidRPr="00A67984">
              <w:rPr>
                <w:rFonts w:hAnsi="等线"/>
                <w:color w:val="000000"/>
              </w:rPr>
              <w:t>10,760</w:t>
            </w:r>
          </w:p>
        </w:tc>
        <w:tc>
          <w:tcPr>
            <w:tcW w:w="1647" w:type="dxa"/>
            <w:tcBorders>
              <w:top w:val="single" w:sz="8" w:space="0" w:color="000000"/>
              <w:left w:val="single" w:sz="8" w:space="0" w:color="000000"/>
              <w:bottom w:val="single" w:sz="6" w:space="0" w:color="000000"/>
              <w:right w:val="single" w:sz="8" w:space="0" w:color="000000"/>
            </w:tcBorders>
            <w:vAlign w:val="center"/>
          </w:tcPr>
          <w:p w14:paraId="64578914" w14:textId="5901DBBE" w:rsidR="005B7208" w:rsidRDefault="005B7208" w:rsidP="005B7208">
            <w:pPr>
              <w:pStyle w:val="biaogeright"/>
              <w:wordWrap w:val="0"/>
              <w:rPr>
                <w:rFonts w:hint="eastAsia"/>
              </w:rPr>
            </w:pPr>
            <w:r w:rsidRPr="00A67984">
              <w:rPr>
                <w:rFonts w:hAnsi="等线"/>
                <w:color w:val="000000"/>
              </w:rPr>
              <w:t>147,304.40</w:t>
            </w:r>
          </w:p>
        </w:tc>
        <w:tc>
          <w:tcPr>
            <w:tcW w:w="1681" w:type="dxa"/>
            <w:tcBorders>
              <w:top w:val="single" w:sz="8" w:space="0" w:color="000000"/>
              <w:left w:val="single" w:sz="8" w:space="0" w:color="000000"/>
              <w:bottom w:val="single" w:sz="6" w:space="0" w:color="000000"/>
              <w:right w:val="single" w:sz="8" w:space="0" w:color="000000"/>
            </w:tcBorders>
            <w:vAlign w:val="center"/>
          </w:tcPr>
          <w:p w14:paraId="0D32B99B" w14:textId="3757DD84" w:rsidR="005B7208" w:rsidRDefault="005B7208" w:rsidP="005B7208">
            <w:pPr>
              <w:pStyle w:val="biaogeright"/>
              <w:wordWrap w:val="0"/>
              <w:rPr>
                <w:rFonts w:hint="eastAsia"/>
              </w:rPr>
            </w:pPr>
            <w:r w:rsidRPr="00A67984">
              <w:rPr>
                <w:rFonts w:hAnsi="等线"/>
                <w:color w:val="000000"/>
              </w:rPr>
              <w:t>2.49</w:t>
            </w:r>
          </w:p>
        </w:tc>
      </w:tr>
      <w:tr w:rsidR="005B7208" w14:paraId="20700B9E"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25636CF3" w14:textId="77777777" w:rsidR="005B7208" w:rsidRDefault="005B7208" w:rsidP="005B7208">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tcPr>
          <w:p w14:paraId="7257648A" w14:textId="40D9F475" w:rsidR="005B7208" w:rsidRDefault="005B7208" w:rsidP="005B7208">
            <w:pPr>
              <w:pStyle w:val="biaogeleft"/>
              <w:wordWrap w:val="0"/>
              <w:rPr>
                <w:rFonts w:hint="eastAsia"/>
              </w:rPr>
            </w:pPr>
            <w:r w:rsidRPr="00A67984">
              <w:rPr>
                <w:rFonts w:hAnsi="等线"/>
                <w:color w:val="000000"/>
              </w:rPr>
              <w:t>301336</w:t>
            </w:r>
          </w:p>
        </w:tc>
        <w:tc>
          <w:tcPr>
            <w:tcW w:w="1613" w:type="dxa"/>
            <w:tcBorders>
              <w:top w:val="single" w:sz="8" w:space="0" w:color="000000"/>
              <w:left w:val="single" w:sz="8" w:space="0" w:color="000000"/>
              <w:bottom w:val="single" w:sz="6" w:space="0" w:color="000000"/>
              <w:right w:val="single" w:sz="8" w:space="0" w:color="000000"/>
            </w:tcBorders>
            <w:vAlign w:val="center"/>
          </w:tcPr>
          <w:p w14:paraId="1DB9002A" w14:textId="04840EBD" w:rsidR="005B7208" w:rsidRDefault="005B7208" w:rsidP="005B7208">
            <w:pPr>
              <w:pStyle w:val="biaogeleft"/>
              <w:wordWrap w:val="0"/>
              <w:rPr>
                <w:rFonts w:hint="eastAsia"/>
              </w:rPr>
            </w:pPr>
            <w:r w:rsidRPr="00A67984">
              <w:rPr>
                <w:rFonts w:hAnsi="等线"/>
                <w:color w:val="000000"/>
              </w:rPr>
              <w:t>趣睡科技</w:t>
            </w:r>
          </w:p>
        </w:tc>
        <w:tc>
          <w:tcPr>
            <w:tcW w:w="1647" w:type="dxa"/>
            <w:tcBorders>
              <w:top w:val="single" w:sz="8" w:space="0" w:color="000000"/>
              <w:left w:val="single" w:sz="8" w:space="0" w:color="000000"/>
              <w:bottom w:val="single" w:sz="6" w:space="0" w:color="000000"/>
              <w:right w:val="single" w:sz="8" w:space="0" w:color="000000"/>
            </w:tcBorders>
            <w:vAlign w:val="center"/>
          </w:tcPr>
          <w:p w14:paraId="5D4812D0" w14:textId="59362128" w:rsidR="005B7208" w:rsidRDefault="005B7208" w:rsidP="005B7208">
            <w:pPr>
              <w:pStyle w:val="biaogeright"/>
              <w:wordWrap w:val="0"/>
              <w:rPr>
                <w:rFonts w:hint="eastAsia"/>
              </w:rPr>
            </w:pPr>
            <w:r w:rsidRPr="00A67984">
              <w:rPr>
                <w:rFonts w:hAnsi="等线"/>
                <w:color w:val="000000"/>
              </w:rPr>
              <w:t>2,400</w:t>
            </w:r>
          </w:p>
        </w:tc>
        <w:tc>
          <w:tcPr>
            <w:tcW w:w="1647" w:type="dxa"/>
            <w:tcBorders>
              <w:top w:val="single" w:sz="8" w:space="0" w:color="000000"/>
              <w:left w:val="single" w:sz="8" w:space="0" w:color="000000"/>
              <w:bottom w:val="single" w:sz="6" w:space="0" w:color="000000"/>
              <w:right w:val="single" w:sz="8" w:space="0" w:color="000000"/>
            </w:tcBorders>
            <w:vAlign w:val="center"/>
          </w:tcPr>
          <w:p w14:paraId="3106A150" w14:textId="0CA2D3BA" w:rsidR="005B7208" w:rsidRDefault="005B7208" w:rsidP="005B7208">
            <w:pPr>
              <w:pStyle w:val="biaogeright"/>
              <w:wordWrap w:val="0"/>
              <w:rPr>
                <w:rFonts w:hint="eastAsia"/>
              </w:rPr>
            </w:pPr>
            <w:r w:rsidRPr="00A67984">
              <w:rPr>
                <w:rFonts w:hAnsi="等线"/>
                <w:color w:val="000000"/>
              </w:rPr>
              <w:t>135,360.00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667352E" w14:textId="5DA13207" w:rsidR="005B7208" w:rsidRDefault="005B7208" w:rsidP="005B7208">
            <w:pPr>
              <w:pStyle w:val="biaogeright"/>
              <w:wordWrap w:val="0"/>
              <w:rPr>
                <w:rFonts w:hint="eastAsia"/>
              </w:rPr>
            </w:pPr>
            <w:r w:rsidRPr="00A67984">
              <w:rPr>
                <w:rFonts w:hAnsi="等线"/>
                <w:color w:val="000000"/>
              </w:rPr>
              <w:t>2.29</w:t>
            </w:r>
          </w:p>
        </w:tc>
      </w:tr>
      <w:tr w:rsidR="005B7208" w14:paraId="23586798"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57A6114" w14:textId="77777777" w:rsidR="005B7208" w:rsidRDefault="005B7208" w:rsidP="005B7208">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tcPr>
          <w:p w14:paraId="42EAE3FA" w14:textId="0C091DDF" w:rsidR="005B7208" w:rsidRDefault="005B7208" w:rsidP="005B7208">
            <w:pPr>
              <w:pStyle w:val="biaogeleft"/>
              <w:wordWrap w:val="0"/>
              <w:rPr>
                <w:rFonts w:hint="eastAsia"/>
              </w:rPr>
            </w:pPr>
            <w:r w:rsidRPr="00A67984">
              <w:rPr>
                <w:rFonts w:hAnsi="等线"/>
                <w:color w:val="000000"/>
              </w:rPr>
              <w:t>603311</w:t>
            </w:r>
          </w:p>
        </w:tc>
        <w:tc>
          <w:tcPr>
            <w:tcW w:w="1613" w:type="dxa"/>
            <w:tcBorders>
              <w:top w:val="single" w:sz="8" w:space="0" w:color="000000"/>
              <w:left w:val="single" w:sz="8" w:space="0" w:color="000000"/>
              <w:bottom w:val="single" w:sz="6" w:space="0" w:color="000000"/>
              <w:right w:val="single" w:sz="8" w:space="0" w:color="000000"/>
            </w:tcBorders>
            <w:vAlign w:val="center"/>
          </w:tcPr>
          <w:p w14:paraId="4838D200" w14:textId="54CBB9FE" w:rsidR="005B7208" w:rsidRDefault="005B7208" w:rsidP="005B7208">
            <w:pPr>
              <w:pStyle w:val="biaogeleft"/>
              <w:wordWrap w:val="0"/>
              <w:rPr>
                <w:rFonts w:hint="eastAsia"/>
              </w:rPr>
            </w:pPr>
            <w:r w:rsidRPr="00A67984">
              <w:rPr>
                <w:rFonts w:hAnsi="等线"/>
                <w:color w:val="000000"/>
              </w:rPr>
              <w:t>金海高科</w:t>
            </w:r>
          </w:p>
        </w:tc>
        <w:tc>
          <w:tcPr>
            <w:tcW w:w="1647" w:type="dxa"/>
            <w:tcBorders>
              <w:top w:val="single" w:sz="8" w:space="0" w:color="000000"/>
              <w:left w:val="single" w:sz="8" w:space="0" w:color="000000"/>
              <w:bottom w:val="single" w:sz="6" w:space="0" w:color="000000"/>
              <w:right w:val="single" w:sz="8" w:space="0" w:color="000000"/>
            </w:tcBorders>
            <w:vAlign w:val="center"/>
          </w:tcPr>
          <w:p w14:paraId="46DD1E38" w14:textId="26AB3824" w:rsidR="005B7208" w:rsidRDefault="005B7208" w:rsidP="005B7208">
            <w:pPr>
              <w:pStyle w:val="biaogeright"/>
              <w:wordWrap w:val="0"/>
              <w:rPr>
                <w:rFonts w:hint="eastAsia"/>
              </w:rPr>
            </w:pPr>
            <w:r w:rsidRPr="00A67984">
              <w:rPr>
                <w:rFonts w:hAnsi="等线"/>
                <w:color w:val="000000"/>
              </w:rPr>
              <w:t>12,100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BDD2A7A" w14:textId="11958204" w:rsidR="005B7208" w:rsidRDefault="005B7208" w:rsidP="005B7208">
            <w:pPr>
              <w:pStyle w:val="biaogeright"/>
              <w:wordWrap w:val="0"/>
              <w:rPr>
                <w:rFonts w:hint="eastAsia"/>
              </w:rPr>
            </w:pPr>
            <w:r w:rsidRPr="00A67984">
              <w:rPr>
                <w:rFonts w:hAnsi="等线"/>
                <w:color w:val="000000"/>
              </w:rPr>
              <w:t>133,826.00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EB365E2" w14:textId="2FA98B20" w:rsidR="005B7208" w:rsidRDefault="005B7208" w:rsidP="005B7208">
            <w:pPr>
              <w:pStyle w:val="biaogeright"/>
              <w:wordWrap w:val="0"/>
              <w:rPr>
                <w:rFonts w:hint="eastAsia"/>
              </w:rPr>
            </w:pPr>
            <w:r w:rsidRPr="00A67984">
              <w:rPr>
                <w:rFonts w:hAnsi="等线"/>
                <w:color w:val="000000"/>
              </w:rPr>
              <w:t>2.26</w:t>
            </w:r>
          </w:p>
        </w:tc>
      </w:tr>
      <w:tr w:rsidR="005B7208" w14:paraId="52F8FFA2"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18AF98E" w14:textId="77777777" w:rsidR="005B7208" w:rsidRDefault="005B7208" w:rsidP="005B7208">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tcPr>
          <w:p w14:paraId="1B946D11" w14:textId="164B22E5" w:rsidR="005B7208" w:rsidRDefault="005B7208" w:rsidP="005B7208">
            <w:pPr>
              <w:pStyle w:val="biaogeleft"/>
              <w:wordWrap w:val="0"/>
              <w:rPr>
                <w:rFonts w:hint="eastAsia"/>
              </w:rPr>
            </w:pPr>
            <w:r w:rsidRPr="00A67984">
              <w:rPr>
                <w:rFonts w:hAnsi="等线"/>
                <w:color w:val="000000"/>
              </w:rPr>
              <w:t>002817</w:t>
            </w:r>
          </w:p>
        </w:tc>
        <w:tc>
          <w:tcPr>
            <w:tcW w:w="1613" w:type="dxa"/>
            <w:tcBorders>
              <w:top w:val="single" w:sz="8" w:space="0" w:color="000000"/>
              <w:left w:val="single" w:sz="8" w:space="0" w:color="000000"/>
              <w:bottom w:val="single" w:sz="6" w:space="0" w:color="000000"/>
              <w:right w:val="single" w:sz="8" w:space="0" w:color="000000"/>
            </w:tcBorders>
            <w:vAlign w:val="center"/>
          </w:tcPr>
          <w:p w14:paraId="2828ECA9" w14:textId="5B865D9E" w:rsidR="005B7208" w:rsidRDefault="005B7208" w:rsidP="005B7208">
            <w:pPr>
              <w:pStyle w:val="biaogeleft"/>
              <w:wordWrap w:val="0"/>
              <w:rPr>
                <w:rFonts w:hint="eastAsia"/>
              </w:rPr>
            </w:pPr>
            <w:r w:rsidRPr="00A67984">
              <w:rPr>
                <w:rFonts w:hAnsi="等线"/>
                <w:color w:val="000000"/>
              </w:rPr>
              <w:t>黄山胶囊</w:t>
            </w:r>
          </w:p>
        </w:tc>
        <w:tc>
          <w:tcPr>
            <w:tcW w:w="1647" w:type="dxa"/>
            <w:tcBorders>
              <w:top w:val="single" w:sz="8" w:space="0" w:color="000000"/>
              <w:left w:val="single" w:sz="8" w:space="0" w:color="000000"/>
              <w:bottom w:val="single" w:sz="6" w:space="0" w:color="000000"/>
              <w:right w:val="single" w:sz="8" w:space="0" w:color="000000"/>
            </w:tcBorders>
            <w:vAlign w:val="center"/>
          </w:tcPr>
          <w:p w14:paraId="450BCDCF" w14:textId="4CC2599A" w:rsidR="005B7208" w:rsidRDefault="005B7208" w:rsidP="005B7208">
            <w:pPr>
              <w:pStyle w:val="biaogeright"/>
              <w:wordWrap w:val="0"/>
              <w:rPr>
                <w:rFonts w:hint="eastAsia"/>
              </w:rPr>
            </w:pPr>
            <w:r w:rsidRPr="00A67984">
              <w:rPr>
                <w:rFonts w:hAnsi="等线"/>
                <w:color w:val="000000"/>
              </w:rPr>
              <w:t>18,000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0E363CD" w14:textId="56F455AA" w:rsidR="005B7208" w:rsidRDefault="005B7208" w:rsidP="005B7208">
            <w:pPr>
              <w:pStyle w:val="biaogeright"/>
              <w:wordWrap w:val="0"/>
              <w:rPr>
                <w:rFonts w:hint="eastAsia"/>
              </w:rPr>
            </w:pPr>
            <w:r w:rsidRPr="00A67984">
              <w:rPr>
                <w:rFonts w:hAnsi="等线"/>
                <w:color w:val="000000"/>
              </w:rPr>
              <w:t>132,840.00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E789500" w14:textId="76874A19" w:rsidR="005B7208" w:rsidRDefault="005B7208" w:rsidP="005B7208">
            <w:pPr>
              <w:pStyle w:val="biaogeright"/>
              <w:wordWrap w:val="0"/>
              <w:rPr>
                <w:rFonts w:hint="eastAsia"/>
              </w:rPr>
            </w:pPr>
            <w:r w:rsidRPr="00A67984">
              <w:rPr>
                <w:rFonts w:hAnsi="等线"/>
                <w:color w:val="000000"/>
              </w:rPr>
              <w:t>2.24</w:t>
            </w:r>
          </w:p>
        </w:tc>
      </w:tr>
      <w:tr w:rsidR="005B7208" w14:paraId="1C305520"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573D380" w14:textId="77777777" w:rsidR="005B7208" w:rsidRDefault="005B7208" w:rsidP="005B7208">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tcPr>
          <w:p w14:paraId="3785B3B0" w14:textId="3F329E23" w:rsidR="005B7208" w:rsidRDefault="005B7208" w:rsidP="005B7208">
            <w:pPr>
              <w:pStyle w:val="biaogeleft"/>
              <w:wordWrap w:val="0"/>
              <w:rPr>
                <w:rFonts w:hint="eastAsia"/>
              </w:rPr>
            </w:pPr>
            <w:r w:rsidRPr="00A67984">
              <w:rPr>
                <w:rFonts w:hAnsi="等线"/>
                <w:color w:val="000000"/>
              </w:rPr>
              <w:t>301300</w:t>
            </w:r>
          </w:p>
        </w:tc>
        <w:tc>
          <w:tcPr>
            <w:tcW w:w="1613" w:type="dxa"/>
            <w:tcBorders>
              <w:top w:val="single" w:sz="8" w:space="0" w:color="000000"/>
              <w:left w:val="single" w:sz="8" w:space="0" w:color="000000"/>
              <w:bottom w:val="single" w:sz="6" w:space="0" w:color="000000"/>
              <w:right w:val="single" w:sz="8" w:space="0" w:color="000000"/>
            </w:tcBorders>
            <w:vAlign w:val="center"/>
          </w:tcPr>
          <w:p w14:paraId="1F4B26C7" w14:textId="13E984B3" w:rsidR="005B7208" w:rsidRDefault="005B7208" w:rsidP="005B7208">
            <w:pPr>
              <w:pStyle w:val="biaogeleft"/>
              <w:wordWrap w:val="0"/>
              <w:rPr>
                <w:rFonts w:hint="eastAsia"/>
              </w:rPr>
            </w:pPr>
            <w:r w:rsidRPr="00A67984">
              <w:rPr>
                <w:rFonts w:hAnsi="等线"/>
                <w:color w:val="000000"/>
              </w:rPr>
              <w:t>远翔新材</w:t>
            </w:r>
          </w:p>
        </w:tc>
        <w:tc>
          <w:tcPr>
            <w:tcW w:w="1647" w:type="dxa"/>
            <w:tcBorders>
              <w:top w:val="single" w:sz="8" w:space="0" w:color="000000"/>
              <w:left w:val="single" w:sz="8" w:space="0" w:color="000000"/>
              <w:bottom w:val="single" w:sz="6" w:space="0" w:color="000000"/>
              <w:right w:val="single" w:sz="8" w:space="0" w:color="000000"/>
            </w:tcBorders>
            <w:vAlign w:val="center"/>
          </w:tcPr>
          <w:p w14:paraId="211B70D8" w14:textId="009494A8" w:rsidR="005B7208" w:rsidRDefault="005B7208" w:rsidP="005B7208">
            <w:pPr>
              <w:pStyle w:val="biaogeright"/>
              <w:wordWrap w:val="0"/>
              <w:rPr>
                <w:rFonts w:hint="eastAsia"/>
              </w:rPr>
            </w:pPr>
            <w:r w:rsidRPr="00A67984">
              <w:rPr>
                <w:rFonts w:hAnsi="等线"/>
                <w:color w:val="000000"/>
              </w:rPr>
              <w:t>3,700</w:t>
            </w:r>
          </w:p>
        </w:tc>
        <w:tc>
          <w:tcPr>
            <w:tcW w:w="1647" w:type="dxa"/>
            <w:tcBorders>
              <w:top w:val="single" w:sz="8" w:space="0" w:color="000000"/>
              <w:left w:val="single" w:sz="8" w:space="0" w:color="000000"/>
              <w:bottom w:val="single" w:sz="6" w:space="0" w:color="000000"/>
              <w:right w:val="single" w:sz="8" w:space="0" w:color="000000"/>
            </w:tcBorders>
            <w:vAlign w:val="center"/>
          </w:tcPr>
          <w:p w14:paraId="34C4CC10" w14:textId="5F17AB66" w:rsidR="005B7208" w:rsidRDefault="005B7208" w:rsidP="005B7208">
            <w:pPr>
              <w:pStyle w:val="biaogeright"/>
              <w:wordWrap w:val="0"/>
              <w:rPr>
                <w:rFonts w:hint="eastAsia"/>
              </w:rPr>
            </w:pPr>
            <w:r w:rsidRPr="00A67984">
              <w:rPr>
                <w:rFonts w:hAnsi="等线"/>
                <w:color w:val="000000"/>
              </w:rPr>
              <w:t>132,164.00</w:t>
            </w:r>
          </w:p>
        </w:tc>
        <w:tc>
          <w:tcPr>
            <w:tcW w:w="1681" w:type="dxa"/>
            <w:tcBorders>
              <w:top w:val="single" w:sz="8" w:space="0" w:color="000000"/>
              <w:left w:val="single" w:sz="8" w:space="0" w:color="000000"/>
              <w:bottom w:val="single" w:sz="6" w:space="0" w:color="000000"/>
              <w:right w:val="single" w:sz="8" w:space="0" w:color="000000"/>
            </w:tcBorders>
            <w:vAlign w:val="center"/>
          </w:tcPr>
          <w:p w14:paraId="7CD54120" w14:textId="2A175501" w:rsidR="005B7208" w:rsidRDefault="005B7208" w:rsidP="005B7208">
            <w:pPr>
              <w:pStyle w:val="biaogeright"/>
              <w:wordWrap w:val="0"/>
              <w:rPr>
                <w:rFonts w:hint="eastAsia"/>
              </w:rPr>
            </w:pPr>
            <w:r w:rsidRPr="00A67984">
              <w:rPr>
                <w:rFonts w:hAnsi="等线"/>
                <w:color w:val="000000"/>
              </w:rPr>
              <w:t>2.23</w:t>
            </w:r>
          </w:p>
        </w:tc>
      </w:tr>
      <w:tr w:rsidR="005B7208" w14:paraId="5B278C05"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53E60B4" w14:textId="77777777" w:rsidR="005B7208" w:rsidRDefault="005B7208" w:rsidP="005B7208">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tcPr>
          <w:p w14:paraId="45109615" w14:textId="5C24CA59" w:rsidR="005B7208" w:rsidRDefault="005B7208" w:rsidP="005B7208">
            <w:pPr>
              <w:pStyle w:val="biaogeleft"/>
              <w:wordWrap w:val="0"/>
              <w:rPr>
                <w:rFonts w:hint="eastAsia"/>
              </w:rPr>
            </w:pPr>
            <w:r w:rsidRPr="00A67984">
              <w:rPr>
                <w:rFonts w:hAnsi="等线"/>
                <w:color w:val="000000"/>
              </w:rPr>
              <w:t>301353</w:t>
            </w:r>
          </w:p>
        </w:tc>
        <w:tc>
          <w:tcPr>
            <w:tcW w:w="1613" w:type="dxa"/>
            <w:tcBorders>
              <w:top w:val="single" w:sz="8" w:space="0" w:color="000000"/>
              <w:left w:val="single" w:sz="8" w:space="0" w:color="000000"/>
              <w:bottom w:val="single" w:sz="6" w:space="0" w:color="000000"/>
              <w:right w:val="single" w:sz="8" w:space="0" w:color="000000"/>
            </w:tcBorders>
            <w:vAlign w:val="center"/>
          </w:tcPr>
          <w:p w14:paraId="285A826A" w14:textId="0A73A103" w:rsidR="005B7208" w:rsidRDefault="005B7208" w:rsidP="005B7208">
            <w:pPr>
              <w:pStyle w:val="biaogeleft"/>
              <w:wordWrap w:val="0"/>
              <w:rPr>
                <w:rFonts w:hint="eastAsia"/>
              </w:rPr>
            </w:pPr>
            <w:r w:rsidRPr="00A67984">
              <w:rPr>
                <w:rFonts w:hAnsi="等线"/>
                <w:color w:val="000000"/>
              </w:rPr>
              <w:t>普莱得</w:t>
            </w:r>
          </w:p>
        </w:tc>
        <w:tc>
          <w:tcPr>
            <w:tcW w:w="1647" w:type="dxa"/>
            <w:tcBorders>
              <w:top w:val="single" w:sz="8" w:space="0" w:color="000000"/>
              <w:left w:val="single" w:sz="8" w:space="0" w:color="000000"/>
              <w:bottom w:val="single" w:sz="6" w:space="0" w:color="000000"/>
              <w:right w:val="single" w:sz="8" w:space="0" w:color="000000"/>
            </w:tcBorders>
            <w:vAlign w:val="center"/>
          </w:tcPr>
          <w:p w14:paraId="3349EDBB" w14:textId="10F49A0E" w:rsidR="005B7208" w:rsidRDefault="005B7208" w:rsidP="005B7208">
            <w:pPr>
              <w:pStyle w:val="biaogeright"/>
              <w:wordWrap w:val="0"/>
              <w:rPr>
                <w:rFonts w:hint="eastAsia"/>
              </w:rPr>
            </w:pPr>
            <w:r w:rsidRPr="00A67984">
              <w:rPr>
                <w:rFonts w:hAnsi="等线"/>
                <w:color w:val="000000"/>
              </w:rPr>
              <w:t>5,160</w:t>
            </w:r>
          </w:p>
        </w:tc>
        <w:tc>
          <w:tcPr>
            <w:tcW w:w="1647" w:type="dxa"/>
            <w:tcBorders>
              <w:top w:val="single" w:sz="8" w:space="0" w:color="000000"/>
              <w:left w:val="single" w:sz="8" w:space="0" w:color="000000"/>
              <w:bottom w:val="single" w:sz="6" w:space="0" w:color="000000"/>
              <w:right w:val="single" w:sz="8" w:space="0" w:color="000000"/>
            </w:tcBorders>
            <w:vAlign w:val="center"/>
          </w:tcPr>
          <w:p w14:paraId="3631F4E1" w14:textId="12C6B3C6" w:rsidR="005B7208" w:rsidRDefault="005B7208" w:rsidP="005B7208">
            <w:pPr>
              <w:pStyle w:val="biaogeright"/>
              <w:wordWrap w:val="0"/>
              <w:rPr>
                <w:rFonts w:hint="eastAsia"/>
              </w:rPr>
            </w:pPr>
            <w:r w:rsidRPr="00A67984">
              <w:rPr>
                <w:rFonts w:hAnsi="等线"/>
                <w:color w:val="000000"/>
              </w:rPr>
              <w:t>130,651.20</w:t>
            </w:r>
          </w:p>
        </w:tc>
        <w:tc>
          <w:tcPr>
            <w:tcW w:w="1681" w:type="dxa"/>
            <w:tcBorders>
              <w:top w:val="single" w:sz="8" w:space="0" w:color="000000"/>
              <w:left w:val="single" w:sz="8" w:space="0" w:color="000000"/>
              <w:bottom w:val="single" w:sz="6" w:space="0" w:color="000000"/>
              <w:right w:val="single" w:sz="8" w:space="0" w:color="000000"/>
            </w:tcBorders>
            <w:vAlign w:val="center"/>
          </w:tcPr>
          <w:p w14:paraId="358C1C54" w14:textId="6BEB7E9B" w:rsidR="005B7208" w:rsidRDefault="005B7208" w:rsidP="005B7208">
            <w:pPr>
              <w:pStyle w:val="biaogeright"/>
              <w:wordWrap w:val="0"/>
              <w:rPr>
                <w:rFonts w:hint="eastAsia"/>
              </w:rPr>
            </w:pPr>
            <w:r w:rsidRPr="00A67984">
              <w:rPr>
                <w:rFonts w:hAnsi="等线"/>
                <w:color w:val="000000"/>
              </w:rPr>
              <w:t>2.21</w:t>
            </w:r>
          </w:p>
        </w:tc>
      </w:tr>
      <w:tr w:rsidR="005B7208" w14:paraId="6296D4A2"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7337CED" w14:textId="77777777" w:rsidR="005B7208" w:rsidRDefault="005B7208" w:rsidP="005B7208">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tcPr>
          <w:p w14:paraId="2D4C5329" w14:textId="4464EBAE" w:rsidR="005B7208" w:rsidRDefault="005B7208" w:rsidP="005B7208">
            <w:pPr>
              <w:pStyle w:val="biaogeleft"/>
              <w:wordWrap w:val="0"/>
              <w:rPr>
                <w:rFonts w:hint="eastAsia"/>
              </w:rPr>
            </w:pPr>
            <w:r w:rsidRPr="00A67984">
              <w:rPr>
                <w:rFonts w:hAnsi="等线"/>
                <w:color w:val="000000"/>
              </w:rPr>
              <w:t>300717</w:t>
            </w:r>
          </w:p>
        </w:tc>
        <w:tc>
          <w:tcPr>
            <w:tcW w:w="1613" w:type="dxa"/>
            <w:tcBorders>
              <w:top w:val="single" w:sz="8" w:space="0" w:color="000000"/>
              <w:left w:val="single" w:sz="8" w:space="0" w:color="000000"/>
              <w:bottom w:val="single" w:sz="6" w:space="0" w:color="000000"/>
              <w:right w:val="single" w:sz="8" w:space="0" w:color="000000"/>
            </w:tcBorders>
            <w:vAlign w:val="center"/>
          </w:tcPr>
          <w:p w14:paraId="641F152C" w14:textId="6EB25749" w:rsidR="005B7208" w:rsidRDefault="005B7208" w:rsidP="005B7208">
            <w:pPr>
              <w:pStyle w:val="biaogeleft"/>
              <w:wordWrap w:val="0"/>
              <w:rPr>
                <w:rFonts w:hint="eastAsia"/>
              </w:rPr>
            </w:pPr>
            <w:r w:rsidRPr="00A67984">
              <w:rPr>
                <w:rFonts w:hAnsi="等线"/>
                <w:color w:val="000000"/>
              </w:rPr>
              <w:t>华信新材</w:t>
            </w:r>
          </w:p>
        </w:tc>
        <w:tc>
          <w:tcPr>
            <w:tcW w:w="1647" w:type="dxa"/>
            <w:tcBorders>
              <w:top w:val="single" w:sz="8" w:space="0" w:color="000000"/>
              <w:left w:val="single" w:sz="8" w:space="0" w:color="000000"/>
              <w:bottom w:val="single" w:sz="6" w:space="0" w:color="000000"/>
              <w:right w:val="single" w:sz="8" w:space="0" w:color="000000"/>
            </w:tcBorders>
            <w:vAlign w:val="center"/>
          </w:tcPr>
          <w:p w14:paraId="177C2B8D" w14:textId="4ACB8CFF" w:rsidR="005B7208" w:rsidRDefault="005B7208" w:rsidP="005B7208">
            <w:pPr>
              <w:pStyle w:val="biaogeright"/>
              <w:wordWrap w:val="0"/>
              <w:rPr>
                <w:rFonts w:hint="eastAsia"/>
              </w:rPr>
            </w:pPr>
            <w:r w:rsidRPr="00A67984">
              <w:rPr>
                <w:rFonts w:hAnsi="等线"/>
                <w:color w:val="000000"/>
              </w:rPr>
              <w:t>7,200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119F8FA6" w14:textId="7DECE7AD" w:rsidR="005B7208" w:rsidRDefault="005B7208" w:rsidP="005B7208">
            <w:pPr>
              <w:pStyle w:val="biaogeright"/>
              <w:wordWrap w:val="0"/>
              <w:rPr>
                <w:rFonts w:hint="eastAsia"/>
              </w:rPr>
            </w:pPr>
            <w:r w:rsidRPr="00A67984">
              <w:rPr>
                <w:rFonts w:hAnsi="等线"/>
                <w:color w:val="000000"/>
              </w:rPr>
              <w:t>130,536.00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31569B76" w14:textId="0480DE46" w:rsidR="005B7208" w:rsidRDefault="005B7208" w:rsidP="005B7208">
            <w:pPr>
              <w:pStyle w:val="biaogeright"/>
              <w:wordWrap w:val="0"/>
              <w:rPr>
                <w:rFonts w:hint="eastAsia"/>
              </w:rPr>
            </w:pPr>
            <w:r w:rsidRPr="00A67984">
              <w:rPr>
                <w:rFonts w:hAnsi="等线"/>
                <w:color w:val="000000"/>
              </w:rPr>
              <w:t>2.20</w:t>
            </w:r>
          </w:p>
        </w:tc>
      </w:tr>
      <w:tr w:rsidR="005B7208" w14:paraId="522A589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F6831BA" w14:textId="77777777" w:rsidR="005B7208" w:rsidRDefault="005B7208" w:rsidP="005B7208">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tcPr>
          <w:p w14:paraId="6B489578" w14:textId="5EDBD1CF" w:rsidR="005B7208" w:rsidRDefault="005B7208" w:rsidP="005B7208">
            <w:pPr>
              <w:pStyle w:val="biaogeleft"/>
              <w:wordWrap w:val="0"/>
              <w:rPr>
                <w:rFonts w:hint="eastAsia"/>
              </w:rPr>
            </w:pPr>
            <w:r w:rsidRPr="00A67984">
              <w:rPr>
                <w:rFonts w:hAnsi="等线"/>
                <w:color w:val="000000"/>
              </w:rPr>
              <w:t>301555</w:t>
            </w:r>
          </w:p>
        </w:tc>
        <w:tc>
          <w:tcPr>
            <w:tcW w:w="1613" w:type="dxa"/>
            <w:tcBorders>
              <w:top w:val="single" w:sz="8" w:space="0" w:color="000000"/>
              <w:left w:val="single" w:sz="8" w:space="0" w:color="000000"/>
              <w:bottom w:val="single" w:sz="6" w:space="0" w:color="000000"/>
              <w:right w:val="single" w:sz="8" w:space="0" w:color="000000"/>
            </w:tcBorders>
            <w:vAlign w:val="center"/>
          </w:tcPr>
          <w:p w14:paraId="5A9B01D2" w14:textId="320CDCC0" w:rsidR="005B7208" w:rsidRDefault="005B7208" w:rsidP="005B7208">
            <w:pPr>
              <w:pStyle w:val="biaogeleft"/>
              <w:wordWrap w:val="0"/>
              <w:rPr>
                <w:rFonts w:hint="eastAsia"/>
              </w:rPr>
            </w:pPr>
            <w:r w:rsidRPr="00A67984">
              <w:rPr>
                <w:rFonts w:hAnsi="等线"/>
                <w:color w:val="000000"/>
              </w:rPr>
              <w:t>惠柏新材</w:t>
            </w:r>
          </w:p>
        </w:tc>
        <w:tc>
          <w:tcPr>
            <w:tcW w:w="1647" w:type="dxa"/>
            <w:tcBorders>
              <w:top w:val="single" w:sz="8" w:space="0" w:color="000000"/>
              <w:left w:val="single" w:sz="8" w:space="0" w:color="000000"/>
              <w:bottom w:val="single" w:sz="6" w:space="0" w:color="000000"/>
              <w:right w:val="single" w:sz="8" w:space="0" w:color="000000"/>
            </w:tcBorders>
            <w:vAlign w:val="center"/>
          </w:tcPr>
          <w:p w14:paraId="07A1BE6B" w14:textId="327D7077" w:rsidR="005B7208" w:rsidRDefault="005B7208" w:rsidP="005B7208">
            <w:pPr>
              <w:pStyle w:val="biaogeright"/>
              <w:wordWrap w:val="0"/>
              <w:rPr>
                <w:rFonts w:hint="eastAsia"/>
              </w:rPr>
            </w:pPr>
            <w:r w:rsidRPr="00A67984">
              <w:rPr>
                <w:rFonts w:hAnsi="等线"/>
                <w:color w:val="000000"/>
              </w:rPr>
              <w:t>4,700</w:t>
            </w:r>
          </w:p>
        </w:tc>
        <w:tc>
          <w:tcPr>
            <w:tcW w:w="1647" w:type="dxa"/>
            <w:tcBorders>
              <w:top w:val="single" w:sz="8" w:space="0" w:color="000000"/>
              <w:left w:val="single" w:sz="8" w:space="0" w:color="000000"/>
              <w:bottom w:val="single" w:sz="6" w:space="0" w:color="000000"/>
              <w:right w:val="single" w:sz="8" w:space="0" w:color="000000"/>
            </w:tcBorders>
            <w:vAlign w:val="center"/>
          </w:tcPr>
          <w:p w14:paraId="6312BC47" w14:textId="11506059" w:rsidR="005B7208" w:rsidRDefault="005B7208" w:rsidP="005B7208">
            <w:pPr>
              <w:pStyle w:val="biaogeright"/>
              <w:wordWrap w:val="0"/>
              <w:rPr>
                <w:rFonts w:hint="eastAsia"/>
              </w:rPr>
            </w:pPr>
            <w:r w:rsidRPr="00A67984">
              <w:rPr>
                <w:rFonts w:hAnsi="等线"/>
                <w:color w:val="000000"/>
              </w:rPr>
              <w:t>129,391.00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0CDCC7A" w14:textId="538CE503" w:rsidR="005B7208" w:rsidRDefault="005B7208" w:rsidP="005B7208">
            <w:pPr>
              <w:pStyle w:val="biaogeright"/>
              <w:wordWrap w:val="0"/>
              <w:rPr>
                <w:rFonts w:hint="eastAsia"/>
              </w:rPr>
            </w:pPr>
            <w:r w:rsidRPr="00A67984">
              <w:rPr>
                <w:rFonts w:hAnsi="等线"/>
                <w:color w:val="000000"/>
              </w:rPr>
              <w:t>2.19</w:t>
            </w:r>
          </w:p>
        </w:tc>
      </w:tr>
    </w:tbl>
    <w:p w14:paraId="3D962EEA"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592A378" w14:textId="77777777" w:rsidR="008D0810" w:rsidRDefault="00417F9F">
      <w:pPr>
        <w:autoSpaceDE w:val="0"/>
        <w:autoSpaceDN w:val="0"/>
        <w:spacing w:line="360" w:lineRule="auto"/>
        <w:ind w:firstLineChars="200" w:firstLine="480"/>
        <w:textAlignment w:val="bottom"/>
        <w:rPr>
          <w:rFonts w:asciiTheme="minorEastAsia" w:hAnsiTheme="minorEastAsia" w:hint="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80" w:type="dxa"/>
        <w:tblInd w:w="108" w:type="dxa"/>
        <w:tblLook w:val="04A0" w:firstRow="1" w:lastRow="0" w:firstColumn="1" w:lastColumn="0" w:noHBand="0" w:noVBand="1"/>
      </w:tblPr>
      <w:tblGrid>
        <w:gridCol w:w="1210"/>
        <w:gridCol w:w="3481"/>
        <w:gridCol w:w="2573"/>
        <w:gridCol w:w="1816"/>
      </w:tblGrid>
      <w:tr w:rsidR="008D0810" w14:paraId="46B35FC6"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259611FB" w14:textId="77777777" w:rsidR="008D0810" w:rsidRDefault="00417F9F">
            <w:pPr>
              <w:pStyle w:val="biaogecenter"/>
              <w:wordWrap w:val="0"/>
              <w:rPr>
                <w:rFonts w:hint="eastAsia"/>
              </w:rPr>
            </w:pPr>
            <w:r>
              <w:rPr>
                <w:rFonts w:hAnsi="等线"/>
                <w:color w:val="000000"/>
              </w:rPr>
              <w:t>序号</w:t>
            </w:r>
          </w:p>
        </w:tc>
        <w:tc>
          <w:tcPr>
            <w:tcW w:w="3481" w:type="dxa"/>
            <w:tcBorders>
              <w:top w:val="single" w:sz="8" w:space="0" w:color="000000"/>
              <w:left w:val="single" w:sz="8" w:space="0" w:color="000000"/>
              <w:bottom w:val="single" w:sz="6" w:space="0" w:color="000000"/>
              <w:right w:val="single" w:sz="8" w:space="0" w:color="000000"/>
            </w:tcBorders>
            <w:vAlign w:val="center"/>
          </w:tcPr>
          <w:p w14:paraId="093C866E" w14:textId="77777777" w:rsidR="008D0810" w:rsidRDefault="00417F9F">
            <w:pPr>
              <w:pStyle w:val="biaogecenter"/>
              <w:wordWrap w:val="0"/>
              <w:rPr>
                <w:rFonts w:hint="eastAsia"/>
              </w:rPr>
            </w:pPr>
            <w:r>
              <w:rPr>
                <w:rFonts w:hAnsi="等线"/>
                <w:color w:val="000000"/>
              </w:rPr>
              <w:t>债券品种</w:t>
            </w:r>
          </w:p>
        </w:tc>
        <w:tc>
          <w:tcPr>
            <w:tcW w:w="2573" w:type="dxa"/>
            <w:tcBorders>
              <w:top w:val="single" w:sz="8" w:space="0" w:color="000000"/>
              <w:left w:val="single" w:sz="8" w:space="0" w:color="000000"/>
              <w:bottom w:val="single" w:sz="6" w:space="0" w:color="000000"/>
              <w:right w:val="single" w:sz="8" w:space="0" w:color="000000"/>
            </w:tcBorders>
            <w:vAlign w:val="center"/>
          </w:tcPr>
          <w:p w14:paraId="71FDDEEF" w14:textId="77777777" w:rsidR="008D0810" w:rsidRDefault="00417F9F">
            <w:pPr>
              <w:pStyle w:val="biaogecenter"/>
              <w:wordWrap w:val="0"/>
              <w:rPr>
                <w:rFonts w:hint="eastAsia"/>
              </w:rPr>
            </w:pPr>
            <w:r>
              <w:rPr>
                <w:rFonts w:hAnsi="等线"/>
                <w:color w:val="000000"/>
              </w:rPr>
              <w:t>公允价值(元)</w:t>
            </w:r>
          </w:p>
        </w:tc>
        <w:tc>
          <w:tcPr>
            <w:tcW w:w="1816" w:type="dxa"/>
            <w:tcBorders>
              <w:top w:val="single" w:sz="8" w:space="0" w:color="000000"/>
              <w:left w:val="single" w:sz="8" w:space="0" w:color="000000"/>
              <w:bottom w:val="single" w:sz="6" w:space="0" w:color="000000"/>
              <w:right w:val="single" w:sz="8" w:space="0" w:color="000000"/>
            </w:tcBorders>
            <w:vAlign w:val="center"/>
          </w:tcPr>
          <w:p w14:paraId="335E60C6" w14:textId="77777777" w:rsidR="008D0810" w:rsidRDefault="00417F9F">
            <w:pPr>
              <w:pStyle w:val="biaogecenter"/>
              <w:wordWrap w:val="0"/>
              <w:rPr>
                <w:rFonts w:hint="eastAsia"/>
              </w:rPr>
            </w:pPr>
            <w:r>
              <w:rPr>
                <w:rFonts w:hAnsi="等线"/>
                <w:color w:val="000000"/>
              </w:rPr>
              <w:t>占基金资产净值比例（％）</w:t>
            </w:r>
          </w:p>
        </w:tc>
      </w:tr>
      <w:tr w:rsidR="005B7208" w14:paraId="211EEFF2"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6A6E1295" w14:textId="77777777" w:rsidR="005B7208" w:rsidRDefault="005B7208" w:rsidP="005B7208">
            <w:pPr>
              <w:pStyle w:val="biaogecenter"/>
              <w:wordWrap w:val="0"/>
              <w:rPr>
                <w:rFonts w:hint="eastAsia"/>
              </w:rPr>
            </w:pPr>
            <w:r>
              <w:rPr>
                <w:rFonts w:hAnsi="等线"/>
                <w:color w:val="000000"/>
              </w:rPr>
              <w:t>1</w:t>
            </w:r>
          </w:p>
        </w:tc>
        <w:tc>
          <w:tcPr>
            <w:tcW w:w="3481" w:type="dxa"/>
            <w:tcBorders>
              <w:top w:val="single" w:sz="8" w:space="0" w:color="000000"/>
              <w:left w:val="single" w:sz="8" w:space="0" w:color="000000"/>
              <w:bottom w:val="single" w:sz="6" w:space="0" w:color="000000"/>
              <w:right w:val="single" w:sz="8" w:space="0" w:color="000000"/>
            </w:tcBorders>
            <w:vAlign w:val="center"/>
          </w:tcPr>
          <w:p w14:paraId="1BCBCE4D" w14:textId="77777777" w:rsidR="005B7208" w:rsidRDefault="005B7208" w:rsidP="005B7208">
            <w:pPr>
              <w:pStyle w:val="biaogeleft"/>
              <w:wordWrap w:val="0"/>
              <w:rPr>
                <w:rFonts w:hint="eastAsia"/>
              </w:rPr>
            </w:pPr>
            <w:r>
              <w:rPr>
                <w:rFonts w:hAnsi="等线"/>
                <w:color w:val="000000"/>
              </w:rPr>
              <w:t>国家债券</w:t>
            </w:r>
          </w:p>
        </w:tc>
        <w:tc>
          <w:tcPr>
            <w:tcW w:w="2573" w:type="dxa"/>
            <w:tcBorders>
              <w:top w:val="single" w:sz="8" w:space="0" w:color="000000"/>
              <w:left w:val="single" w:sz="8" w:space="0" w:color="000000"/>
              <w:bottom w:val="single" w:sz="6" w:space="0" w:color="000000"/>
              <w:right w:val="single" w:sz="8" w:space="0" w:color="000000"/>
            </w:tcBorders>
            <w:vAlign w:val="center"/>
          </w:tcPr>
          <w:p w14:paraId="74B61039" w14:textId="5F3A8425" w:rsidR="005B7208" w:rsidRDefault="005B7208" w:rsidP="005B7208">
            <w:pPr>
              <w:pStyle w:val="biaogeright"/>
              <w:wordWrap w:val="0"/>
              <w:rPr>
                <w:rFonts w:hint="eastAsia"/>
              </w:rPr>
            </w:pPr>
            <w:r w:rsidRPr="00A67984">
              <w:rPr>
                <w:rFonts w:hAnsi="等线"/>
                <w:color w:val="000000"/>
              </w:rPr>
              <w:t>403,589.26</w:t>
            </w:r>
          </w:p>
        </w:tc>
        <w:tc>
          <w:tcPr>
            <w:tcW w:w="1816" w:type="dxa"/>
            <w:tcBorders>
              <w:top w:val="single" w:sz="8" w:space="0" w:color="000000"/>
              <w:left w:val="single" w:sz="8" w:space="0" w:color="000000"/>
              <w:bottom w:val="single" w:sz="6" w:space="0" w:color="000000"/>
              <w:right w:val="single" w:sz="8" w:space="0" w:color="000000"/>
            </w:tcBorders>
            <w:vAlign w:val="center"/>
          </w:tcPr>
          <w:p w14:paraId="07995A04" w14:textId="62EC7A66" w:rsidR="005B7208" w:rsidRDefault="005B7208" w:rsidP="005B7208">
            <w:pPr>
              <w:pStyle w:val="biaogeright"/>
              <w:wordWrap w:val="0"/>
              <w:rPr>
                <w:rFonts w:hint="eastAsia"/>
              </w:rPr>
            </w:pPr>
            <w:r w:rsidRPr="00A67984">
              <w:rPr>
                <w:rFonts w:hAnsi="等线"/>
                <w:color w:val="000000"/>
              </w:rPr>
              <w:t>6.82</w:t>
            </w:r>
          </w:p>
        </w:tc>
      </w:tr>
      <w:tr w:rsidR="005B7208" w14:paraId="6E247A0D"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3AE7DC00" w14:textId="77777777" w:rsidR="005B7208" w:rsidRDefault="005B7208" w:rsidP="005B7208">
            <w:pPr>
              <w:pStyle w:val="biaogecenter"/>
              <w:wordWrap w:val="0"/>
              <w:rPr>
                <w:rFonts w:hint="eastAsia"/>
              </w:rPr>
            </w:pPr>
            <w:r>
              <w:rPr>
                <w:rFonts w:hAnsi="等线"/>
                <w:color w:val="000000"/>
              </w:rPr>
              <w:t>2</w:t>
            </w:r>
          </w:p>
        </w:tc>
        <w:tc>
          <w:tcPr>
            <w:tcW w:w="3481" w:type="dxa"/>
            <w:tcBorders>
              <w:top w:val="single" w:sz="8" w:space="0" w:color="000000"/>
              <w:left w:val="single" w:sz="8" w:space="0" w:color="000000"/>
              <w:bottom w:val="single" w:sz="6" w:space="0" w:color="000000"/>
              <w:right w:val="single" w:sz="8" w:space="0" w:color="000000"/>
            </w:tcBorders>
            <w:vAlign w:val="center"/>
          </w:tcPr>
          <w:p w14:paraId="6BEFB19B" w14:textId="77777777" w:rsidR="005B7208" w:rsidRDefault="005B7208" w:rsidP="005B7208">
            <w:pPr>
              <w:pStyle w:val="biaogeleft"/>
              <w:wordWrap w:val="0"/>
              <w:rPr>
                <w:rFonts w:hint="eastAsia"/>
              </w:rPr>
            </w:pPr>
            <w:r>
              <w:rPr>
                <w:rFonts w:hAnsi="等线"/>
                <w:color w:val="000000"/>
              </w:rPr>
              <w:t>央行票据</w:t>
            </w:r>
          </w:p>
        </w:tc>
        <w:tc>
          <w:tcPr>
            <w:tcW w:w="2573" w:type="dxa"/>
            <w:tcBorders>
              <w:top w:val="single" w:sz="8" w:space="0" w:color="000000"/>
              <w:left w:val="single" w:sz="8" w:space="0" w:color="000000"/>
              <w:bottom w:val="single" w:sz="6" w:space="0" w:color="000000"/>
              <w:right w:val="single" w:sz="8" w:space="0" w:color="000000"/>
            </w:tcBorders>
            <w:vAlign w:val="center"/>
          </w:tcPr>
          <w:p w14:paraId="657D7DB1" w14:textId="252077AB"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1A4BEF35" w14:textId="699BA213" w:rsidR="005B7208" w:rsidRDefault="005B7208" w:rsidP="005B7208">
            <w:pPr>
              <w:pStyle w:val="biaogeright"/>
              <w:wordWrap w:val="0"/>
              <w:rPr>
                <w:rFonts w:hint="eastAsia"/>
              </w:rPr>
            </w:pPr>
            <w:r w:rsidRPr="00A67984">
              <w:rPr>
                <w:rFonts w:hAnsi="等线"/>
                <w:color w:val="000000"/>
              </w:rPr>
              <w:t>-</w:t>
            </w:r>
          </w:p>
        </w:tc>
      </w:tr>
      <w:tr w:rsidR="005B7208" w14:paraId="40D48B6E"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086B2E9A" w14:textId="77777777" w:rsidR="005B7208" w:rsidRDefault="005B7208" w:rsidP="005B7208">
            <w:pPr>
              <w:pStyle w:val="biaogecenter"/>
              <w:wordWrap w:val="0"/>
              <w:rPr>
                <w:rFonts w:hint="eastAsia"/>
              </w:rPr>
            </w:pPr>
            <w:r>
              <w:rPr>
                <w:rFonts w:hAnsi="等线"/>
                <w:color w:val="000000"/>
              </w:rPr>
              <w:lastRenderedPageBreak/>
              <w:t>3</w:t>
            </w:r>
          </w:p>
        </w:tc>
        <w:tc>
          <w:tcPr>
            <w:tcW w:w="3481" w:type="dxa"/>
            <w:tcBorders>
              <w:top w:val="single" w:sz="8" w:space="0" w:color="000000"/>
              <w:left w:val="single" w:sz="8" w:space="0" w:color="000000"/>
              <w:bottom w:val="single" w:sz="6" w:space="0" w:color="000000"/>
              <w:right w:val="single" w:sz="8" w:space="0" w:color="000000"/>
            </w:tcBorders>
            <w:vAlign w:val="center"/>
          </w:tcPr>
          <w:p w14:paraId="12E77063" w14:textId="77777777" w:rsidR="005B7208" w:rsidRDefault="005B7208" w:rsidP="005B7208">
            <w:pPr>
              <w:pStyle w:val="biaogeleft"/>
              <w:wordWrap w:val="0"/>
              <w:rPr>
                <w:rFonts w:hint="eastAsia"/>
              </w:rPr>
            </w:pPr>
            <w:r>
              <w:rPr>
                <w:rFonts w:hAnsi="等线"/>
                <w:color w:val="000000"/>
              </w:rPr>
              <w:t>金融债券</w:t>
            </w:r>
          </w:p>
        </w:tc>
        <w:tc>
          <w:tcPr>
            <w:tcW w:w="2573" w:type="dxa"/>
            <w:tcBorders>
              <w:top w:val="single" w:sz="8" w:space="0" w:color="000000"/>
              <w:left w:val="single" w:sz="8" w:space="0" w:color="000000"/>
              <w:bottom w:val="single" w:sz="6" w:space="0" w:color="000000"/>
              <w:right w:val="single" w:sz="8" w:space="0" w:color="000000"/>
            </w:tcBorders>
            <w:vAlign w:val="center"/>
          </w:tcPr>
          <w:p w14:paraId="53CF4068" w14:textId="12A5B3A2"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50E6C9B2" w14:textId="79E90392" w:rsidR="005B7208" w:rsidRDefault="005B7208" w:rsidP="005B7208">
            <w:pPr>
              <w:pStyle w:val="biaogeright"/>
              <w:wordWrap w:val="0"/>
              <w:rPr>
                <w:rFonts w:hint="eastAsia"/>
              </w:rPr>
            </w:pPr>
            <w:r w:rsidRPr="00A67984">
              <w:rPr>
                <w:rFonts w:hAnsi="等线"/>
                <w:color w:val="000000"/>
              </w:rPr>
              <w:t>-</w:t>
            </w:r>
          </w:p>
        </w:tc>
      </w:tr>
      <w:tr w:rsidR="005B7208" w14:paraId="42DB9486"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34F5C5AA" w14:textId="77777777" w:rsidR="005B7208" w:rsidRDefault="005B7208" w:rsidP="005B7208"/>
        </w:tc>
        <w:tc>
          <w:tcPr>
            <w:tcW w:w="3481" w:type="dxa"/>
            <w:tcBorders>
              <w:top w:val="single" w:sz="8" w:space="0" w:color="000000"/>
              <w:left w:val="single" w:sz="8" w:space="0" w:color="000000"/>
              <w:bottom w:val="single" w:sz="6" w:space="0" w:color="000000"/>
              <w:right w:val="single" w:sz="8" w:space="0" w:color="000000"/>
            </w:tcBorders>
            <w:vAlign w:val="center"/>
          </w:tcPr>
          <w:p w14:paraId="53ACE844" w14:textId="77777777" w:rsidR="005B7208" w:rsidRDefault="005B7208" w:rsidP="005B7208">
            <w:pPr>
              <w:pStyle w:val="biaogeleft"/>
              <w:wordWrap w:val="0"/>
              <w:rPr>
                <w:rFonts w:hint="eastAsia"/>
              </w:rPr>
            </w:pPr>
            <w:r>
              <w:rPr>
                <w:rFonts w:hAnsi="等线"/>
                <w:color w:val="000000"/>
              </w:rPr>
              <w:t>其中：政策性金融债</w:t>
            </w:r>
          </w:p>
        </w:tc>
        <w:tc>
          <w:tcPr>
            <w:tcW w:w="2573" w:type="dxa"/>
            <w:tcBorders>
              <w:top w:val="single" w:sz="8" w:space="0" w:color="000000"/>
              <w:left w:val="single" w:sz="8" w:space="0" w:color="000000"/>
              <w:bottom w:val="single" w:sz="6" w:space="0" w:color="000000"/>
              <w:right w:val="single" w:sz="8" w:space="0" w:color="000000"/>
            </w:tcBorders>
            <w:vAlign w:val="center"/>
          </w:tcPr>
          <w:p w14:paraId="2B576CEB" w14:textId="7B3B014E"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53FA42A5" w14:textId="21AE048D" w:rsidR="005B7208" w:rsidRDefault="005B7208" w:rsidP="005B7208">
            <w:pPr>
              <w:pStyle w:val="biaogeright"/>
              <w:wordWrap w:val="0"/>
              <w:rPr>
                <w:rFonts w:hint="eastAsia"/>
              </w:rPr>
            </w:pPr>
            <w:r w:rsidRPr="00A67984">
              <w:rPr>
                <w:rFonts w:hAnsi="等线"/>
                <w:color w:val="000000"/>
              </w:rPr>
              <w:t>-</w:t>
            </w:r>
          </w:p>
        </w:tc>
      </w:tr>
      <w:tr w:rsidR="005B7208" w14:paraId="06E706A3"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7CDDB7AF" w14:textId="77777777" w:rsidR="005B7208" w:rsidRDefault="005B7208" w:rsidP="005B7208">
            <w:pPr>
              <w:pStyle w:val="biaogecenter"/>
              <w:wordWrap w:val="0"/>
              <w:rPr>
                <w:rFonts w:hint="eastAsia"/>
              </w:rPr>
            </w:pPr>
            <w:r>
              <w:rPr>
                <w:rFonts w:hAnsi="等线"/>
                <w:color w:val="000000"/>
              </w:rPr>
              <w:t>4</w:t>
            </w:r>
          </w:p>
        </w:tc>
        <w:tc>
          <w:tcPr>
            <w:tcW w:w="3481" w:type="dxa"/>
            <w:tcBorders>
              <w:top w:val="single" w:sz="8" w:space="0" w:color="000000"/>
              <w:left w:val="single" w:sz="8" w:space="0" w:color="000000"/>
              <w:bottom w:val="single" w:sz="6" w:space="0" w:color="000000"/>
              <w:right w:val="single" w:sz="8" w:space="0" w:color="000000"/>
            </w:tcBorders>
            <w:vAlign w:val="center"/>
          </w:tcPr>
          <w:p w14:paraId="60DCC110" w14:textId="77777777" w:rsidR="005B7208" w:rsidRDefault="005B7208" w:rsidP="005B7208">
            <w:pPr>
              <w:pStyle w:val="biaogeleft"/>
              <w:wordWrap w:val="0"/>
              <w:rPr>
                <w:rFonts w:hint="eastAsia"/>
              </w:rPr>
            </w:pPr>
            <w:r>
              <w:rPr>
                <w:rFonts w:hAnsi="等线"/>
                <w:color w:val="000000"/>
              </w:rPr>
              <w:t>企业债券</w:t>
            </w:r>
          </w:p>
        </w:tc>
        <w:tc>
          <w:tcPr>
            <w:tcW w:w="2573" w:type="dxa"/>
            <w:tcBorders>
              <w:top w:val="single" w:sz="8" w:space="0" w:color="000000"/>
              <w:left w:val="single" w:sz="8" w:space="0" w:color="000000"/>
              <w:bottom w:val="single" w:sz="6" w:space="0" w:color="000000"/>
              <w:right w:val="single" w:sz="8" w:space="0" w:color="000000"/>
            </w:tcBorders>
            <w:vAlign w:val="center"/>
          </w:tcPr>
          <w:p w14:paraId="0FE772D5" w14:textId="2BF14866"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3D2D1E0F" w14:textId="62734D37" w:rsidR="005B7208" w:rsidRDefault="005B7208" w:rsidP="005B7208">
            <w:pPr>
              <w:pStyle w:val="biaogeright"/>
              <w:wordWrap w:val="0"/>
              <w:rPr>
                <w:rFonts w:hint="eastAsia"/>
              </w:rPr>
            </w:pPr>
            <w:r w:rsidRPr="00A67984">
              <w:rPr>
                <w:rFonts w:hAnsi="等线"/>
                <w:color w:val="000000"/>
              </w:rPr>
              <w:t>-</w:t>
            </w:r>
          </w:p>
        </w:tc>
      </w:tr>
      <w:tr w:rsidR="005B7208" w14:paraId="6A280115"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67F63EE1" w14:textId="77777777" w:rsidR="005B7208" w:rsidRDefault="005B7208" w:rsidP="005B7208">
            <w:pPr>
              <w:pStyle w:val="biaogecenter"/>
              <w:wordWrap w:val="0"/>
              <w:rPr>
                <w:rFonts w:hint="eastAsia"/>
              </w:rPr>
            </w:pPr>
            <w:r>
              <w:rPr>
                <w:rFonts w:hAnsi="等线"/>
                <w:color w:val="000000"/>
              </w:rPr>
              <w:t>5</w:t>
            </w:r>
          </w:p>
        </w:tc>
        <w:tc>
          <w:tcPr>
            <w:tcW w:w="3481" w:type="dxa"/>
            <w:tcBorders>
              <w:top w:val="single" w:sz="8" w:space="0" w:color="000000"/>
              <w:left w:val="single" w:sz="8" w:space="0" w:color="000000"/>
              <w:bottom w:val="single" w:sz="6" w:space="0" w:color="000000"/>
              <w:right w:val="single" w:sz="8" w:space="0" w:color="000000"/>
            </w:tcBorders>
            <w:vAlign w:val="center"/>
          </w:tcPr>
          <w:p w14:paraId="6CD72942" w14:textId="77777777" w:rsidR="005B7208" w:rsidRDefault="005B7208" w:rsidP="005B7208">
            <w:pPr>
              <w:pStyle w:val="biaogeleft"/>
              <w:wordWrap w:val="0"/>
              <w:rPr>
                <w:rFonts w:hint="eastAsia"/>
              </w:rPr>
            </w:pPr>
            <w:r>
              <w:rPr>
                <w:rFonts w:hAnsi="等线"/>
                <w:color w:val="000000"/>
              </w:rPr>
              <w:t>企业短期融资券</w:t>
            </w:r>
          </w:p>
        </w:tc>
        <w:tc>
          <w:tcPr>
            <w:tcW w:w="2573" w:type="dxa"/>
            <w:tcBorders>
              <w:top w:val="single" w:sz="8" w:space="0" w:color="000000"/>
              <w:left w:val="single" w:sz="8" w:space="0" w:color="000000"/>
              <w:bottom w:val="single" w:sz="6" w:space="0" w:color="000000"/>
              <w:right w:val="single" w:sz="8" w:space="0" w:color="000000"/>
            </w:tcBorders>
            <w:vAlign w:val="center"/>
          </w:tcPr>
          <w:p w14:paraId="1556BBEB" w14:textId="7C6620DA"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3B73F26D" w14:textId="75073E48" w:rsidR="005B7208" w:rsidRDefault="005B7208" w:rsidP="005B7208">
            <w:pPr>
              <w:pStyle w:val="biaogeright"/>
              <w:wordWrap w:val="0"/>
              <w:rPr>
                <w:rFonts w:hint="eastAsia"/>
              </w:rPr>
            </w:pPr>
            <w:r w:rsidRPr="00A67984">
              <w:rPr>
                <w:rFonts w:hAnsi="等线"/>
                <w:color w:val="000000"/>
              </w:rPr>
              <w:t>-</w:t>
            </w:r>
          </w:p>
        </w:tc>
      </w:tr>
      <w:tr w:rsidR="005B7208" w14:paraId="6779B0F8"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1BBE7965" w14:textId="77777777" w:rsidR="005B7208" w:rsidRDefault="005B7208" w:rsidP="005B7208">
            <w:pPr>
              <w:pStyle w:val="biaogecenter"/>
              <w:wordWrap w:val="0"/>
              <w:rPr>
                <w:rFonts w:hint="eastAsia"/>
              </w:rPr>
            </w:pPr>
            <w:r>
              <w:rPr>
                <w:rFonts w:hAnsi="等线"/>
                <w:color w:val="000000"/>
              </w:rPr>
              <w:t>6</w:t>
            </w:r>
          </w:p>
        </w:tc>
        <w:tc>
          <w:tcPr>
            <w:tcW w:w="3481" w:type="dxa"/>
            <w:tcBorders>
              <w:top w:val="single" w:sz="8" w:space="0" w:color="000000"/>
              <w:left w:val="single" w:sz="8" w:space="0" w:color="000000"/>
              <w:bottom w:val="single" w:sz="6" w:space="0" w:color="000000"/>
              <w:right w:val="single" w:sz="8" w:space="0" w:color="000000"/>
            </w:tcBorders>
            <w:vAlign w:val="center"/>
          </w:tcPr>
          <w:p w14:paraId="7543C758" w14:textId="77777777" w:rsidR="005B7208" w:rsidRDefault="005B7208" w:rsidP="005B7208">
            <w:pPr>
              <w:pStyle w:val="biaogeleft"/>
              <w:wordWrap w:val="0"/>
              <w:rPr>
                <w:rFonts w:hint="eastAsia"/>
              </w:rPr>
            </w:pPr>
            <w:r>
              <w:rPr>
                <w:rFonts w:hAnsi="等线"/>
                <w:color w:val="000000"/>
              </w:rPr>
              <w:t>中期票据</w:t>
            </w:r>
          </w:p>
        </w:tc>
        <w:tc>
          <w:tcPr>
            <w:tcW w:w="2573" w:type="dxa"/>
            <w:tcBorders>
              <w:top w:val="single" w:sz="8" w:space="0" w:color="000000"/>
              <w:left w:val="single" w:sz="8" w:space="0" w:color="000000"/>
              <w:bottom w:val="single" w:sz="6" w:space="0" w:color="000000"/>
              <w:right w:val="single" w:sz="8" w:space="0" w:color="000000"/>
            </w:tcBorders>
            <w:vAlign w:val="center"/>
          </w:tcPr>
          <w:p w14:paraId="444368E3" w14:textId="31ED505C"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691BB849" w14:textId="7830AB2A" w:rsidR="005B7208" w:rsidRDefault="005B7208" w:rsidP="005B7208">
            <w:pPr>
              <w:pStyle w:val="biaogeright"/>
              <w:wordWrap w:val="0"/>
              <w:rPr>
                <w:rFonts w:hint="eastAsia"/>
              </w:rPr>
            </w:pPr>
            <w:r w:rsidRPr="00A67984">
              <w:rPr>
                <w:rFonts w:hAnsi="等线"/>
                <w:color w:val="000000"/>
              </w:rPr>
              <w:t>-</w:t>
            </w:r>
          </w:p>
        </w:tc>
      </w:tr>
      <w:tr w:rsidR="005B7208" w14:paraId="589FCAEE"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4286FBE0" w14:textId="77777777" w:rsidR="005B7208" w:rsidRDefault="005B7208" w:rsidP="005B7208">
            <w:pPr>
              <w:pStyle w:val="biaogecenter"/>
              <w:wordWrap w:val="0"/>
              <w:rPr>
                <w:rFonts w:hint="eastAsia"/>
              </w:rPr>
            </w:pPr>
            <w:r>
              <w:rPr>
                <w:rFonts w:hAnsi="等线"/>
                <w:color w:val="000000"/>
              </w:rPr>
              <w:t>7</w:t>
            </w:r>
          </w:p>
        </w:tc>
        <w:tc>
          <w:tcPr>
            <w:tcW w:w="3481" w:type="dxa"/>
            <w:tcBorders>
              <w:top w:val="single" w:sz="8" w:space="0" w:color="000000"/>
              <w:left w:val="single" w:sz="8" w:space="0" w:color="000000"/>
              <w:bottom w:val="single" w:sz="6" w:space="0" w:color="000000"/>
              <w:right w:val="single" w:sz="8" w:space="0" w:color="000000"/>
            </w:tcBorders>
            <w:vAlign w:val="center"/>
          </w:tcPr>
          <w:p w14:paraId="4F799BC9" w14:textId="77777777" w:rsidR="005B7208" w:rsidRDefault="005B7208" w:rsidP="005B7208">
            <w:pPr>
              <w:pStyle w:val="biaogeleft"/>
              <w:wordWrap w:val="0"/>
              <w:rPr>
                <w:rFonts w:hint="eastAsia"/>
              </w:rPr>
            </w:pPr>
            <w:r>
              <w:rPr>
                <w:rFonts w:hAnsi="等线"/>
                <w:color w:val="000000"/>
              </w:rPr>
              <w:t>可转债（可交换债）</w:t>
            </w:r>
          </w:p>
        </w:tc>
        <w:tc>
          <w:tcPr>
            <w:tcW w:w="2573" w:type="dxa"/>
            <w:tcBorders>
              <w:top w:val="single" w:sz="8" w:space="0" w:color="000000"/>
              <w:left w:val="single" w:sz="8" w:space="0" w:color="000000"/>
              <w:bottom w:val="single" w:sz="6" w:space="0" w:color="000000"/>
              <w:right w:val="single" w:sz="8" w:space="0" w:color="000000"/>
            </w:tcBorders>
            <w:vAlign w:val="center"/>
          </w:tcPr>
          <w:p w14:paraId="075A5EF1" w14:textId="7E2370FA"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30F8ECC3" w14:textId="30B21770" w:rsidR="005B7208" w:rsidRDefault="005B7208" w:rsidP="005B7208">
            <w:pPr>
              <w:pStyle w:val="biaogeright"/>
              <w:wordWrap w:val="0"/>
              <w:rPr>
                <w:rFonts w:hint="eastAsia"/>
              </w:rPr>
            </w:pPr>
            <w:r w:rsidRPr="00A67984">
              <w:rPr>
                <w:rFonts w:hAnsi="等线"/>
                <w:color w:val="000000"/>
              </w:rPr>
              <w:t>-</w:t>
            </w:r>
          </w:p>
        </w:tc>
      </w:tr>
      <w:tr w:rsidR="005B7208" w14:paraId="4966C282"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0539015A" w14:textId="77777777" w:rsidR="005B7208" w:rsidRDefault="005B7208" w:rsidP="005B7208">
            <w:pPr>
              <w:pStyle w:val="biaogecenter"/>
              <w:wordWrap w:val="0"/>
              <w:rPr>
                <w:rFonts w:hint="eastAsia"/>
              </w:rPr>
            </w:pPr>
            <w:r>
              <w:rPr>
                <w:rFonts w:hAnsi="等线"/>
                <w:color w:val="000000"/>
              </w:rPr>
              <w:t>8</w:t>
            </w:r>
          </w:p>
        </w:tc>
        <w:tc>
          <w:tcPr>
            <w:tcW w:w="3481" w:type="dxa"/>
            <w:tcBorders>
              <w:top w:val="single" w:sz="8" w:space="0" w:color="000000"/>
              <w:left w:val="single" w:sz="8" w:space="0" w:color="000000"/>
              <w:bottom w:val="single" w:sz="6" w:space="0" w:color="000000"/>
              <w:right w:val="single" w:sz="8" w:space="0" w:color="000000"/>
            </w:tcBorders>
            <w:vAlign w:val="center"/>
          </w:tcPr>
          <w:p w14:paraId="76F59AF4" w14:textId="77777777" w:rsidR="005B7208" w:rsidRDefault="005B7208" w:rsidP="005B7208">
            <w:pPr>
              <w:pStyle w:val="biaogeleft"/>
              <w:wordWrap w:val="0"/>
              <w:rPr>
                <w:rFonts w:hint="eastAsia"/>
              </w:rPr>
            </w:pPr>
            <w:r>
              <w:rPr>
                <w:rFonts w:hAnsi="等线"/>
                <w:color w:val="000000"/>
              </w:rPr>
              <w:t>同业存单</w:t>
            </w:r>
          </w:p>
        </w:tc>
        <w:tc>
          <w:tcPr>
            <w:tcW w:w="2573" w:type="dxa"/>
            <w:tcBorders>
              <w:top w:val="single" w:sz="8" w:space="0" w:color="000000"/>
              <w:left w:val="single" w:sz="8" w:space="0" w:color="000000"/>
              <w:bottom w:val="single" w:sz="6" w:space="0" w:color="000000"/>
              <w:right w:val="single" w:sz="8" w:space="0" w:color="000000"/>
            </w:tcBorders>
            <w:vAlign w:val="center"/>
          </w:tcPr>
          <w:p w14:paraId="47468ADC" w14:textId="3B39FDD4"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7849FC73" w14:textId="3ACB7533" w:rsidR="005B7208" w:rsidRDefault="005B7208" w:rsidP="005B7208">
            <w:pPr>
              <w:pStyle w:val="biaogeright"/>
              <w:wordWrap w:val="0"/>
              <w:rPr>
                <w:rFonts w:hint="eastAsia"/>
              </w:rPr>
            </w:pPr>
            <w:r w:rsidRPr="00A67984">
              <w:rPr>
                <w:rFonts w:hAnsi="等线"/>
                <w:color w:val="000000"/>
              </w:rPr>
              <w:t>-</w:t>
            </w:r>
          </w:p>
        </w:tc>
      </w:tr>
      <w:tr w:rsidR="005B7208" w14:paraId="5C121DF2"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0640E373" w14:textId="77777777" w:rsidR="005B7208" w:rsidRDefault="005B7208" w:rsidP="005B7208">
            <w:pPr>
              <w:pStyle w:val="biaogecenter"/>
              <w:wordWrap w:val="0"/>
              <w:rPr>
                <w:rFonts w:hint="eastAsia"/>
              </w:rPr>
            </w:pPr>
            <w:r>
              <w:rPr>
                <w:rFonts w:hAnsi="等线"/>
                <w:color w:val="000000"/>
              </w:rPr>
              <w:t>9</w:t>
            </w:r>
          </w:p>
        </w:tc>
        <w:tc>
          <w:tcPr>
            <w:tcW w:w="3481" w:type="dxa"/>
            <w:tcBorders>
              <w:top w:val="single" w:sz="8" w:space="0" w:color="000000"/>
              <w:left w:val="single" w:sz="8" w:space="0" w:color="000000"/>
              <w:bottom w:val="single" w:sz="6" w:space="0" w:color="000000"/>
              <w:right w:val="single" w:sz="8" w:space="0" w:color="000000"/>
            </w:tcBorders>
            <w:vAlign w:val="center"/>
          </w:tcPr>
          <w:p w14:paraId="02626DAD" w14:textId="77777777" w:rsidR="005B7208" w:rsidRDefault="005B7208" w:rsidP="005B7208">
            <w:pPr>
              <w:pStyle w:val="biaogeleft"/>
              <w:wordWrap w:val="0"/>
              <w:rPr>
                <w:rFonts w:hint="eastAsia"/>
              </w:rPr>
            </w:pPr>
            <w:r>
              <w:rPr>
                <w:rFonts w:hAnsi="等线"/>
                <w:color w:val="000000"/>
              </w:rPr>
              <w:t>其他</w:t>
            </w:r>
          </w:p>
        </w:tc>
        <w:tc>
          <w:tcPr>
            <w:tcW w:w="2573" w:type="dxa"/>
            <w:tcBorders>
              <w:top w:val="single" w:sz="8" w:space="0" w:color="000000"/>
              <w:left w:val="single" w:sz="8" w:space="0" w:color="000000"/>
              <w:bottom w:val="single" w:sz="6" w:space="0" w:color="000000"/>
              <w:right w:val="single" w:sz="8" w:space="0" w:color="000000"/>
            </w:tcBorders>
            <w:vAlign w:val="center"/>
          </w:tcPr>
          <w:p w14:paraId="1516307C" w14:textId="2A5BEE6F" w:rsidR="005B7208" w:rsidRDefault="005B7208" w:rsidP="005B7208">
            <w:pPr>
              <w:pStyle w:val="biaogeright"/>
              <w:wordWrap w:val="0"/>
              <w:rPr>
                <w:rFonts w:hint="eastAsia"/>
              </w:rPr>
            </w:pPr>
            <w:r w:rsidRPr="00A6798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tcPr>
          <w:p w14:paraId="0F4EC617" w14:textId="23D6E80D" w:rsidR="005B7208" w:rsidRDefault="005B7208" w:rsidP="005B7208">
            <w:pPr>
              <w:pStyle w:val="biaogeright"/>
              <w:wordWrap w:val="0"/>
              <w:rPr>
                <w:rFonts w:hint="eastAsia"/>
              </w:rPr>
            </w:pPr>
            <w:r w:rsidRPr="00A67984">
              <w:rPr>
                <w:rFonts w:hAnsi="等线"/>
                <w:color w:val="000000"/>
              </w:rPr>
              <w:t>-</w:t>
            </w:r>
          </w:p>
        </w:tc>
      </w:tr>
      <w:tr w:rsidR="005B7208" w14:paraId="1E5C0591" w14:textId="77777777" w:rsidTr="005B7208">
        <w:tc>
          <w:tcPr>
            <w:tcW w:w="1210" w:type="dxa"/>
            <w:tcBorders>
              <w:top w:val="single" w:sz="8" w:space="0" w:color="000000"/>
              <w:left w:val="single" w:sz="8" w:space="0" w:color="000000"/>
              <w:bottom w:val="single" w:sz="6" w:space="0" w:color="000000"/>
              <w:right w:val="single" w:sz="8" w:space="0" w:color="000000"/>
            </w:tcBorders>
            <w:vAlign w:val="center"/>
          </w:tcPr>
          <w:p w14:paraId="3E13B298" w14:textId="77777777" w:rsidR="005B7208" w:rsidRDefault="005B7208" w:rsidP="005B7208">
            <w:pPr>
              <w:pStyle w:val="biaogecenter"/>
              <w:wordWrap w:val="0"/>
              <w:rPr>
                <w:rFonts w:hint="eastAsia"/>
              </w:rPr>
            </w:pPr>
            <w:r>
              <w:rPr>
                <w:rFonts w:hAnsi="等线"/>
                <w:color w:val="000000"/>
              </w:rPr>
              <w:t>10</w:t>
            </w:r>
          </w:p>
        </w:tc>
        <w:tc>
          <w:tcPr>
            <w:tcW w:w="3481" w:type="dxa"/>
            <w:tcBorders>
              <w:top w:val="single" w:sz="8" w:space="0" w:color="000000"/>
              <w:left w:val="single" w:sz="8" w:space="0" w:color="000000"/>
              <w:bottom w:val="single" w:sz="6" w:space="0" w:color="000000"/>
              <w:right w:val="single" w:sz="8" w:space="0" w:color="000000"/>
            </w:tcBorders>
            <w:vAlign w:val="center"/>
          </w:tcPr>
          <w:p w14:paraId="14B7375B" w14:textId="77777777" w:rsidR="005B7208" w:rsidRDefault="005B7208" w:rsidP="005B7208">
            <w:pPr>
              <w:pStyle w:val="biaogeleft"/>
              <w:wordWrap w:val="0"/>
              <w:rPr>
                <w:rFonts w:hint="eastAsia"/>
              </w:rPr>
            </w:pPr>
            <w:r>
              <w:rPr>
                <w:rFonts w:hAnsi="等线"/>
                <w:color w:val="000000"/>
              </w:rPr>
              <w:t>合计</w:t>
            </w:r>
          </w:p>
        </w:tc>
        <w:tc>
          <w:tcPr>
            <w:tcW w:w="2573" w:type="dxa"/>
            <w:tcBorders>
              <w:top w:val="single" w:sz="8" w:space="0" w:color="000000"/>
              <w:left w:val="single" w:sz="8" w:space="0" w:color="000000"/>
              <w:bottom w:val="single" w:sz="6" w:space="0" w:color="000000"/>
              <w:right w:val="single" w:sz="8" w:space="0" w:color="000000"/>
            </w:tcBorders>
            <w:vAlign w:val="center"/>
          </w:tcPr>
          <w:p w14:paraId="53D35222" w14:textId="0690F864" w:rsidR="005B7208" w:rsidRDefault="005B7208" w:rsidP="005B7208">
            <w:pPr>
              <w:pStyle w:val="biaogeright"/>
              <w:wordWrap w:val="0"/>
              <w:rPr>
                <w:rFonts w:hint="eastAsia"/>
              </w:rPr>
            </w:pPr>
            <w:r w:rsidRPr="00A67984">
              <w:rPr>
                <w:rFonts w:hAnsi="等线"/>
                <w:color w:val="000000"/>
              </w:rPr>
              <w:t>403,589.26</w:t>
            </w:r>
          </w:p>
        </w:tc>
        <w:tc>
          <w:tcPr>
            <w:tcW w:w="1816" w:type="dxa"/>
            <w:tcBorders>
              <w:top w:val="single" w:sz="8" w:space="0" w:color="000000"/>
              <w:left w:val="single" w:sz="8" w:space="0" w:color="000000"/>
              <w:bottom w:val="single" w:sz="6" w:space="0" w:color="000000"/>
              <w:right w:val="single" w:sz="8" w:space="0" w:color="000000"/>
            </w:tcBorders>
            <w:vAlign w:val="center"/>
          </w:tcPr>
          <w:p w14:paraId="6D02C568" w14:textId="0295DA9D" w:rsidR="005B7208" w:rsidRDefault="005B7208" w:rsidP="005B7208">
            <w:pPr>
              <w:pStyle w:val="biaogeright"/>
              <w:wordWrap w:val="0"/>
              <w:rPr>
                <w:rFonts w:hint="eastAsia"/>
              </w:rPr>
            </w:pPr>
            <w:r w:rsidRPr="00A67984">
              <w:rPr>
                <w:rFonts w:hAnsi="等线"/>
                <w:color w:val="000000"/>
              </w:rPr>
              <w:t>6.82</w:t>
            </w:r>
          </w:p>
        </w:tc>
      </w:tr>
    </w:tbl>
    <w:p w14:paraId="4B4E5CF9"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851995F"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5、报告期末按公允价值占基金资产净值比例大小排序的前五名债券投资明细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8D0810" w14:paraId="60D1F7B0" w14:textId="77777777" w:rsidTr="005B7208">
        <w:tc>
          <w:tcPr>
            <w:tcW w:w="472" w:type="dxa"/>
            <w:tcBorders>
              <w:top w:val="single" w:sz="8" w:space="0" w:color="000000"/>
              <w:left w:val="single" w:sz="8" w:space="0" w:color="000000"/>
              <w:bottom w:val="single" w:sz="6" w:space="0" w:color="000000"/>
              <w:right w:val="single" w:sz="8" w:space="0" w:color="000000"/>
            </w:tcBorders>
            <w:vAlign w:val="center"/>
          </w:tcPr>
          <w:p w14:paraId="0D758DFB" w14:textId="77777777" w:rsidR="008D0810" w:rsidRDefault="00417F9F">
            <w:pPr>
              <w:pStyle w:val="biaogecenter"/>
              <w:wordWrap w:val="0"/>
              <w:rPr>
                <w:rFonts w:hint="eastAsia"/>
              </w:rPr>
            </w:pPr>
            <w:r>
              <w:rPr>
                <w:rFonts w:hAnsi="等线"/>
                <w:color w:val="000000"/>
              </w:rPr>
              <w:t>序号</w:t>
            </w:r>
          </w:p>
        </w:tc>
        <w:tc>
          <w:tcPr>
            <w:tcW w:w="1334" w:type="dxa"/>
            <w:tcBorders>
              <w:top w:val="single" w:sz="8" w:space="0" w:color="000000"/>
              <w:left w:val="single" w:sz="8" w:space="0" w:color="000000"/>
              <w:bottom w:val="single" w:sz="6" w:space="0" w:color="000000"/>
              <w:right w:val="single" w:sz="8" w:space="0" w:color="000000"/>
            </w:tcBorders>
            <w:vAlign w:val="center"/>
          </w:tcPr>
          <w:p w14:paraId="71D4A00F" w14:textId="77777777" w:rsidR="008D0810" w:rsidRDefault="00417F9F">
            <w:pPr>
              <w:pStyle w:val="biaogecenter"/>
              <w:wordWrap w:val="0"/>
              <w:rPr>
                <w:rFonts w:hint="eastAsia"/>
              </w:rPr>
            </w:pPr>
            <w:r>
              <w:rPr>
                <w:rFonts w:hAnsi="等线"/>
                <w:color w:val="000000"/>
              </w:rPr>
              <w:t>债券代码</w:t>
            </w:r>
          </w:p>
        </w:tc>
        <w:tc>
          <w:tcPr>
            <w:tcW w:w="1924" w:type="dxa"/>
            <w:tcBorders>
              <w:top w:val="single" w:sz="8" w:space="0" w:color="000000"/>
              <w:left w:val="single" w:sz="8" w:space="0" w:color="000000"/>
              <w:bottom w:val="single" w:sz="6" w:space="0" w:color="000000"/>
              <w:right w:val="single" w:sz="8" w:space="0" w:color="000000"/>
            </w:tcBorders>
            <w:vAlign w:val="center"/>
          </w:tcPr>
          <w:p w14:paraId="050D6367" w14:textId="77777777" w:rsidR="008D0810" w:rsidRDefault="00417F9F">
            <w:pPr>
              <w:pStyle w:val="biaogecenter"/>
              <w:wordWrap w:val="0"/>
              <w:rPr>
                <w:rFonts w:hint="eastAsia"/>
              </w:rPr>
            </w:pPr>
            <w:r>
              <w:rPr>
                <w:rFonts w:hAnsi="等线"/>
                <w:color w:val="000000"/>
              </w:rPr>
              <w:t>债券名称</w:t>
            </w:r>
          </w:p>
        </w:tc>
        <w:tc>
          <w:tcPr>
            <w:tcW w:w="1490" w:type="dxa"/>
            <w:tcBorders>
              <w:top w:val="single" w:sz="8" w:space="0" w:color="000000"/>
              <w:left w:val="single" w:sz="8" w:space="0" w:color="000000"/>
              <w:bottom w:val="single" w:sz="6" w:space="0" w:color="000000"/>
              <w:right w:val="single" w:sz="8" w:space="0" w:color="000000"/>
            </w:tcBorders>
            <w:vAlign w:val="center"/>
          </w:tcPr>
          <w:p w14:paraId="6DAB14F2" w14:textId="77777777" w:rsidR="008D0810" w:rsidRDefault="00417F9F">
            <w:pPr>
              <w:pStyle w:val="biaogecenter"/>
              <w:wordWrap w:val="0"/>
              <w:rPr>
                <w:rFonts w:hint="eastAsia"/>
              </w:rPr>
            </w:pPr>
            <w:r>
              <w:rPr>
                <w:rFonts w:hAnsi="等线"/>
                <w:color w:val="000000"/>
              </w:rPr>
              <w:t>数量（张）</w:t>
            </w:r>
          </w:p>
        </w:tc>
        <w:tc>
          <w:tcPr>
            <w:tcW w:w="2075" w:type="dxa"/>
            <w:tcBorders>
              <w:top w:val="single" w:sz="8" w:space="0" w:color="000000"/>
              <w:left w:val="single" w:sz="8" w:space="0" w:color="000000"/>
              <w:bottom w:val="single" w:sz="6" w:space="0" w:color="000000"/>
              <w:right w:val="single" w:sz="8" w:space="0" w:color="000000"/>
            </w:tcBorders>
            <w:vAlign w:val="center"/>
          </w:tcPr>
          <w:p w14:paraId="574F8066" w14:textId="77777777" w:rsidR="008D0810" w:rsidRDefault="00417F9F">
            <w:pPr>
              <w:pStyle w:val="biaogecenter"/>
              <w:wordWrap w:val="0"/>
              <w:rPr>
                <w:rFonts w:hint="eastAsia"/>
              </w:rPr>
            </w:pPr>
            <w:r>
              <w:rPr>
                <w:rFonts w:hAnsi="等线"/>
                <w:color w:val="000000"/>
              </w:rPr>
              <w:t>公允价值(元)</w:t>
            </w:r>
          </w:p>
        </w:tc>
        <w:tc>
          <w:tcPr>
            <w:tcW w:w="1785" w:type="dxa"/>
            <w:tcBorders>
              <w:top w:val="single" w:sz="8" w:space="0" w:color="000000"/>
              <w:left w:val="single" w:sz="8" w:space="0" w:color="000000"/>
              <w:bottom w:val="single" w:sz="6" w:space="0" w:color="000000"/>
              <w:right w:val="single" w:sz="8" w:space="0" w:color="000000"/>
            </w:tcBorders>
            <w:vAlign w:val="center"/>
          </w:tcPr>
          <w:p w14:paraId="1FFDA5E5" w14:textId="77777777" w:rsidR="008D0810" w:rsidRDefault="00417F9F">
            <w:pPr>
              <w:pStyle w:val="biaogecenter"/>
              <w:wordWrap w:val="0"/>
              <w:rPr>
                <w:rFonts w:hint="eastAsia"/>
              </w:rPr>
            </w:pPr>
            <w:r>
              <w:rPr>
                <w:rFonts w:hAnsi="等线"/>
                <w:color w:val="000000"/>
              </w:rPr>
              <w:t>占基金资产净值比例（％）</w:t>
            </w:r>
          </w:p>
        </w:tc>
      </w:tr>
      <w:tr w:rsidR="005B7208" w14:paraId="3923363A" w14:textId="77777777" w:rsidTr="005B7208">
        <w:tc>
          <w:tcPr>
            <w:tcW w:w="0" w:type="auto"/>
            <w:tcBorders>
              <w:top w:val="single" w:sz="8" w:space="0" w:color="000000"/>
              <w:left w:val="single" w:sz="8" w:space="0" w:color="000000"/>
              <w:bottom w:val="single" w:sz="6" w:space="0" w:color="000000"/>
              <w:right w:val="single" w:sz="8" w:space="0" w:color="000000"/>
            </w:tcBorders>
            <w:vAlign w:val="center"/>
          </w:tcPr>
          <w:p w14:paraId="72180F4C" w14:textId="77777777" w:rsidR="005B7208" w:rsidRDefault="005B7208" w:rsidP="005B7208">
            <w:pPr>
              <w:pStyle w:val="biaogecenter"/>
              <w:wordWrap w:val="0"/>
              <w:rPr>
                <w:rFonts w:hint="eastAsia"/>
              </w:rPr>
            </w:pPr>
            <w:r>
              <w:rPr>
                <w:rFonts w:hAnsi="等线"/>
                <w:color w:val="000000"/>
              </w:rPr>
              <w:t>1</w:t>
            </w:r>
          </w:p>
        </w:tc>
        <w:tc>
          <w:tcPr>
            <w:tcW w:w="1334" w:type="dxa"/>
            <w:tcBorders>
              <w:top w:val="single" w:sz="8" w:space="0" w:color="000000"/>
              <w:left w:val="single" w:sz="8" w:space="0" w:color="000000"/>
              <w:bottom w:val="single" w:sz="6" w:space="0" w:color="000000"/>
              <w:right w:val="single" w:sz="8" w:space="0" w:color="000000"/>
            </w:tcBorders>
            <w:vAlign w:val="center"/>
          </w:tcPr>
          <w:p w14:paraId="200FDA30" w14:textId="49F07B0C" w:rsidR="005B7208" w:rsidRDefault="005B7208" w:rsidP="005B7208">
            <w:pPr>
              <w:pStyle w:val="biaogeleft"/>
              <w:wordWrap w:val="0"/>
              <w:rPr>
                <w:rFonts w:hint="eastAsia"/>
              </w:rPr>
            </w:pPr>
            <w:r w:rsidRPr="00A67984">
              <w:rPr>
                <w:rFonts w:hAnsi="等线"/>
                <w:color w:val="000000"/>
              </w:rPr>
              <w:t>019758</w:t>
            </w:r>
          </w:p>
        </w:tc>
        <w:tc>
          <w:tcPr>
            <w:tcW w:w="1924" w:type="dxa"/>
            <w:tcBorders>
              <w:top w:val="single" w:sz="8" w:space="0" w:color="000000"/>
              <w:left w:val="single" w:sz="8" w:space="0" w:color="000000"/>
              <w:bottom w:val="single" w:sz="6" w:space="0" w:color="000000"/>
              <w:right w:val="single" w:sz="8" w:space="0" w:color="000000"/>
            </w:tcBorders>
            <w:vAlign w:val="center"/>
          </w:tcPr>
          <w:p w14:paraId="1B32156B" w14:textId="33E5F1CB" w:rsidR="005B7208" w:rsidRDefault="005B7208" w:rsidP="005B7208">
            <w:pPr>
              <w:pStyle w:val="biaogeleft"/>
              <w:wordWrap w:val="0"/>
              <w:rPr>
                <w:rFonts w:hint="eastAsia"/>
              </w:rPr>
            </w:pPr>
            <w:r w:rsidRPr="00A67984">
              <w:rPr>
                <w:rFonts w:hAnsi="等线"/>
                <w:color w:val="000000"/>
              </w:rPr>
              <w:t>24国债21</w:t>
            </w:r>
          </w:p>
        </w:tc>
        <w:tc>
          <w:tcPr>
            <w:tcW w:w="1490" w:type="dxa"/>
            <w:tcBorders>
              <w:top w:val="single" w:sz="8" w:space="0" w:color="000000"/>
              <w:left w:val="single" w:sz="8" w:space="0" w:color="000000"/>
              <w:bottom w:val="single" w:sz="6" w:space="0" w:color="000000"/>
              <w:right w:val="single" w:sz="8" w:space="0" w:color="000000"/>
            </w:tcBorders>
            <w:vAlign w:val="center"/>
          </w:tcPr>
          <w:p w14:paraId="6B6C6344" w14:textId="1779CCBE" w:rsidR="005B7208" w:rsidRDefault="005B7208" w:rsidP="005B7208">
            <w:pPr>
              <w:pStyle w:val="biaogeright"/>
              <w:wordWrap w:val="0"/>
              <w:rPr>
                <w:rFonts w:hint="eastAsia"/>
              </w:rPr>
            </w:pPr>
            <w:r w:rsidRPr="00A67984">
              <w:rPr>
                <w:rFonts w:hAnsi="等线"/>
                <w:color w:val="000000"/>
              </w:rPr>
              <w:t>4,000</w:t>
            </w:r>
          </w:p>
        </w:tc>
        <w:tc>
          <w:tcPr>
            <w:tcW w:w="2075" w:type="dxa"/>
            <w:tcBorders>
              <w:top w:val="single" w:sz="8" w:space="0" w:color="000000"/>
              <w:left w:val="single" w:sz="8" w:space="0" w:color="000000"/>
              <w:bottom w:val="single" w:sz="6" w:space="0" w:color="000000"/>
              <w:right w:val="single" w:sz="8" w:space="0" w:color="000000"/>
            </w:tcBorders>
            <w:vAlign w:val="center"/>
          </w:tcPr>
          <w:p w14:paraId="382906CA" w14:textId="36B06041" w:rsidR="005B7208" w:rsidRDefault="005B7208" w:rsidP="005B7208">
            <w:pPr>
              <w:pStyle w:val="biaogeright"/>
              <w:wordWrap w:val="0"/>
              <w:rPr>
                <w:rFonts w:hint="eastAsia"/>
              </w:rPr>
            </w:pPr>
            <w:r w:rsidRPr="00A67984">
              <w:rPr>
                <w:rFonts w:hAnsi="等线"/>
                <w:color w:val="000000"/>
              </w:rPr>
              <w:t>403,589.26</w:t>
            </w:r>
          </w:p>
        </w:tc>
        <w:tc>
          <w:tcPr>
            <w:tcW w:w="0" w:type="auto"/>
            <w:tcBorders>
              <w:top w:val="single" w:sz="8" w:space="0" w:color="000000"/>
              <w:left w:val="single" w:sz="8" w:space="0" w:color="000000"/>
              <w:bottom w:val="single" w:sz="6" w:space="0" w:color="000000"/>
              <w:right w:val="single" w:sz="8" w:space="0" w:color="000000"/>
            </w:tcBorders>
            <w:vAlign w:val="center"/>
          </w:tcPr>
          <w:p w14:paraId="18F63A31" w14:textId="27695F2D" w:rsidR="005B7208" w:rsidRDefault="005B7208" w:rsidP="005B7208">
            <w:pPr>
              <w:pStyle w:val="biaogeright"/>
              <w:wordWrap w:val="0"/>
              <w:rPr>
                <w:rFonts w:hint="eastAsia"/>
              </w:rPr>
            </w:pPr>
            <w:r w:rsidRPr="00A67984">
              <w:rPr>
                <w:rFonts w:hAnsi="等线"/>
                <w:color w:val="000000"/>
              </w:rPr>
              <w:t>6.82</w:t>
            </w:r>
          </w:p>
        </w:tc>
      </w:tr>
    </w:tbl>
    <w:p w14:paraId="16E43367"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B94B236"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22859983"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本基金本报告期末未持有资产支持证券。</w:t>
      </w:r>
    </w:p>
    <w:p w14:paraId="7A5EEC89" w14:textId="77777777" w:rsidR="008D0810" w:rsidRDefault="008D0810">
      <w:pPr>
        <w:autoSpaceDE w:val="0"/>
        <w:autoSpaceDN w:val="0"/>
        <w:spacing w:line="360" w:lineRule="auto"/>
        <w:ind w:firstLineChars="200" w:firstLine="420"/>
        <w:textAlignment w:val="bottom"/>
        <w:rPr>
          <w:rFonts w:asciiTheme="minorEastAsia" w:hAnsiTheme="minorEastAsia" w:cs="Times New Roman" w:hint="eastAsia"/>
          <w:bCs/>
        </w:rPr>
      </w:pPr>
    </w:p>
    <w:p w14:paraId="26A53B95"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7、报告期末按公允价值占基金资产净值比例大小排序的前五名贵金属投资明细</w:t>
      </w:r>
    </w:p>
    <w:p w14:paraId="2BEB87B1"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本基金本报告期末未持有贵金属。</w:t>
      </w:r>
    </w:p>
    <w:p w14:paraId="05C14C7F" w14:textId="77777777" w:rsidR="008D0810" w:rsidRDefault="008D0810">
      <w:pPr>
        <w:autoSpaceDE w:val="0"/>
        <w:autoSpaceDN w:val="0"/>
        <w:spacing w:line="360" w:lineRule="auto"/>
        <w:ind w:firstLineChars="200" w:firstLine="420"/>
        <w:textAlignment w:val="bottom"/>
        <w:rPr>
          <w:rFonts w:asciiTheme="minorEastAsia" w:hAnsiTheme="minorEastAsia" w:cs="Times New Roman" w:hint="eastAsia"/>
          <w:bCs/>
        </w:rPr>
      </w:pPr>
    </w:p>
    <w:p w14:paraId="63A06AA4"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8、报告期末按公允价值占基金资产净值比例大小排序的前五名权证投资明细</w:t>
      </w:r>
    </w:p>
    <w:p w14:paraId="1C2812DC"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本基金本报告期末未持有权证。</w:t>
      </w:r>
    </w:p>
    <w:p w14:paraId="4868505F"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64E02D2B"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9、报告期末本基金投资的股指期货交易情况说明</w:t>
      </w:r>
    </w:p>
    <w:p w14:paraId="0731B09A"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1850BF97"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6CD2CDCF"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2）本基金投资股指期货的投资政策</w:t>
      </w:r>
    </w:p>
    <w:p w14:paraId="6E2E62C0"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048F56F7"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0A07F4E9"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10、报告期末本基金投资的国债期货交易情况说明</w:t>
      </w:r>
    </w:p>
    <w:p w14:paraId="6E4B4471"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88D8CEC"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49642CE6"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231B545D"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本期报告期末未投资国债期货。</w:t>
      </w:r>
    </w:p>
    <w:p w14:paraId="6A804155"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5575A01"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1324C96F"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05505E7A"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11、投资组合报告附注 </w:t>
      </w:r>
    </w:p>
    <w:p w14:paraId="0765C8D1" w14:textId="77777777" w:rsidR="005B7208" w:rsidRPr="00A67984" w:rsidRDefault="00417F9F" w:rsidP="005B7208">
      <w:pPr>
        <w:pStyle w:val="zhangjiep2"/>
        <w:rPr>
          <w:rFonts w:hAnsi="等线" w:hint="eastAsia"/>
          <w:b/>
          <w:color w:val="000000"/>
        </w:rPr>
      </w:pPr>
      <w:r>
        <w:rPr>
          <w:rFonts w:asciiTheme="minorEastAsia" w:hAnsiTheme="minorEastAsia" w:cs="Times New Roman" w:hint="eastAsia"/>
          <w:bCs/>
        </w:rPr>
        <w:t>（</w:t>
      </w:r>
      <w:r>
        <w:rPr>
          <w:rFonts w:asciiTheme="minorEastAsia" w:hAnsiTheme="minorEastAsia" w:cs="Times New Roman"/>
          <w:bCs/>
        </w:rPr>
        <w:t>1）</w:t>
      </w:r>
      <w:r w:rsidR="005B7208" w:rsidRPr="00A67984">
        <w:rPr>
          <w:rFonts w:hAnsi="等线"/>
          <w:b/>
          <w:color w:val="000000"/>
        </w:rPr>
        <w:t>本基金投资的前十名证券的发行主体中，趣睡科技在报告编制日前一年内因未履行信披义务、重大事项未履行审议程序被深圳证券交易所出具监管函；因信息披露违规、未履行信披义务、 未依法履行其他职责被中国证券监督管理委员会四川监管局采取责令改正的行政监管措施并计入诚信档案。</w:t>
      </w:r>
    </w:p>
    <w:p w14:paraId="66D5B74A" w14:textId="77777777" w:rsidR="005B7208" w:rsidRDefault="005B7208" w:rsidP="005B7208">
      <w:pPr>
        <w:pStyle w:val="biaogeleft"/>
        <w:ind w:firstLine="480"/>
        <w:rPr>
          <w:rFonts w:hint="eastAsia"/>
          <w:b/>
          <w:color w:val="000000"/>
        </w:rPr>
      </w:pPr>
      <w:r>
        <w:rPr>
          <w:b/>
          <w:color w:val="000000"/>
        </w:rPr>
        <w:t>本基金对上述主体发行的相关证券的投资决策程序符合相关法律法规及基金合同的要求。</w:t>
      </w:r>
    </w:p>
    <w:p w14:paraId="774515CE" w14:textId="107518B8" w:rsidR="008D0810" w:rsidRDefault="005B7208" w:rsidP="005B7208">
      <w:pPr>
        <w:pStyle w:val="zhangjiep2"/>
        <w:ind w:firstLineChars="200" w:firstLine="482"/>
        <w:rPr>
          <w:rFonts w:asciiTheme="minorEastAsia" w:hAnsiTheme="minorEastAsia" w:cs="Times New Roman" w:hint="eastAsia"/>
          <w:bCs/>
        </w:rPr>
      </w:pPr>
      <w:r>
        <w:rPr>
          <w:b/>
          <w:color w:val="000000"/>
        </w:rPr>
        <w:t>除上述主体外，本基金投资的其他前十名证券的发行主体本期没有出现被监管部门立案调查，或在报告编制日前一年内受到公开谴责、处罚的情形。</w:t>
      </w:r>
    </w:p>
    <w:p w14:paraId="3062757A" w14:textId="77777777" w:rsidR="008D0810" w:rsidRDefault="00417F9F">
      <w:pPr>
        <w:autoSpaceDE w:val="0"/>
        <w:autoSpaceDN w:val="0"/>
        <w:spacing w:line="360" w:lineRule="auto"/>
        <w:ind w:firstLine="420"/>
        <w:textAlignment w:val="bottom"/>
        <w:rPr>
          <w:rFonts w:asciiTheme="minorEastAsia" w:hAnsiTheme="minorEastAsia" w:cs="Times New Roman" w:hint="eastAsia"/>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C4183B0" w14:textId="77777777" w:rsidR="008D0810" w:rsidRDefault="00417F9F">
      <w:pPr>
        <w:autoSpaceDE w:val="0"/>
        <w:autoSpaceDN w:val="0"/>
        <w:spacing w:line="360" w:lineRule="auto"/>
        <w:ind w:firstLine="42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8D0810" w14:paraId="3C4EAB3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865E3E3" w14:textId="77777777" w:rsidR="008D0810" w:rsidRDefault="00417F9F">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47E432FD" w14:textId="77777777" w:rsidR="008D0810" w:rsidRDefault="00417F9F">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1884DE3E" w14:textId="77777777" w:rsidR="008D0810" w:rsidRDefault="00417F9F">
            <w:pPr>
              <w:pStyle w:val="biaogecenter"/>
              <w:wordWrap w:val="0"/>
              <w:rPr>
                <w:rFonts w:hint="eastAsia"/>
              </w:rPr>
            </w:pPr>
            <w:r>
              <w:rPr>
                <w:rFonts w:hint="eastAsia"/>
              </w:rPr>
              <w:t>金额(元)</w:t>
            </w:r>
          </w:p>
        </w:tc>
      </w:tr>
      <w:tr w:rsidR="005B7208" w14:paraId="7CD4F61E"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10A5942" w14:textId="77777777" w:rsidR="005B7208" w:rsidRDefault="005B7208" w:rsidP="005B7208">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750F0660" w14:textId="77777777" w:rsidR="005B7208" w:rsidRDefault="005B7208" w:rsidP="005B7208">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5C748310" w14:textId="7741F660" w:rsidR="005B7208" w:rsidRDefault="005B7208" w:rsidP="005B7208">
            <w:pPr>
              <w:pStyle w:val="biaogeright"/>
              <w:wordWrap w:val="0"/>
              <w:rPr>
                <w:rFonts w:hint="eastAsia"/>
              </w:rPr>
            </w:pPr>
            <w:r w:rsidRPr="00A67984">
              <w:rPr>
                <w:rFonts w:hAnsi="等线"/>
                <w:color w:val="000000"/>
              </w:rPr>
              <w:t>13,726.21</w:t>
            </w:r>
          </w:p>
        </w:tc>
      </w:tr>
      <w:tr w:rsidR="005B7208" w14:paraId="3942E8C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0F2E007" w14:textId="77777777" w:rsidR="005B7208" w:rsidRDefault="005B7208" w:rsidP="005B7208">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50891B39" w14:textId="77777777" w:rsidR="005B7208" w:rsidRDefault="005B7208" w:rsidP="005B7208">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6E639C4" w14:textId="3895AF2C" w:rsidR="005B7208" w:rsidRDefault="005B7208" w:rsidP="005B7208">
            <w:pPr>
              <w:pStyle w:val="biaogeright"/>
              <w:wordWrap w:val="0"/>
              <w:rPr>
                <w:rFonts w:hint="eastAsia"/>
              </w:rPr>
            </w:pPr>
            <w:r w:rsidRPr="00A67984">
              <w:rPr>
                <w:rFonts w:hAnsi="等线"/>
                <w:color w:val="000000"/>
              </w:rPr>
              <w:t>381,886.73</w:t>
            </w:r>
          </w:p>
        </w:tc>
      </w:tr>
      <w:tr w:rsidR="005B7208" w14:paraId="4CA42ED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6E9B6B8" w14:textId="77777777" w:rsidR="005B7208" w:rsidRDefault="005B7208" w:rsidP="005B7208">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5F139E2A" w14:textId="77777777" w:rsidR="005B7208" w:rsidRDefault="005B7208" w:rsidP="005B7208">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0EA78BA0" w14:textId="616DECD8" w:rsidR="005B7208" w:rsidRDefault="005B7208" w:rsidP="005B7208">
            <w:pPr>
              <w:pStyle w:val="biaogeright"/>
              <w:wordWrap w:val="0"/>
              <w:rPr>
                <w:rFonts w:hint="eastAsia"/>
              </w:rPr>
            </w:pPr>
            <w:r w:rsidRPr="00A67984">
              <w:rPr>
                <w:rFonts w:hAnsi="等线"/>
                <w:color w:val="000000"/>
              </w:rPr>
              <w:t>-</w:t>
            </w:r>
          </w:p>
        </w:tc>
      </w:tr>
      <w:tr w:rsidR="005B7208" w14:paraId="5767EBA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1A61DBD" w14:textId="77777777" w:rsidR="005B7208" w:rsidRDefault="005B7208" w:rsidP="005B7208">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6CCFAC81" w14:textId="77777777" w:rsidR="005B7208" w:rsidRDefault="005B7208" w:rsidP="005B7208">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7619D0B0" w14:textId="51240DB5" w:rsidR="005B7208" w:rsidRDefault="005B7208" w:rsidP="005B7208">
            <w:pPr>
              <w:pStyle w:val="biaogeright"/>
              <w:wordWrap w:val="0"/>
              <w:rPr>
                <w:rFonts w:hint="eastAsia"/>
              </w:rPr>
            </w:pPr>
            <w:r w:rsidRPr="00A67984">
              <w:rPr>
                <w:rFonts w:hAnsi="等线"/>
                <w:color w:val="000000"/>
              </w:rPr>
              <w:t>-</w:t>
            </w:r>
          </w:p>
        </w:tc>
      </w:tr>
      <w:tr w:rsidR="005B7208" w14:paraId="39E7AE2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8C7EE96" w14:textId="77777777" w:rsidR="005B7208" w:rsidRDefault="005B7208" w:rsidP="005B7208">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3918BB92" w14:textId="77777777" w:rsidR="005B7208" w:rsidRDefault="005B7208" w:rsidP="005B7208">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04E0AA08" w14:textId="6F2EC087" w:rsidR="005B7208" w:rsidRDefault="005B7208" w:rsidP="005B7208">
            <w:pPr>
              <w:pStyle w:val="biaogeright"/>
              <w:wordWrap w:val="0"/>
              <w:rPr>
                <w:rFonts w:hint="eastAsia"/>
              </w:rPr>
            </w:pPr>
            <w:r w:rsidRPr="00A67984">
              <w:rPr>
                <w:rFonts w:hAnsi="等线"/>
                <w:color w:val="000000"/>
              </w:rPr>
              <w:t>18,989.24</w:t>
            </w:r>
          </w:p>
        </w:tc>
      </w:tr>
      <w:tr w:rsidR="005B7208" w14:paraId="06D4FC1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810DF52" w14:textId="77777777" w:rsidR="005B7208" w:rsidRDefault="005B7208" w:rsidP="005B7208">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0A53F567" w14:textId="77777777" w:rsidR="005B7208" w:rsidRDefault="005B7208" w:rsidP="005B7208">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1FA3520" w14:textId="6F9CEAD5" w:rsidR="005B7208" w:rsidRDefault="005B7208" w:rsidP="005B7208">
            <w:pPr>
              <w:pStyle w:val="biaogeright"/>
              <w:wordWrap w:val="0"/>
              <w:rPr>
                <w:rFonts w:hint="eastAsia"/>
              </w:rPr>
            </w:pPr>
            <w:r w:rsidRPr="00A67984">
              <w:rPr>
                <w:rFonts w:hAnsi="等线"/>
                <w:color w:val="000000"/>
              </w:rPr>
              <w:t>-</w:t>
            </w:r>
          </w:p>
        </w:tc>
      </w:tr>
      <w:tr w:rsidR="005B7208" w14:paraId="0AD1787E"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3D8EF87" w14:textId="77777777" w:rsidR="005B7208" w:rsidRDefault="005B7208" w:rsidP="005B7208">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2469E5B6" w14:textId="77777777" w:rsidR="005B7208" w:rsidRDefault="005B7208" w:rsidP="005B7208">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0D9E3E87" w14:textId="71E9EDE1" w:rsidR="005B7208" w:rsidRDefault="005B7208" w:rsidP="005B7208">
            <w:pPr>
              <w:pStyle w:val="biaogeright"/>
              <w:wordWrap w:val="0"/>
              <w:rPr>
                <w:rFonts w:hint="eastAsia"/>
              </w:rPr>
            </w:pPr>
            <w:r w:rsidRPr="00A67984">
              <w:rPr>
                <w:rFonts w:hAnsi="等线"/>
                <w:color w:val="000000"/>
              </w:rPr>
              <w:t>-</w:t>
            </w:r>
          </w:p>
        </w:tc>
      </w:tr>
      <w:tr w:rsidR="005B7208" w14:paraId="65A288D6"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1083D23" w14:textId="77777777" w:rsidR="005B7208" w:rsidRDefault="005B7208" w:rsidP="005B7208">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541E2681" w14:textId="77777777" w:rsidR="005B7208" w:rsidRDefault="005B7208" w:rsidP="005B7208">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23B804F2" w14:textId="3657BE5C" w:rsidR="005B7208" w:rsidRDefault="005B7208" w:rsidP="005B7208">
            <w:pPr>
              <w:pStyle w:val="biaogeright"/>
              <w:wordWrap w:val="0"/>
              <w:rPr>
                <w:rFonts w:hint="eastAsia"/>
              </w:rPr>
            </w:pPr>
            <w:r w:rsidRPr="00A67984">
              <w:rPr>
                <w:rFonts w:hAnsi="等线"/>
                <w:color w:val="000000"/>
              </w:rPr>
              <w:t>414,602.18</w:t>
            </w:r>
          </w:p>
        </w:tc>
      </w:tr>
    </w:tbl>
    <w:p w14:paraId="27685A2D"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p w14:paraId="6958416B" w14:textId="77777777" w:rsidR="008D0810" w:rsidRDefault="00417F9F">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lastRenderedPageBreak/>
        <w:t>本基金本报告期末未持有处于转股期的可转换债券。</w:t>
      </w:r>
    </w:p>
    <w:p w14:paraId="79D2943D"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r>
        <w:rPr>
          <w:rFonts w:asciiTheme="minorEastAsia" w:hAnsiTheme="minorEastAsia" w:cs="Times New Roman" w:hint="eastAsia"/>
          <w:bCs/>
          <w:sz w:val="24"/>
          <w:szCs w:val="24"/>
        </w:rPr>
        <w:t>期末前十名股票中存在流通受限情况的说明</w:t>
      </w:r>
    </w:p>
    <w:p w14:paraId="1E8DD75B"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本基金本报告期末前十名股票中不存在流通受限股票。</w:t>
      </w:r>
    </w:p>
    <w:p w14:paraId="428B86D0"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DBFC1B6"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由于四舍五入原因，分项之和与合计可能有尾差。</w:t>
      </w:r>
    </w:p>
    <w:p w14:paraId="40774F64"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九、基金净值表现</w:t>
      </w:r>
    </w:p>
    <w:p w14:paraId="3C2D74F0"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6EBEB36"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055" w:type="dxa"/>
        <w:jc w:val="center"/>
        <w:tblLayout w:type="fixed"/>
        <w:tblLook w:val="04A0" w:firstRow="1" w:lastRow="0" w:firstColumn="1" w:lastColumn="0" w:noHBand="0" w:noVBand="1"/>
      </w:tblPr>
      <w:tblGrid>
        <w:gridCol w:w="6"/>
        <w:gridCol w:w="2530"/>
        <w:gridCol w:w="1031"/>
        <w:gridCol w:w="1107"/>
        <w:gridCol w:w="1107"/>
        <w:gridCol w:w="1357"/>
        <w:gridCol w:w="992"/>
        <w:gridCol w:w="925"/>
      </w:tblGrid>
      <w:tr w:rsidR="008D0810" w14:paraId="20132E50" w14:textId="77777777" w:rsidTr="00231253">
        <w:trPr>
          <w:trHeight w:val="1417"/>
          <w:jc w:val="center"/>
        </w:trPr>
        <w:tc>
          <w:tcPr>
            <w:tcW w:w="2536" w:type="dxa"/>
            <w:gridSpan w:val="2"/>
            <w:tcBorders>
              <w:top w:val="single" w:sz="8" w:space="0" w:color="000000"/>
              <w:left w:val="single" w:sz="8" w:space="0" w:color="000000"/>
              <w:bottom w:val="single" w:sz="8" w:space="0" w:color="000000"/>
              <w:right w:val="single" w:sz="8" w:space="0" w:color="000000"/>
            </w:tcBorders>
            <w:vAlign w:val="center"/>
          </w:tcPr>
          <w:p w14:paraId="13AB5029"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31" w:type="dxa"/>
            <w:tcBorders>
              <w:top w:val="single" w:sz="8" w:space="0" w:color="000000"/>
              <w:left w:val="single" w:sz="8" w:space="0" w:color="000000"/>
              <w:bottom w:val="single" w:sz="8" w:space="0" w:color="000000"/>
              <w:right w:val="single" w:sz="8" w:space="0" w:color="000000"/>
            </w:tcBorders>
            <w:vAlign w:val="center"/>
          </w:tcPr>
          <w:p w14:paraId="2E2EEAB2" w14:textId="77777777" w:rsidR="008D0810" w:rsidRDefault="00417F9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07" w:type="dxa"/>
            <w:tcBorders>
              <w:top w:val="single" w:sz="8" w:space="0" w:color="000000"/>
              <w:left w:val="single" w:sz="8" w:space="0" w:color="000000"/>
              <w:bottom w:val="single" w:sz="8" w:space="0" w:color="000000"/>
              <w:right w:val="single" w:sz="8" w:space="0" w:color="000000"/>
            </w:tcBorders>
            <w:vAlign w:val="center"/>
          </w:tcPr>
          <w:p w14:paraId="58EE722C" w14:textId="77777777" w:rsidR="008D0810" w:rsidRDefault="00417F9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07" w:type="dxa"/>
            <w:tcBorders>
              <w:top w:val="single" w:sz="8" w:space="0" w:color="000000"/>
              <w:left w:val="single" w:sz="8" w:space="0" w:color="000000"/>
              <w:bottom w:val="single" w:sz="8" w:space="0" w:color="000000"/>
              <w:right w:val="single" w:sz="8" w:space="0" w:color="000000"/>
            </w:tcBorders>
            <w:vAlign w:val="center"/>
          </w:tcPr>
          <w:p w14:paraId="4E9EF513" w14:textId="77777777" w:rsidR="008D0810" w:rsidRDefault="00417F9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57" w:type="dxa"/>
            <w:tcBorders>
              <w:top w:val="single" w:sz="8" w:space="0" w:color="000000"/>
              <w:left w:val="single" w:sz="8" w:space="0" w:color="000000"/>
              <w:bottom w:val="single" w:sz="8" w:space="0" w:color="000000"/>
              <w:right w:val="single" w:sz="8" w:space="0" w:color="000000"/>
            </w:tcBorders>
            <w:vAlign w:val="center"/>
          </w:tcPr>
          <w:p w14:paraId="432CB3BE" w14:textId="77777777" w:rsidR="008D0810" w:rsidRDefault="00417F9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992" w:type="dxa"/>
            <w:tcBorders>
              <w:top w:val="single" w:sz="8" w:space="0" w:color="000000"/>
              <w:left w:val="single" w:sz="8" w:space="0" w:color="000000"/>
              <w:bottom w:val="single" w:sz="8" w:space="0" w:color="000000"/>
              <w:right w:val="single" w:sz="8" w:space="0" w:color="000000"/>
            </w:tcBorders>
            <w:vAlign w:val="center"/>
          </w:tcPr>
          <w:p w14:paraId="24F851B2" w14:textId="77777777" w:rsidR="008D0810" w:rsidRDefault="00417F9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25" w:type="dxa"/>
            <w:tcBorders>
              <w:top w:val="single" w:sz="8" w:space="0" w:color="000000"/>
              <w:left w:val="single" w:sz="8" w:space="0" w:color="000000"/>
              <w:bottom w:val="single" w:sz="8" w:space="0" w:color="000000"/>
              <w:right w:val="single" w:sz="8" w:space="0" w:color="000000"/>
            </w:tcBorders>
            <w:vAlign w:val="center"/>
          </w:tcPr>
          <w:p w14:paraId="6562F30D" w14:textId="77777777" w:rsidR="008D0810" w:rsidRDefault="00417F9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8D0810" w14:paraId="576E71B4" w14:textId="77777777" w:rsidTr="00231253">
        <w:trPr>
          <w:trHeight w:val="340"/>
          <w:jc w:val="center"/>
        </w:trPr>
        <w:tc>
          <w:tcPr>
            <w:tcW w:w="2536" w:type="dxa"/>
            <w:gridSpan w:val="2"/>
            <w:tcBorders>
              <w:top w:val="single" w:sz="8" w:space="0" w:color="000000"/>
              <w:left w:val="single" w:sz="8" w:space="0" w:color="000000"/>
              <w:bottom w:val="single" w:sz="8" w:space="0" w:color="000000"/>
              <w:right w:val="single" w:sz="8" w:space="0" w:color="000000"/>
            </w:tcBorders>
            <w:vAlign w:val="center"/>
          </w:tcPr>
          <w:p w14:paraId="1AE47ED1"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31" w:type="dxa"/>
            <w:tcBorders>
              <w:top w:val="single" w:sz="8" w:space="0" w:color="000000"/>
              <w:left w:val="single" w:sz="8" w:space="0" w:color="000000"/>
              <w:bottom w:val="single" w:sz="8" w:space="0" w:color="000000"/>
              <w:right w:val="single" w:sz="8" w:space="0" w:color="000000"/>
            </w:tcBorders>
            <w:vAlign w:val="center"/>
          </w:tcPr>
          <w:p w14:paraId="4AE1E3E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-28.54%</w:t>
            </w:r>
          </w:p>
        </w:tc>
        <w:tc>
          <w:tcPr>
            <w:tcW w:w="1107" w:type="dxa"/>
            <w:tcBorders>
              <w:top w:val="single" w:sz="8" w:space="0" w:color="000000"/>
              <w:left w:val="single" w:sz="8" w:space="0" w:color="000000"/>
              <w:bottom w:val="single" w:sz="8" w:space="0" w:color="000000"/>
              <w:right w:val="single" w:sz="8" w:space="0" w:color="000000"/>
            </w:tcBorders>
            <w:vAlign w:val="center"/>
          </w:tcPr>
          <w:p w14:paraId="56F0F5CD"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1.03%</w:t>
            </w:r>
          </w:p>
        </w:tc>
        <w:tc>
          <w:tcPr>
            <w:tcW w:w="1107" w:type="dxa"/>
            <w:tcBorders>
              <w:top w:val="single" w:sz="8" w:space="0" w:color="000000"/>
              <w:left w:val="single" w:sz="8" w:space="0" w:color="000000"/>
              <w:bottom w:val="single" w:sz="8" w:space="0" w:color="000000"/>
              <w:right w:val="single" w:sz="8" w:space="0" w:color="000000"/>
            </w:tcBorders>
            <w:vAlign w:val="center"/>
          </w:tcPr>
          <w:p w14:paraId="75128DFD"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-13.27%</w:t>
            </w:r>
          </w:p>
        </w:tc>
        <w:tc>
          <w:tcPr>
            <w:tcW w:w="1357" w:type="dxa"/>
            <w:tcBorders>
              <w:top w:val="single" w:sz="8" w:space="0" w:color="000000"/>
              <w:left w:val="single" w:sz="8" w:space="0" w:color="000000"/>
              <w:bottom w:val="single" w:sz="8" w:space="0" w:color="000000"/>
              <w:right w:val="single" w:sz="8" w:space="0" w:color="000000"/>
            </w:tcBorders>
            <w:vAlign w:val="center"/>
          </w:tcPr>
          <w:p w14:paraId="63DE1EEA"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0.94%</w:t>
            </w:r>
          </w:p>
        </w:tc>
        <w:tc>
          <w:tcPr>
            <w:tcW w:w="992" w:type="dxa"/>
            <w:tcBorders>
              <w:top w:val="single" w:sz="8" w:space="0" w:color="000000"/>
              <w:left w:val="single" w:sz="8" w:space="0" w:color="000000"/>
              <w:bottom w:val="single" w:sz="8" w:space="0" w:color="000000"/>
              <w:right w:val="single" w:sz="8" w:space="0" w:color="000000"/>
            </w:tcBorders>
            <w:vAlign w:val="center"/>
          </w:tcPr>
          <w:p w14:paraId="5B54E886"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-15.27%</w:t>
            </w:r>
          </w:p>
        </w:tc>
        <w:tc>
          <w:tcPr>
            <w:tcW w:w="925" w:type="dxa"/>
            <w:tcBorders>
              <w:top w:val="single" w:sz="8" w:space="0" w:color="000000"/>
              <w:left w:val="single" w:sz="8" w:space="0" w:color="000000"/>
              <w:bottom w:val="single" w:sz="8" w:space="0" w:color="000000"/>
              <w:right w:val="single" w:sz="8" w:space="0" w:color="000000"/>
            </w:tcBorders>
            <w:vAlign w:val="center"/>
          </w:tcPr>
          <w:p w14:paraId="63693DA3"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0.09%</w:t>
            </w:r>
          </w:p>
        </w:tc>
      </w:tr>
      <w:tr w:rsidR="008D0810" w14:paraId="57E4CCC8" w14:textId="77777777" w:rsidTr="00231253">
        <w:trPr>
          <w:trHeight w:val="340"/>
          <w:jc w:val="center"/>
        </w:trPr>
        <w:tc>
          <w:tcPr>
            <w:tcW w:w="2536" w:type="dxa"/>
            <w:gridSpan w:val="2"/>
            <w:tcBorders>
              <w:top w:val="single" w:sz="8" w:space="0" w:color="000000"/>
              <w:left w:val="single" w:sz="8" w:space="0" w:color="000000"/>
              <w:bottom w:val="single" w:sz="8" w:space="0" w:color="000000"/>
              <w:right w:val="single" w:sz="8" w:space="0" w:color="000000"/>
            </w:tcBorders>
            <w:vAlign w:val="center"/>
          </w:tcPr>
          <w:p w14:paraId="430CD7EA"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31" w:type="dxa"/>
            <w:tcBorders>
              <w:top w:val="single" w:sz="8" w:space="0" w:color="000000"/>
              <w:left w:val="single" w:sz="8" w:space="0" w:color="000000"/>
              <w:bottom w:val="single" w:sz="8" w:space="0" w:color="000000"/>
              <w:right w:val="single" w:sz="8" w:space="0" w:color="000000"/>
            </w:tcBorders>
            <w:vAlign w:val="center"/>
          </w:tcPr>
          <w:p w14:paraId="5EC3F776"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22.99%</w:t>
            </w:r>
          </w:p>
        </w:tc>
        <w:tc>
          <w:tcPr>
            <w:tcW w:w="1107" w:type="dxa"/>
            <w:tcBorders>
              <w:top w:val="single" w:sz="8" w:space="0" w:color="000000"/>
              <w:left w:val="single" w:sz="8" w:space="0" w:color="000000"/>
              <w:bottom w:val="single" w:sz="8" w:space="0" w:color="000000"/>
              <w:right w:val="single" w:sz="8" w:space="0" w:color="000000"/>
            </w:tcBorders>
            <w:vAlign w:val="center"/>
          </w:tcPr>
          <w:p w14:paraId="1EF94056"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1.01%</w:t>
            </w:r>
          </w:p>
        </w:tc>
        <w:tc>
          <w:tcPr>
            <w:tcW w:w="1107" w:type="dxa"/>
            <w:tcBorders>
              <w:top w:val="single" w:sz="8" w:space="0" w:color="000000"/>
              <w:left w:val="single" w:sz="8" w:space="0" w:color="000000"/>
              <w:bottom w:val="single" w:sz="8" w:space="0" w:color="000000"/>
              <w:right w:val="single" w:sz="8" w:space="0" w:color="000000"/>
            </w:tcBorders>
            <w:vAlign w:val="center"/>
          </w:tcPr>
          <w:p w14:paraId="5B25EE3E"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26.39%</w:t>
            </w:r>
          </w:p>
        </w:tc>
        <w:tc>
          <w:tcPr>
            <w:tcW w:w="1357" w:type="dxa"/>
            <w:tcBorders>
              <w:top w:val="single" w:sz="8" w:space="0" w:color="000000"/>
              <w:left w:val="single" w:sz="8" w:space="0" w:color="000000"/>
              <w:bottom w:val="single" w:sz="8" w:space="0" w:color="000000"/>
              <w:right w:val="single" w:sz="8" w:space="0" w:color="000000"/>
            </w:tcBorders>
            <w:vAlign w:val="center"/>
          </w:tcPr>
          <w:p w14:paraId="5931B9E8"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0.87%</w:t>
            </w:r>
          </w:p>
        </w:tc>
        <w:tc>
          <w:tcPr>
            <w:tcW w:w="992" w:type="dxa"/>
            <w:tcBorders>
              <w:top w:val="single" w:sz="8" w:space="0" w:color="000000"/>
              <w:left w:val="single" w:sz="8" w:space="0" w:color="000000"/>
              <w:bottom w:val="single" w:sz="8" w:space="0" w:color="000000"/>
              <w:right w:val="single" w:sz="8" w:space="0" w:color="000000"/>
            </w:tcBorders>
            <w:vAlign w:val="center"/>
          </w:tcPr>
          <w:p w14:paraId="63B5DD02"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-3.40%</w:t>
            </w:r>
          </w:p>
        </w:tc>
        <w:tc>
          <w:tcPr>
            <w:tcW w:w="925" w:type="dxa"/>
            <w:tcBorders>
              <w:top w:val="single" w:sz="8" w:space="0" w:color="000000"/>
              <w:left w:val="single" w:sz="8" w:space="0" w:color="000000"/>
              <w:bottom w:val="single" w:sz="8" w:space="0" w:color="000000"/>
              <w:right w:val="single" w:sz="8" w:space="0" w:color="000000"/>
            </w:tcBorders>
            <w:vAlign w:val="center"/>
          </w:tcPr>
          <w:p w14:paraId="52EC8CDD"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0.14%</w:t>
            </w:r>
          </w:p>
        </w:tc>
      </w:tr>
      <w:tr w:rsidR="008D0810" w14:paraId="3F13226B" w14:textId="77777777" w:rsidTr="00231253">
        <w:trPr>
          <w:trHeight w:val="340"/>
          <w:jc w:val="center"/>
        </w:trPr>
        <w:tc>
          <w:tcPr>
            <w:tcW w:w="2536" w:type="dxa"/>
            <w:gridSpan w:val="2"/>
            <w:tcBorders>
              <w:top w:val="single" w:sz="8" w:space="0" w:color="000000"/>
              <w:left w:val="single" w:sz="8" w:space="0" w:color="000000"/>
              <w:bottom w:val="single" w:sz="8" w:space="0" w:color="000000"/>
              <w:right w:val="single" w:sz="8" w:space="0" w:color="000000"/>
            </w:tcBorders>
            <w:vAlign w:val="center"/>
          </w:tcPr>
          <w:p w14:paraId="7F90EDF8"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31" w:type="dxa"/>
            <w:tcBorders>
              <w:top w:val="single" w:sz="8" w:space="0" w:color="000000"/>
              <w:left w:val="single" w:sz="8" w:space="0" w:color="000000"/>
              <w:bottom w:val="single" w:sz="8" w:space="0" w:color="000000"/>
              <w:right w:val="single" w:sz="8" w:space="0" w:color="000000"/>
            </w:tcBorders>
            <w:vAlign w:val="center"/>
          </w:tcPr>
          <w:p w14:paraId="760630B6"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10.01%</w:t>
            </w:r>
          </w:p>
        </w:tc>
        <w:tc>
          <w:tcPr>
            <w:tcW w:w="1107" w:type="dxa"/>
            <w:tcBorders>
              <w:top w:val="single" w:sz="8" w:space="0" w:color="000000"/>
              <w:left w:val="single" w:sz="8" w:space="0" w:color="000000"/>
              <w:bottom w:val="single" w:sz="8" w:space="0" w:color="000000"/>
              <w:right w:val="single" w:sz="8" w:space="0" w:color="000000"/>
            </w:tcBorders>
            <w:vAlign w:val="center"/>
          </w:tcPr>
          <w:p w14:paraId="6687AC6D"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1.52%</w:t>
            </w:r>
          </w:p>
        </w:tc>
        <w:tc>
          <w:tcPr>
            <w:tcW w:w="1107" w:type="dxa"/>
            <w:tcBorders>
              <w:top w:val="single" w:sz="8" w:space="0" w:color="000000"/>
              <w:left w:val="single" w:sz="8" w:space="0" w:color="000000"/>
              <w:bottom w:val="single" w:sz="8" w:space="0" w:color="000000"/>
              <w:right w:val="single" w:sz="8" w:space="0" w:color="000000"/>
            </w:tcBorders>
            <w:vAlign w:val="center"/>
          </w:tcPr>
          <w:p w14:paraId="7DEECA9A"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20.09%</w:t>
            </w:r>
          </w:p>
        </w:tc>
        <w:tc>
          <w:tcPr>
            <w:tcW w:w="1357" w:type="dxa"/>
            <w:tcBorders>
              <w:top w:val="single" w:sz="8" w:space="0" w:color="000000"/>
              <w:left w:val="single" w:sz="8" w:space="0" w:color="000000"/>
              <w:bottom w:val="single" w:sz="8" w:space="0" w:color="000000"/>
              <w:right w:val="single" w:sz="8" w:space="0" w:color="000000"/>
            </w:tcBorders>
            <w:vAlign w:val="center"/>
          </w:tcPr>
          <w:p w14:paraId="4CDF838F"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w:t>
            </w:r>
          </w:p>
        </w:tc>
        <w:tc>
          <w:tcPr>
            <w:tcW w:w="992" w:type="dxa"/>
            <w:tcBorders>
              <w:top w:val="single" w:sz="8" w:space="0" w:color="000000"/>
              <w:left w:val="single" w:sz="8" w:space="0" w:color="000000"/>
              <w:bottom w:val="single" w:sz="8" w:space="0" w:color="000000"/>
              <w:right w:val="single" w:sz="8" w:space="0" w:color="000000"/>
            </w:tcBorders>
            <w:vAlign w:val="center"/>
          </w:tcPr>
          <w:p w14:paraId="35C6EA7A"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-10.08%</w:t>
            </w:r>
          </w:p>
        </w:tc>
        <w:tc>
          <w:tcPr>
            <w:tcW w:w="925" w:type="dxa"/>
            <w:tcBorders>
              <w:top w:val="single" w:sz="8" w:space="0" w:color="000000"/>
              <w:left w:val="single" w:sz="8" w:space="0" w:color="000000"/>
              <w:bottom w:val="single" w:sz="8" w:space="0" w:color="000000"/>
              <w:right w:val="single" w:sz="8" w:space="0" w:color="000000"/>
            </w:tcBorders>
            <w:vAlign w:val="center"/>
          </w:tcPr>
          <w:p w14:paraId="2B1E28E2"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0.52%</w:t>
            </w:r>
          </w:p>
        </w:tc>
      </w:tr>
      <w:tr w:rsidR="008D0810" w14:paraId="41E8A6A5" w14:textId="77777777" w:rsidTr="00231253">
        <w:trPr>
          <w:trHeight w:val="340"/>
          <w:jc w:val="center"/>
        </w:trPr>
        <w:tc>
          <w:tcPr>
            <w:tcW w:w="2536" w:type="dxa"/>
            <w:gridSpan w:val="2"/>
            <w:tcBorders>
              <w:top w:val="single" w:sz="8" w:space="0" w:color="000000"/>
              <w:left w:val="single" w:sz="8" w:space="0" w:color="000000"/>
              <w:bottom w:val="single" w:sz="8" w:space="0" w:color="000000"/>
              <w:right w:val="single" w:sz="8" w:space="0" w:color="000000"/>
            </w:tcBorders>
            <w:vAlign w:val="center"/>
          </w:tcPr>
          <w:p w14:paraId="5C1C452D"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31" w:type="dxa"/>
            <w:tcBorders>
              <w:top w:val="single" w:sz="8" w:space="0" w:color="000000"/>
              <w:left w:val="single" w:sz="8" w:space="0" w:color="000000"/>
              <w:bottom w:val="single" w:sz="8" w:space="0" w:color="000000"/>
              <w:right w:val="single" w:sz="8" w:space="0" w:color="000000"/>
            </w:tcBorders>
            <w:vAlign w:val="center"/>
          </w:tcPr>
          <w:p w14:paraId="4396B52D"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26.91%</w:t>
            </w:r>
          </w:p>
        </w:tc>
        <w:tc>
          <w:tcPr>
            <w:tcW w:w="1107" w:type="dxa"/>
            <w:tcBorders>
              <w:top w:val="single" w:sz="8" w:space="0" w:color="000000"/>
              <w:left w:val="single" w:sz="8" w:space="0" w:color="000000"/>
              <w:bottom w:val="single" w:sz="8" w:space="0" w:color="000000"/>
              <w:right w:val="single" w:sz="8" w:space="0" w:color="000000"/>
            </w:tcBorders>
            <w:vAlign w:val="center"/>
          </w:tcPr>
          <w:p w14:paraId="07B1536C"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1.27%</w:t>
            </w:r>
          </w:p>
        </w:tc>
        <w:tc>
          <w:tcPr>
            <w:tcW w:w="1107" w:type="dxa"/>
            <w:tcBorders>
              <w:top w:val="single" w:sz="8" w:space="0" w:color="000000"/>
              <w:left w:val="single" w:sz="8" w:space="0" w:color="000000"/>
              <w:bottom w:val="single" w:sz="8" w:space="0" w:color="000000"/>
              <w:right w:val="single" w:sz="8" w:space="0" w:color="000000"/>
            </w:tcBorders>
            <w:vAlign w:val="center"/>
          </w:tcPr>
          <w:p w14:paraId="38DA0211"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-1.72%</w:t>
            </w:r>
          </w:p>
        </w:tc>
        <w:tc>
          <w:tcPr>
            <w:tcW w:w="1357" w:type="dxa"/>
            <w:tcBorders>
              <w:top w:val="single" w:sz="8" w:space="0" w:color="000000"/>
              <w:left w:val="single" w:sz="8" w:space="0" w:color="000000"/>
              <w:bottom w:val="single" w:sz="8" w:space="0" w:color="000000"/>
              <w:right w:val="single" w:sz="8" w:space="0" w:color="000000"/>
            </w:tcBorders>
            <w:vAlign w:val="center"/>
          </w:tcPr>
          <w:p w14:paraId="1E8E29FC"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0.82%</w:t>
            </w:r>
          </w:p>
        </w:tc>
        <w:tc>
          <w:tcPr>
            <w:tcW w:w="992" w:type="dxa"/>
            <w:tcBorders>
              <w:top w:val="single" w:sz="8" w:space="0" w:color="000000"/>
              <w:left w:val="single" w:sz="8" w:space="0" w:color="000000"/>
              <w:bottom w:val="single" w:sz="8" w:space="0" w:color="000000"/>
              <w:right w:val="single" w:sz="8" w:space="0" w:color="000000"/>
            </w:tcBorders>
            <w:vAlign w:val="center"/>
          </w:tcPr>
          <w:p w14:paraId="4EED59ED"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28.63%</w:t>
            </w:r>
          </w:p>
        </w:tc>
        <w:tc>
          <w:tcPr>
            <w:tcW w:w="925" w:type="dxa"/>
            <w:tcBorders>
              <w:top w:val="single" w:sz="8" w:space="0" w:color="000000"/>
              <w:left w:val="single" w:sz="8" w:space="0" w:color="000000"/>
              <w:bottom w:val="single" w:sz="8" w:space="0" w:color="000000"/>
              <w:right w:val="single" w:sz="8" w:space="0" w:color="000000"/>
            </w:tcBorders>
            <w:vAlign w:val="center"/>
          </w:tcPr>
          <w:p w14:paraId="029FA77A"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0.45%</w:t>
            </w:r>
          </w:p>
        </w:tc>
      </w:tr>
      <w:tr w:rsidR="008D0810" w14:paraId="482C6E8B" w14:textId="77777777" w:rsidTr="00231253">
        <w:trPr>
          <w:trHeight w:val="340"/>
          <w:jc w:val="center"/>
        </w:trPr>
        <w:tc>
          <w:tcPr>
            <w:tcW w:w="2536" w:type="dxa"/>
            <w:gridSpan w:val="2"/>
            <w:tcBorders>
              <w:top w:val="single" w:sz="8" w:space="0" w:color="000000"/>
              <w:left w:val="single" w:sz="8" w:space="0" w:color="000000"/>
              <w:bottom w:val="single" w:sz="8" w:space="0" w:color="000000"/>
              <w:right w:val="single" w:sz="8" w:space="0" w:color="000000"/>
            </w:tcBorders>
            <w:vAlign w:val="center"/>
          </w:tcPr>
          <w:p w14:paraId="154DF20C"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31" w:type="dxa"/>
            <w:tcBorders>
              <w:top w:val="single" w:sz="8" w:space="0" w:color="000000"/>
              <w:left w:val="single" w:sz="8" w:space="0" w:color="000000"/>
              <w:bottom w:val="single" w:sz="8" w:space="0" w:color="000000"/>
              <w:right w:val="single" w:sz="8" w:space="0" w:color="000000"/>
            </w:tcBorders>
          </w:tcPr>
          <w:p w14:paraId="6A4B6244" w14:textId="77777777" w:rsidR="008D0810" w:rsidRDefault="00417F9F">
            <w:pPr>
              <w:pStyle w:val="biaogecenter"/>
              <w:jc w:val="left"/>
              <w:rPr>
                <w:rFonts w:hint="eastAsia"/>
                <w:sz w:val="21"/>
                <w:szCs w:val="21"/>
              </w:rPr>
            </w:pPr>
            <w:r>
              <w:rPr>
                <w:sz w:val="21"/>
                <w:szCs w:val="21"/>
              </w:rPr>
              <w:t>-13.83%</w:t>
            </w:r>
          </w:p>
        </w:tc>
        <w:tc>
          <w:tcPr>
            <w:tcW w:w="1107" w:type="dxa"/>
            <w:tcBorders>
              <w:top w:val="single" w:sz="8" w:space="0" w:color="000000"/>
              <w:left w:val="single" w:sz="8" w:space="0" w:color="000000"/>
              <w:bottom w:val="single" w:sz="8" w:space="0" w:color="000000"/>
              <w:right w:val="single" w:sz="8" w:space="0" w:color="000000"/>
            </w:tcBorders>
          </w:tcPr>
          <w:p w14:paraId="6905B579" w14:textId="77777777" w:rsidR="008D0810" w:rsidRDefault="00417F9F">
            <w:pPr>
              <w:pStyle w:val="biaogecenter"/>
              <w:jc w:val="left"/>
              <w:rPr>
                <w:rFonts w:hint="eastAsia"/>
                <w:sz w:val="21"/>
                <w:szCs w:val="21"/>
              </w:rPr>
            </w:pPr>
            <w:r>
              <w:rPr>
                <w:sz w:val="21"/>
                <w:szCs w:val="21"/>
              </w:rPr>
              <w:t>1.52%</w:t>
            </w:r>
          </w:p>
        </w:tc>
        <w:tc>
          <w:tcPr>
            <w:tcW w:w="1107" w:type="dxa"/>
            <w:tcBorders>
              <w:top w:val="single" w:sz="8" w:space="0" w:color="000000"/>
              <w:left w:val="single" w:sz="8" w:space="0" w:color="000000"/>
              <w:bottom w:val="single" w:sz="8" w:space="0" w:color="000000"/>
              <w:right w:val="single" w:sz="8" w:space="0" w:color="000000"/>
            </w:tcBorders>
          </w:tcPr>
          <w:p w14:paraId="1B0FDCF1" w14:textId="77777777" w:rsidR="008D0810" w:rsidRDefault="00417F9F">
            <w:pPr>
              <w:pStyle w:val="biaogecenter"/>
              <w:jc w:val="left"/>
              <w:rPr>
                <w:rFonts w:hint="eastAsia"/>
                <w:sz w:val="21"/>
                <w:szCs w:val="21"/>
              </w:rPr>
            </w:pPr>
            <w:r>
              <w:rPr>
                <w:sz w:val="21"/>
                <w:szCs w:val="21"/>
              </w:rPr>
              <w:t>-14.45%</w:t>
            </w:r>
          </w:p>
        </w:tc>
        <w:tc>
          <w:tcPr>
            <w:tcW w:w="1357" w:type="dxa"/>
            <w:tcBorders>
              <w:top w:val="single" w:sz="8" w:space="0" w:color="000000"/>
              <w:left w:val="single" w:sz="8" w:space="0" w:color="000000"/>
              <w:bottom w:val="single" w:sz="8" w:space="0" w:color="000000"/>
              <w:right w:val="single" w:sz="8" w:space="0" w:color="000000"/>
            </w:tcBorders>
          </w:tcPr>
          <w:p w14:paraId="4A9BD84D" w14:textId="77777777" w:rsidR="008D0810" w:rsidRDefault="00417F9F">
            <w:pPr>
              <w:pStyle w:val="biaogecenter"/>
              <w:jc w:val="left"/>
              <w:rPr>
                <w:rFonts w:hint="eastAsia"/>
                <w:sz w:val="21"/>
                <w:szCs w:val="21"/>
              </w:rPr>
            </w:pPr>
            <w:r>
              <w:rPr>
                <w:sz w:val="21"/>
                <w:szCs w:val="21"/>
              </w:rPr>
              <w:t>0.90%</w:t>
            </w:r>
          </w:p>
        </w:tc>
        <w:tc>
          <w:tcPr>
            <w:tcW w:w="992" w:type="dxa"/>
            <w:tcBorders>
              <w:top w:val="single" w:sz="8" w:space="0" w:color="000000"/>
              <w:left w:val="single" w:sz="8" w:space="0" w:color="000000"/>
              <w:bottom w:val="single" w:sz="8" w:space="0" w:color="000000"/>
              <w:right w:val="single" w:sz="8" w:space="0" w:color="000000"/>
            </w:tcBorders>
          </w:tcPr>
          <w:p w14:paraId="57C5D824" w14:textId="77777777" w:rsidR="008D0810" w:rsidRDefault="00417F9F">
            <w:pPr>
              <w:pStyle w:val="biaogecenter"/>
              <w:jc w:val="left"/>
              <w:rPr>
                <w:rFonts w:hint="eastAsia"/>
                <w:sz w:val="21"/>
                <w:szCs w:val="21"/>
              </w:rPr>
            </w:pPr>
            <w:r>
              <w:rPr>
                <w:sz w:val="21"/>
                <w:szCs w:val="21"/>
              </w:rPr>
              <w:t>0.62%</w:t>
            </w:r>
          </w:p>
        </w:tc>
        <w:tc>
          <w:tcPr>
            <w:tcW w:w="925" w:type="dxa"/>
            <w:tcBorders>
              <w:top w:val="single" w:sz="8" w:space="0" w:color="000000"/>
              <w:left w:val="single" w:sz="8" w:space="0" w:color="000000"/>
              <w:bottom w:val="single" w:sz="8" w:space="0" w:color="000000"/>
              <w:right w:val="single" w:sz="8" w:space="0" w:color="000000"/>
            </w:tcBorders>
          </w:tcPr>
          <w:p w14:paraId="5C01B292" w14:textId="77777777" w:rsidR="008D0810" w:rsidRDefault="00417F9F">
            <w:pPr>
              <w:pStyle w:val="biaogecenter"/>
              <w:jc w:val="left"/>
              <w:rPr>
                <w:rFonts w:hint="eastAsia"/>
                <w:sz w:val="21"/>
                <w:szCs w:val="21"/>
              </w:rPr>
            </w:pPr>
            <w:r>
              <w:rPr>
                <w:sz w:val="21"/>
                <w:szCs w:val="21"/>
              </w:rPr>
              <w:t>0.62%</w:t>
            </w:r>
          </w:p>
        </w:tc>
      </w:tr>
      <w:tr w:rsidR="008D0810" w14:paraId="68854EAF" w14:textId="77777777" w:rsidTr="00231253">
        <w:trPr>
          <w:trHeight w:val="340"/>
          <w:jc w:val="center"/>
        </w:trPr>
        <w:tc>
          <w:tcPr>
            <w:tcW w:w="2536" w:type="dxa"/>
            <w:gridSpan w:val="2"/>
            <w:tcBorders>
              <w:top w:val="single" w:sz="8" w:space="0" w:color="000000"/>
              <w:left w:val="single" w:sz="8" w:space="0" w:color="000000"/>
              <w:bottom w:val="single" w:sz="8" w:space="0" w:color="000000"/>
              <w:right w:val="single" w:sz="8" w:space="0" w:color="000000"/>
            </w:tcBorders>
          </w:tcPr>
          <w:p w14:paraId="6B99ACBA"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031" w:type="dxa"/>
            <w:tcBorders>
              <w:top w:val="single" w:sz="8" w:space="0" w:color="000000"/>
              <w:left w:val="single" w:sz="8" w:space="0" w:color="000000"/>
              <w:bottom w:val="single" w:sz="8" w:space="0" w:color="000000"/>
              <w:right w:val="single" w:sz="8" w:space="0" w:color="000000"/>
            </w:tcBorders>
          </w:tcPr>
          <w:p w14:paraId="01843A6F"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-11.06%</w:t>
            </w:r>
          </w:p>
        </w:tc>
        <w:tc>
          <w:tcPr>
            <w:tcW w:w="1107" w:type="dxa"/>
            <w:tcBorders>
              <w:top w:val="single" w:sz="8" w:space="0" w:color="000000"/>
              <w:left w:val="single" w:sz="8" w:space="0" w:color="000000"/>
              <w:bottom w:val="single" w:sz="8" w:space="0" w:color="000000"/>
              <w:right w:val="single" w:sz="8" w:space="0" w:color="000000"/>
            </w:tcBorders>
          </w:tcPr>
          <w:p w14:paraId="48C2664D"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1.02%</w:t>
            </w:r>
          </w:p>
        </w:tc>
        <w:tc>
          <w:tcPr>
            <w:tcW w:w="1107" w:type="dxa"/>
            <w:tcBorders>
              <w:top w:val="single" w:sz="8" w:space="0" w:color="000000"/>
              <w:left w:val="single" w:sz="8" w:space="0" w:color="000000"/>
              <w:bottom w:val="single" w:sz="8" w:space="0" w:color="000000"/>
              <w:right w:val="single" w:sz="8" w:space="0" w:color="000000"/>
            </w:tcBorders>
          </w:tcPr>
          <w:p w14:paraId="64DB77BB"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-6.52%</w:t>
            </w:r>
          </w:p>
        </w:tc>
        <w:tc>
          <w:tcPr>
            <w:tcW w:w="1357" w:type="dxa"/>
            <w:tcBorders>
              <w:top w:val="single" w:sz="8" w:space="0" w:color="000000"/>
              <w:left w:val="single" w:sz="8" w:space="0" w:color="000000"/>
              <w:bottom w:val="single" w:sz="8" w:space="0" w:color="000000"/>
              <w:right w:val="single" w:sz="8" w:space="0" w:color="000000"/>
            </w:tcBorders>
          </w:tcPr>
          <w:p w14:paraId="528D2B7B"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0.59%</w:t>
            </w:r>
          </w:p>
        </w:tc>
        <w:tc>
          <w:tcPr>
            <w:tcW w:w="992" w:type="dxa"/>
            <w:tcBorders>
              <w:top w:val="single" w:sz="8" w:space="0" w:color="000000"/>
              <w:left w:val="single" w:sz="8" w:space="0" w:color="000000"/>
              <w:bottom w:val="single" w:sz="8" w:space="0" w:color="000000"/>
              <w:right w:val="single" w:sz="8" w:space="0" w:color="000000"/>
            </w:tcBorders>
          </w:tcPr>
          <w:p w14:paraId="0CC9F2C4"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-4.54%</w:t>
            </w:r>
          </w:p>
        </w:tc>
        <w:tc>
          <w:tcPr>
            <w:tcW w:w="925" w:type="dxa"/>
            <w:tcBorders>
              <w:top w:val="single" w:sz="8" w:space="0" w:color="000000"/>
              <w:left w:val="single" w:sz="8" w:space="0" w:color="000000"/>
              <w:bottom w:val="single" w:sz="8" w:space="0" w:color="000000"/>
              <w:right w:val="single" w:sz="8" w:space="0" w:color="000000"/>
            </w:tcBorders>
          </w:tcPr>
          <w:p w14:paraId="3A72FDF4"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0.43%</w:t>
            </w:r>
          </w:p>
        </w:tc>
      </w:tr>
      <w:tr w:rsidR="005B7208" w14:paraId="751DC445" w14:textId="77777777" w:rsidTr="00231253">
        <w:trPr>
          <w:gridBefore w:val="1"/>
          <w:wBefore w:w="6" w:type="dxa"/>
          <w:trHeight w:val="340"/>
          <w:jc w:val="center"/>
        </w:trPr>
        <w:tc>
          <w:tcPr>
            <w:tcW w:w="2530" w:type="dxa"/>
            <w:tcBorders>
              <w:top w:val="single" w:sz="8" w:space="0" w:color="000000"/>
              <w:left w:val="single" w:sz="8" w:space="0" w:color="000000"/>
              <w:bottom w:val="single" w:sz="8" w:space="0" w:color="000000"/>
              <w:right w:val="single" w:sz="8" w:space="0" w:color="000000"/>
            </w:tcBorders>
          </w:tcPr>
          <w:p w14:paraId="5204F609" w14:textId="76B82B09" w:rsidR="005B7208" w:rsidRDefault="005B7208" w:rsidP="005B7208">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2024.01.01~2024.12.31</w:t>
            </w:r>
          </w:p>
        </w:tc>
        <w:tc>
          <w:tcPr>
            <w:tcW w:w="1031" w:type="dxa"/>
            <w:tcBorders>
              <w:top w:val="single" w:sz="8" w:space="0" w:color="000000"/>
              <w:left w:val="single" w:sz="8" w:space="0" w:color="000000"/>
              <w:bottom w:val="single" w:sz="8" w:space="0" w:color="000000"/>
              <w:right w:val="single" w:sz="8" w:space="0" w:color="000000"/>
            </w:tcBorders>
            <w:vAlign w:val="center"/>
          </w:tcPr>
          <w:p w14:paraId="235F98FA" w14:textId="12580224"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-12.05%</w:t>
            </w:r>
          </w:p>
        </w:tc>
        <w:tc>
          <w:tcPr>
            <w:tcW w:w="1107" w:type="dxa"/>
            <w:tcBorders>
              <w:top w:val="single" w:sz="8" w:space="0" w:color="000000"/>
              <w:left w:val="single" w:sz="8" w:space="0" w:color="000000"/>
              <w:bottom w:val="single" w:sz="8" w:space="0" w:color="000000"/>
              <w:right w:val="single" w:sz="8" w:space="0" w:color="000000"/>
            </w:tcBorders>
            <w:vAlign w:val="center"/>
          </w:tcPr>
          <w:p w14:paraId="257C8344" w14:textId="5556DAF2"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2.36%</w:t>
            </w:r>
          </w:p>
        </w:tc>
        <w:tc>
          <w:tcPr>
            <w:tcW w:w="1107" w:type="dxa"/>
            <w:tcBorders>
              <w:top w:val="single" w:sz="8" w:space="0" w:color="000000"/>
              <w:left w:val="single" w:sz="8" w:space="0" w:color="000000"/>
              <w:bottom w:val="single" w:sz="8" w:space="0" w:color="000000"/>
              <w:right w:val="single" w:sz="8" w:space="0" w:color="000000"/>
            </w:tcBorders>
            <w:vAlign w:val="center"/>
          </w:tcPr>
          <w:p w14:paraId="34C49661" w14:textId="001A54C7"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13.43%</w:t>
            </w:r>
          </w:p>
        </w:tc>
        <w:tc>
          <w:tcPr>
            <w:tcW w:w="1357" w:type="dxa"/>
            <w:tcBorders>
              <w:top w:val="single" w:sz="8" w:space="0" w:color="000000"/>
              <w:left w:val="single" w:sz="8" w:space="0" w:color="000000"/>
              <w:bottom w:val="single" w:sz="8" w:space="0" w:color="000000"/>
              <w:right w:val="single" w:sz="8" w:space="0" w:color="000000"/>
            </w:tcBorders>
            <w:vAlign w:val="center"/>
          </w:tcPr>
          <w:p w14:paraId="74C9D66F" w14:textId="0D330820"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0.93%</w:t>
            </w:r>
          </w:p>
        </w:tc>
        <w:tc>
          <w:tcPr>
            <w:tcW w:w="992" w:type="dxa"/>
            <w:tcBorders>
              <w:top w:val="single" w:sz="8" w:space="0" w:color="000000"/>
              <w:left w:val="single" w:sz="8" w:space="0" w:color="000000"/>
              <w:bottom w:val="single" w:sz="8" w:space="0" w:color="000000"/>
              <w:right w:val="single" w:sz="8" w:space="0" w:color="000000"/>
            </w:tcBorders>
            <w:vAlign w:val="center"/>
          </w:tcPr>
          <w:p w14:paraId="7E34604C" w14:textId="79CB5F15"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-25.48%</w:t>
            </w:r>
          </w:p>
        </w:tc>
        <w:tc>
          <w:tcPr>
            <w:tcW w:w="925" w:type="dxa"/>
            <w:tcBorders>
              <w:top w:val="single" w:sz="8" w:space="0" w:color="000000"/>
              <w:left w:val="single" w:sz="8" w:space="0" w:color="000000"/>
              <w:bottom w:val="single" w:sz="8" w:space="0" w:color="000000"/>
              <w:right w:val="single" w:sz="8" w:space="0" w:color="000000"/>
            </w:tcBorders>
            <w:vAlign w:val="center"/>
          </w:tcPr>
          <w:p w14:paraId="3A5F4D1A" w14:textId="0A0B9E56"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1.43%</w:t>
            </w:r>
          </w:p>
        </w:tc>
      </w:tr>
      <w:tr w:rsidR="005B7208" w14:paraId="7BDD99B7" w14:textId="77777777" w:rsidTr="00231253">
        <w:trPr>
          <w:gridBefore w:val="1"/>
          <w:wBefore w:w="6" w:type="dxa"/>
          <w:trHeight w:val="340"/>
          <w:jc w:val="center"/>
        </w:trPr>
        <w:tc>
          <w:tcPr>
            <w:tcW w:w="2530" w:type="dxa"/>
            <w:tcBorders>
              <w:top w:val="single" w:sz="8" w:space="0" w:color="000000"/>
              <w:left w:val="single" w:sz="8" w:space="0" w:color="000000"/>
              <w:bottom w:val="single" w:sz="8" w:space="0" w:color="000000"/>
              <w:right w:val="single" w:sz="8" w:space="0" w:color="000000"/>
            </w:tcBorders>
          </w:tcPr>
          <w:p w14:paraId="5D286FA1" w14:textId="1AA4D216" w:rsidR="005B7208" w:rsidRDefault="005B7208" w:rsidP="005B7208">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自基金合同生效日至2025.06.30</w:t>
            </w:r>
          </w:p>
        </w:tc>
        <w:tc>
          <w:tcPr>
            <w:tcW w:w="1031" w:type="dxa"/>
            <w:tcBorders>
              <w:top w:val="single" w:sz="8" w:space="0" w:color="000000"/>
              <w:left w:val="single" w:sz="8" w:space="0" w:color="000000"/>
              <w:bottom w:val="single" w:sz="8" w:space="0" w:color="000000"/>
              <w:right w:val="single" w:sz="8" w:space="0" w:color="000000"/>
            </w:tcBorders>
            <w:vAlign w:val="center"/>
          </w:tcPr>
          <w:p w14:paraId="734F6E71" w14:textId="401C4FE9"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4.55%</w:t>
            </w:r>
          </w:p>
        </w:tc>
        <w:tc>
          <w:tcPr>
            <w:tcW w:w="1107" w:type="dxa"/>
            <w:tcBorders>
              <w:top w:val="single" w:sz="8" w:space="0" w:color="000000"/>
              <w:left w:val="single" w:sz="8" w:space="0" w:color="000000"/>
              <w:bottom w:val="single" w:sz="8" w:space="0" w:color="000000"/>
              <w:right w:val="single" w:sz="8" w:space="0" w:color="000000"/>
            </w:tcBorders>
            <w:vAlign w:val="center"/>
          </w:tcPr>
          <w:p w14:paraId="494CE806" w14:textId="19328725"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1.47%</w:t>
            </w:r>
          </w:p>
        </w:tc>
        <w:tc>
          <w:tcPr>
            <w:tcW w:w="1107" w:type="dxa"/>
            <w:tcBorders>
              <w:top w:val="single" w:sz="8" w:space="0" w:color="000000"/>
              <w:left w:val="single" w:sz="8" w:space="0" w:color="000000"/>
              <w:bottom w:val="single" w:sz="8" w:space="0" w:color="000000"/>
              <w:right w:val="single" w:sz="8" w:space="0" w:color="000000"/>
            </w:tcBorders>
            <w:vAlign w:val="center"/>
          </w:tcPr>
          <w:p w14:paraId="266E1B80" w14:textId="427766B1"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17.96%</w:t>
            </w:r>
          </w:p>
        </w:tc>
        <w:tc>
          <w:tcPr>
            <w:tcW w:w="1357" w:type="dxa"/>
            <w:tcBorders>
              <w:top w:val="single" w:sz="8" w:space="0" w:color="000000"/>
              <w:left w:val="single" w:sz="8" w:space="0" w:color="000000"/>
              <w:bottom w:val="single" w:sz="8" w:space="0" w:color="000000"/>
              <w:right w:val="single" w:sz="8" w:space="0" w:color="000000"/>
            </w:tcBorders>
            <w:vAlign w:val="center"/>
          </w:tcPr>
          <w:p w14:paraId="6921D7DD" w14:textId="79AB5C61"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0.86%</w:t>
            </w:r>
          </w:p>
        </w:tc>
        <w:tc>
          <w:tcPr>
            <w:tcW w:w="992" w:type="dxa"/>
            <w:tcBorders>
              <w:top w:val="single" w:sz="8" w:space="0" w:color="000000"/>
              <w:left w:val="single" w:sz="8" w:space="0" w:color="000000"/>
              <w:bottom w:val="single" w:sz="8" w:space="0" w:color="000000"/>
              <w:right w:val="single" w:sz="8" w:space="0" w:color="000000"/>
            </w:tcBorders>
            <w:vAlign w:val="center"/>
          </w:tcPr>
          <w:p w14:paraId="5263155F" w14:textId="3E03EB67"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-13.41%</w:t>
            </w:r>
          </w:p>
        </w:tc>
        <w:tc>
          <w:tcPr>
            <w:tcW w:w="925" w:type="dxa"/>
            <w:tcBorders>
              <w:top w:val="single" w:sz="8" w:space="0" w:color="000000"/>
              <w:left w:val="single" w:sz="8" w:space="0" w:color="000000"/>
              <w:bottom w:val="single" w:sz="8" w:space="0" w:color="000000"/>
              <w:right w:val="single" w:sz="8" w:space="0" w:color="000000"/>
            </w:tcBorders>
            <w:vAlign w:val="center"/>
          </w:tcPr>
          <w:p w14:paraId="3E37C06B" w14:textId="376A9321"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0.61%</w:t>
            </w:r>
          </w:p>
        </w:tc>
      </w:tr>
    </w:tbl>
    <w:p w14:paraId="7F5F014E" w14:textId="77777777" w:rsidR="008D0810" w:rsidRDefault="008D0810">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7AC2090A"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057" w:type="dxa"/>
        <w:jc w:val="center"/>
        <w:tblLayout w:type="fixed"/>
        <w:tblLook w:val="04A0" w:firstRow="1" w:lastRow="0" w:firstColumn="1" w:lastColumn="0" w:noHBand="0" w:noVBand="1"/>
      </w:tblPr>
      <w:tblGrid>
        <w:gridCol w:w="2538"/>
        <w:gridCol w:w="1073"/>
        <w:gridCol w:w="1108"/>
        <w:gridCol w:w="1108"/>
        <w:gridCol w:w="1372"/>
        <w:gridCol w:w="992"/>
        <w:gridCol w:w="866"/>
      </w:tblGrid>
      <w:tr w:rsidR="008D0810" w14:paraId="559BD83F" w14:textId="77777777" w:rsidTr="00231253">
        <w:trPr>
          <w:trHeight w:val="1619"/>
          <w:jc w:val="center"/>
        </w:trPr>
        <w:tc>
          <w:tcPr>
            <w:tcW w:w="2538" w:type="dxa"/>
            <w:tcBorders>
              <w:top w:val="single" w:sz="8" w:space="0" w:color="000000"/>
              <w:left w:val="single" w:sz="8" w:space="0" w:color="000000"/>
              <w:bottom w:val="single" w:sz="8" w:space="0" w:color="000000"/>
              <w:right w:val="single" w:sz="8" w:space="0" w:color="000000"/>
            </w:tcBorders>
            <w:vAlign w:val="center"/>
          </w:tcPr>
          <w:p w14:paraId="00E1C0A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73" w:type="dxa"/>
            <w:tcBorders>
              <w:top w:val="single" w:sz="8" w:space="0" w:color="000000"/>
              <w:left w:val="single" w:sz="8" w:space="0" w:color="000000"/>
              <w:bottom w:val="single" w:sz="8" w:space="0" w:color="000000"/>
              <w:right w:val="single" w:sz="8" w:space="0" w:color="000000"/>
            </w:tcBorders>
            <w:vAlign w:val="center"/>
          </w:tcPr>
          <w:p w14:paraId="6FA81EBB"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08" w:type="dxa"/>
            <w:tcBorders>
              <w:top w:val="single" w:sz="8" w:space="0" w:color="000000"/>
              <w:left w:val="single" w:sz="8" w:space="0" w:color="000000"/>
              <w:bottom w:val="single" w:sz="8" w:space="0" w:color="000000"/>
              <w:right w:val="single" w:sz="8" w:space="0" w:color="000000"/>
            </w:tcBorders>
            <w:vAlign w:val="center"/>
          </w:tcPr>
          <w:p w14:paraId="1FAFCCE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08" w:type="dxa"/>
            <w:tcBorders>
              <w:top w:val="single" w:sz="8" w:space="0" w:color="000000"/>
              <w:left w:val="single" w:sz="8" w:space="0" w:color="000000"/>
              <w:bottom w:val="single" w:sz="8" w:space="0" w:color="000000"/>
              <w:right w:val="single" w:sz="8" w:space="0" w:color="000000"/>
            </w:tcBorders>
            <w:vAlign w:val="center"/>
          </w:tcPr>
          <w:p w14:paraId="36542DDB"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72" w:type="dxa"/>
            <w:tcBorders>
              <w:top w:val="single" w:sz="8" w:space="0" w:color="000000"/>
              <w:left w:val="single" w:sz="8" w:space="0" w:color="000000"/>
              <w:bottom w:val="single" w:sz="8" w:space="0" w:color="000000"/>
              <w:right w:val="single" w:sz="8" w:space="0" w:color="000000"/>
            </w:tcBorders>
            <w:vAlign w:val="center"/>
          </w:tcPr>
          <w:p w14:paraId="566FFB08"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992" w:type="dxa"/>
            <w:tcBorders>
              <w:top w:val="single" w:sz="8" w:space="0" w:color="000000"/>
              <w:left w:val="single" w:sz="8" w:space="0" w:color="000000"/>
              <w:bottom w:val="single" w:sz="8" w:space="0" w:color="000000"/>
              <w:right w:val="single" w:sz="8" w:space="0" w:color="000000"/>
            </w:tcBorders>
            <w:vAlign w:val="center"/>
          </w:tcPr>
          <w:p w14:paraId="20FE3EE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866" w:type="dxa"/>
            <w:tcBorders>
              <w:top w:val="single" w:sz="8" w:space="0" w:color="000000"/>
              <w:left w:val="single" w:sz="8" w:space="0" w:color="000000"/>
              <w:bottom w:val="single" w:sz="8" w:space="0" w:color="000000"/>
              <w:right w:val="single" w:sz="8" w:space="0" w:color="000000"/>
            </w:tcBorders>
            <w:vAlign w:val="center"/>
          </w:tcPr>
          <w:p w14:paraId="54BF9AA0"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8D0810" w14:paraId="2874B370"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vAlign w:val="center"/>
          </w:tcPr>
          <w:p w14:paraId="56C3C6D9"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73" w:type="dxa"/>
            <w:tcBorders>
              <w:top w:val="single" w:sz="8" w:space="0" w:color="000000"/>
              <w:left w:val="single" w:sz="8" w:space="0" w:color="000000"/>
              <w:bottom w:val="single" w:sz="8" w:space="0" w:color="000000"/>
              <w:right w:val="single" w:sz="8" w:space="0" w:color="000000"/>
            </w:tcBorders>
            <w:vAlign w:val="center"/>
          </w:tcPr>
          <w:p w14:paraId="2FB04421"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-28.57%</w:t>
            </w:r>
          </w:p>
        </w:tc>
        <w:tc>
          <w:tcPr>
            <w:tcW w:w="1108" w:type="dxa"/>
            <w:tcBorders>
              <w:top w:val="single" w:sz="8" w:space="0" w:color="000000"/>
              <w:left w:val="single" w:sz="8" w:space="0" w:color="000000"/>
              <w:bottom w:val="single" w:sz="8" w:space="0" w:color="000000"/>
              <w:right w:val="single" w:sz="8" w:space="0" w:color="000000"/>
            </w:tcBorders>
            <w:vAlign w:val="center"/>
          </w:tcPr>
          <w:p w14:paraId="183282E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1.03%</w:t>
            </w:r>
          </w:p>
        </w:tc>
        <w:tc>
          <w:tcPr>
            <w:tcW w:w="1108" w:type="dxa"/>
            <w:tcBorders>
              <w:top w:val="single" w:sz="8" w:space="0" w:color="000000"/>
              <w:left w:val="single" w:sz="8" w:space="0" w:color="000000"/>
              <w:bottom w:val="single" w:sz="8" w:space="0" w:color="000000"/>
              <w:right w:val="single" w:sz="8" w:space="0" w:color="000000"/>
            </w:tcBorders>
            <w:vAlign w:val="center"/>
          </w:tcPr>
          <w:p w14:paraId="64D49462"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-13.27%</w:t>
            </w:r>
          </w:p>
        </w:tc>
        <w:tc>
          <w:tcPr>
            <w:tcW w:w="1372" w:type="dxa"/>
            <w:tcBorders>
              <w:top w:val="single" w:sz="8" w:space="0" w:color="000000"/>
              <w:left w:val="single" w:sz="8" w:space="0" w:color="000000"/>
              <w:bottom w:val="single" w:sz="8" w:space="0" w:color="000000"/>
              <w:right w:val="single" w:sz="8" w:space="0" w:color="000000"/>
            </w:tcBorders>
            <w:vAlign w:val="center"/>
          </w:tcPr>
          <w:p w14:paraId="4A4D63D8"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0.94%</w:t>
            </w:r>
          </w:p>
        </w:tc>
        <w:tc>
          <w:tcPr>
            <w:tcW w:w="992" w:type="dxa"/>
            <w:tcBorders>
              <w:top w:val="single" w:sz="8" w:space="0" w:color="000000"/>
              <w:left w:val="single" w:sz="8" w:space="0" w:color="000000"/>
              <w:bottom w:val="single" w:sz="8" w:space="0" w:color="000000"/>
              <w:right w:val="single" w:sz="8" w:space="0" w:color="000000"/>
            </w:tcBorders>
            <w:vAlign w:val="center"/>
          </w:tcPr>
          <w:p w14:paraId="15FC330F"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-15.30%</w:t>
            </w:r>
          </w:p>
        </w:tc>
        <w:tc>
          <w:tcPr>
            <w:tcW w:w="866" w:type="dxa"/>
            <w:tcBorders>
              <w:top w:val="single" w:sz="8" w:space="0" w:color="000000"/>
              <w:left w:val="single" w:sz="8" w:space="0" w:color="000000"/>
              <w:bottom w:val="single" w:sz="8" w:space="0" w:color="000000"/>
              <w:right w:val="single" w:sz="8" w:space="0" w:color="000000"/>
            </w:tcBorders>
            <w:vAlign w:val="center"/>
          </w:tcPr>
          <w:p w14:paraId="073F74E9"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0.09%</w:t>
            </w:r>
          </w:p>
        </w:tc>
      </w:tr>
      <w:tr w:rsidR="008D0810" w14:paraId="79ECF16A"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vAlign w:val="center"/>
          </w:tcPr>
          <w:p w14:paraId="20148A49"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73" w:type="dxa"/>
            <w:tcBorders>
              <w:top w:val="single" w:sz="8" w:space="0" w:color="000000"/>
              <w:left w:val="single" w:sz="8" w:space="0" w:color="000000"/>
              <w:bottom w:val="single" w:sz="8" w:space="0" w:color="000000"/>
              <w:right w:val="single" w:sz="8" w:space="0" w:color="000000"/>
            </w:tcBorders>
            <w:vAlign w:val="center"/>
          </w:tcPr>
          <w:p w14:paraId="4F09C7A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22.90%</w:t>
            </w:r>
          </w:p>
        </w:tc>
        <w:tc>
          <w:tcPr>
            <w:tcW w:w="1108" w:type="dxa"/>
            <w:tcBorders>
              <w:top w:val="single" w:sz="8" w:space="0" w:color="000000"/>
              <w:left w:val="single" w:sz="8" w:space="0" w:color="000000"/>
              <w:bottom w:val="single" w:sz="8" w:space="0" w:color="000000"/>
              <w:right w:val="single" w:sz="8" w:space="0" w:color="000000"/>
            </w:tcBorders>
            <w:vAlign w:val="center"/>
          </w:tcPr>
          <w:p w14:paraId="453CD67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1.01%</w:t>
            </w:r>
          </w:p>
        </w:tc>
        <w:tc>
          <w:tcPr>
            <w:tcW w:w="1108" w:type="dxa"/>
            <w:tcBorders>
              <w:top w:val="single" w:sz="8" w:space="0" w:color="000000"/>
              <w:left w:val="single" w:sz="8" w:space="0" w:color="000000"/>
              <w:bottom w:val="single" w:sz="8" w:space="0" w:color="000000"/>
              <w:right w:val="single" w:sz="8" w:space="0" w:color="000000"/>
            </w:tcBorders>
            <w:vAlign w:val="center"/>
          </w:tcPr>
          <w:p w14:paraId="49FC5EAF"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26.39%</w:t>
            </w:r>
          </w:p>
        </w:tc>
        <w:tc>
          <w:tcPr>
            <w:tcW w:w="1372" w:type="dxa"/>
            <w:tcBorders>
              <w:top w:val="single" w:sz="8" w:space="0" w:color="000000"/>
              <w:left w:val="single" w:sz="8" w:space="0" w:color="000000"/>
              <w:bottom w:val="single" w:sz="8" w:space="0" w:color="000000"/>
              <w:right w:val="single" w:sz="8" w:space="0" w:color="000000"/>
            </w:tcBorders>
            <w:vAlign w:val="center"/>
          </w:tcPr>
          <w:p w14:paraId="71C9360A"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0.87%</w:t>
            </w:r>
          </w:p>
        </w:tc>
        <w:tc>
          <w:tcPr>
            <w:tcW w:w="992" w:type="dxa"/>
            <w:tcBorders>
              <w:top w:val="single" w:sz="8" w:space="0" w:color="000000"/>
              <w:left w:val="single" w:sz="8" w:space="0" w:color="000000"/>
              <w:bottom w:val="single" w:sz="8" w:space="0" w:color="000000"/>
              <w:right w:val="single" w:sz="8" w:space="0" w:color="000000"/>
            </w:tcBorders>
            <w:vAlign w:val="center"/>
          </w:tcPr>
          <w:p w14:paraId="4F2B0F00"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-3.49%</w:t>
            </w:r>
          </w:p>
        </w:tc>
        <w:tc>
          <w:tcPr>
            <w:tcW w:w="866" w:type="dxa"/>
            <w:tcBorders>
              <w:top w:val="single" w:sz="8" w:space="0" w:color="000000"/>
              <w:left w:val="single" w:sz="8" w:space="0" w:color="000000"/>
              <w:bottom w:val="single" w:sz="8" w:space="0" w:color="000000"/>
              <w:right w:val="single" w:sz="8" w:space="0" w:color="000000"/>
            </w:tcBorders>
            <w:vAlign w:val="center"/>
          </w:tcPr>
          <w:p w14:paraId="41EB4618"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0.14%</w:t>
            </w:r>
          </w:p>
        </w:tc>
      </w:tr>
      <w:tr w:rsidR="008D0810" w14:paraId="3281191E"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vAlign w:val="center"/>
          </w:tcPr>
          <w:p w14:paraId="11F6628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lastRenderedPageBreak/>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73" w:type="dxa"/>
            <w:tcBorders>
              <w:top w:val="single" w:sz="8" w:space="0" w:color="000000"/>
              <w:left w:val="single" w:sz="8" w:space="0" w:color="000000"/>
              <w:bottom w:val="single" w:sz="8" w:space="0" w:color="000000"/>
              <w:right w:val="single" w:sz="8" w:space="0" w:color="000000"/>
            </w:tcBorders>
            <w:vAlign w:val="center"/>
          </w:tcPr>
          <w:p w14:paraId="342E81A0"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8.58%</w:t>
            </w:r>
          </w:p>
        </w:tc>
        <w:tc>
          <w:tcPr>
            <w:tcW w:w="1108" w:type="dxa"/>
            <w:tcBorders>
              <w:top w:val="single" w:sz="8" w:space="0" w:color="000000"/>
              <w:left w:val="single" w:sz="8" w:space="0" w:color="000000"/>
              <w:bottom w:val="single" w:sz="8" w:space="0" w:color="000000"/>
              <w:right w:val="single" w:sz="8" w:space="0" w:color="000000"/>
            </w:tcBorders>
            <w:vAlign w:val="center"/>
          </w:tcPr>
          <w:p w14:paraId="772FB3E2"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1.54%</w:t>
            </w:r>
          </w:p>
        </w:tc>
        <w:tc>
          <w:tcPr>
            <w:tcW w:w="1108" w:type="dxa"/>
            <w:tcBorders>
              <w:top w:val="single" w:sz="8" w:space="0" w:color="000000"/>
              <w:left w:val="single" w:sz="8" w:space="0" w:color="000000"/>
              <w:bottom w:val="single" w:sz="8" w:space="0" w:color="000000"/>
              <w:right w:val="single" w:sz="8" w:space="0" w:color="000000"/>
            </w:tcBorders>
            <w:vAlign w:val="center"/>
          </w:tcPr>
          <w:p w14:paraId="7C14E05B"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20.09%</w:t>
            </w:r>
          </w:p>
        </w:tc>
        <w:tc>
          <w:tcPr>
            <w:tcW w:w="1372" w:type="dxa"/>
            <w:tcBorders>
              <w:top w:val="single" w:sz="8" w:space="0" w:color="000000"/>
              <w:left w:val="single" w:sz="8" w:space="0" w:color="000000"/>
              <w:bottom w:val="single" w:sz="8" w:space="0" w:color="000000"/>
              <w:right w:val="single" w:sz="8" w:space="0" w:color="000000"/>
            </w:tcBorders>
            <w:vAlign w:val="center"/>
          </w:tcPr>
          <w:p w14:paraId="47EFFB9E"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w:t>
            </w:r>
          </w:p>
        </w:tc>
        <w:tc>
          <w:tcPr>
            <w:tcW w:w="992" w:type="dxa"/>
            <w:tcBorders>
              <w:top w:val="single" w:sz="8" w:space="0" w:color="000000"/>
              <w:left w:val="single" w:sz="8" w:space="0" w:color="000000"/>
              <w:bottom w:val="single" w:sz="8" w:space="0" w:color="000000"/>
              <w:right w:val="single" w:sz="8" w:space="0" w:color="000000"/>
            </w:tcBorders>
            <w:vAlign w:val="center"/>
          </w:tcPr>
          <w:p w14:paraId="5C94C04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-11.51%</w:t>
            </w:r>
          </w:p>
        </w:tc>
        <w:tc>
          <w:tcPr>
            <w:tcW w:w="866" w:type="dxa"/>
            <w:tcBorders>
              <w:top w:val="single" w:sz="8" w:space="0" w:color="000000"/>
              <w:left w:val="single" w:sz="8" w:space="0" w:color="000000"/>
              <w:bottom w:val="single" w:sz="8" w:space="0" w:color="000000"/>
              <w:right w:val="single" w:sz="8" w:space="0" w:color="000000"/>
            </w:tcBorders>
            <w:vAlign w:val="center"/>
          </w:tcPr>
          <w:p w14:paraId="51A14280"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0.54%</w:t>
            </w:r>
          </w:p>
        </w:tc>
      </w:tr>
      <w:tr w:rsidR="008D0810" w14:paraId="52B687AE"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vAlign w:val="center"/>
          </w:tcPr>
          <w:p w14:paraId="1DAD6DF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73" w:type="dxa"/>
            <w:tcBorders>
              <w:top w:val="single" w:sz="8" w:space="0" w:color="000000"/>
              <w:left w:val="single" w:sz="8" w:space="0" w:color="000000"/>
              <w:bottom w:val="single" w:sz="8" w:space="0" w:color="000000"/>
              <w:right w:val="single" w:sz="8" w:space="0" w:color="000000"/>
            </w:tcBorders>
            <w:vAlign w:val="center"/>
          </w:tcPr>
          <w:p w14:paraId="21605CF2"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26.90%</w:t>
            </w:r>
          </w:p>
        </w:tc>
        <w:tc>
          <w:tcPr>
            <w:tcW w:w="1108" w:type="dxa"/>
            <w:tcBorders>
              <w:top w:val="single" w:sz="8" w:space="0" w:color="000000"/>
              <w:left w:val="single" w:sz="8" w:space="0" w:color="000000"/>
              <w:bottom w:val="single" w:sz="8" w:space="0" w:color="000000"/>
              <w:right w:val="single" w:sz="8" w:space="0" w:color="000000"/>
            </w:tcBorders>
            <w:vAlign w:val="center"/>
          </w:tcPr>
          <w:p w14:paraId="08DA7CF2"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1.27%</w:t>
            </w:r>
          </w:p>
        </w:tc>
        <w:tc>
          <w:tcPr>
            <w:tcW w:w="1108" w:type="dxa"/>
            <w:tcBorders>
              <w:top w:val="single" w:sz="8" w:space="0" w:color="000000"/>
              <w:left w:val="single" w:sz="8" w:space="0" w:color="000000"/>
              <w:bottom w:val="single" w:sz="8" w:space="0" w:color="000000"/>
              <w:right w:val="single" w:sz="8" w:space="0" w:color="000000"/>
            </w:tcBorders>
            <w:vAlign w:val="center"/>
          </w:tcPr>
          <w:p w14:paraId="40F7F8E6"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-1.72%</w:t>
            </w:r>
          </w:p>
        </w:tc>
        <w:tc>
          <w:tcPr>
            <w:tcW w:w="1372" w:type="dxa"/>
            <w:tcBorders>
              <w:top w:val="single" w:sz="8" w:space="0" w:color="000000"/>
              <w:left w:val="single" w:sz="8" w:space="0" w:color="000000"/>
              <w:bottom w:val="single" w:sz="8" w:space="0" w:color="000000"/>
              <w:right w:val="single" w:sz="8" w:space="0" w:color="000000"/>
            </w:tcBorders>
            <w:vAlign w:val="center"/>
          </w:tcPr>
          <w:p w14:paraId="0414771C"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0.82%</w:t>
            </w:r>
          </w:p>
        </w:tc>
        <w:tc>
          <w:tcPr>
            <w:tcW w:w="992" w:type="dxa"/>
            <w:tcBorders>
              <w:top w:val="single" w:sz="8" w:space="0" w:color="000000"/>
              <w:left w:val="single" w:sz="8" w:space="0" w:color="000000"/>
              <w:bottom w:val="single" w:sz="8" w:space="0" w:color="000000"/>
              <w:right w:val="single" w:sz="8" w:space="0" w:color="000000"/>
            </w:tcBorders>
            <w:vAlign w:val="center"/>
          </w:tcPr>
          <w:p w14:paraId="202A21B3"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28.62%</w:t>
            </w:r>
          </w:p>
        </w:tc>
        <w:tc>
          <w:tcPr>
            <w:tcW w:w="866" w:type="dxa"/>
            <w:tcBorders>
              <w:top w:val="single" w:sz="8" w:space="0" w:color="000000"/>
              <w:left w:val="single" w:sz="8" w:space="0" w:color="000000"/>
              <w:bottom w:val="single" w:sz="8" w:space="0" w:color="000000"/>
              <w:right w:val="single" w:sz="8" w:space="0" w:color="000000"/>
            </w:tcBorders>
            <w:vAlign w:val="center"/>
          </w:tcPr>
          <w:p w14:paraId="0B5B902B" w14:textId="77777777" w:rsidR="008D0810" w:rsidRDefault="00417F9F">
            <w:pPr>
              <w:pStyle w:val="biaogecenter"/>
              <w:jc w:val="left"/>
              <w:rPr>
                <w:rFonts w:asciiTheme="minorEastAsia" w:eastAsiaTheme="minorEastAsia" w:hAnsiTheme="minorEastAsia" w:hint="eastAsia"/>
                <w:color w:val="000000"/>
                <w:sz w:val="21"/>
                <w:szCs w:val="21"/>
              </w:rPr>
            </w:pPr>
            <w:r>
              <w:rPr>
                <w:sz w:val="21"/>
                <w:szCs w:val="21"/>
              </w:rPr>
              <w:t>0.45%</w:t>
            </w:r>
          </w:p>
        </w:tc>
      </w:tr>
      <w:tr w:rsidR="008D0810" w14:paraId="3C472A8C"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vAlign w:val="center"/>
          </w:tcPr>
          <w:p w14:paraId="3F7FF1AE"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73" w:type="dxa"/>
            <w:tcBorders>
              <w:top w:val="single" w:sz="8" w:space="0" w:color="000000"/>
              <w:left w:val="single" w:sz="8" w:space="0" w:color="000000"/>
              <w:bottom w:val="single" w:sz="8" w:space="0" w:color="000000"/>
              <w:right w:val="single" w:sz="8" w:space="0" w:color="000000"/>
            </w:tcBorders>
            <w:vAlign w:val="center"/>
          </w:tcPr>
          <w:p w14:paraId="2A678764" w14:textId="77777777" w:rsidR="008D0810" w:rsidRDefault="00417F9F">
            <w:pPr>
              <w:pStyle w:val="biaogecenter"/>
              <w:jc w:val="left"/>
              <w:rPr>
                <w:rFonts w:hint="eastAsia"/>
                <w:sz w:val="21"/>
                <w:szCs w:val="21"/>
              </w:rPr>
            </w:pPr>
            <w:r>
              <w:rPr>
                <w:rFonts w:hAnsi="等线"/>
                <w:color w:val="000000"/>
                <w:sz w:val="21"/>
                <w:szCs w:val="21"/>
              </w:rPr>
              <w:t>-13.84%</w:t>
            </w:r>
          </w:p>
        </w:tc>
        <w:tc>
          <w:tcPr>
            <w:tcW w:w="1108" w:type="dxa"/>
            <w:tcBorders>
              <w:top w:val="single" w:sz="8" w:space="0" w:color="000000"/>
              <w:left w:val="single" w:sz="8" w:space="0" w:color="000000"/>
              <w:bottom w:val="single" w:sz="8" w:space="0" w:color="000000"/>
              <w:right w:val="single" w:sz="8" w:space="0" w:color="000000"/>
            </w:tcBorders>
            <w:vAlign w:val="center"/>
          </w:tcPr>
          <w:p w14:paraId="60C1BF5F" w14:textId="77777777" w:rsidR="008D0810" w:rsidRDefault="00417F9F">
            <w:pPr>
              <w:pStyle w:val="biaogecenter"/>
              <w:jc w:val="left"/>
              <w:rPr>
                <w:rFonts w:hint="eastAsia"/>
                <w:sz w:val="21"/>
                <w:szCs w:val="21"/>
              </w:rPr>
            </w:pPr>
            <w:r>
              <w:rPr>
                <w:rFonts w:hAnsi="等线"/>
                <w:color w:val="000000"/>
                <w:sz w:val="21"/>
                <w:szCs w:val="21"/>
              </w:rPr>
              <w:t>1.52%</w:t>
            </w:r>
          </w:p>
        </w:tc>
        <w:tc>
          <w:tcPr>
            <w:tcW w:w="1108" w:type="dxa"/>
            <w:tcBorders>
              <w:top w:val="single" w:sz="8" w:space="0" w:color="000000"/>
              <w:left w:val="single" w:sz="8" w:space="0" w:color="000000"/>
              <w:bottom w:val="single" w:sz="8" w:space="0" w:color="000000"/>
              <w:right w:val="single" w:sz="8" w:space="0" w:color="000000"/>
            </w:tcBorders>
            <w:vAlign w:val="center"/>
          </w:tcPr>
          <w:p w14:paraId="03D79A9F" w14:textId="77777777" w:rsidR="008D0810" w:rsidRDefault="00417F9F">
            <w:pPr>
              <w:pStyle w:val="biaogecenter"/>
              <w:jc w:val="left"/>
              <w:rPr>
                <w:rFonts w:hint="eastAsia"/>
                <w:sz w:val="21"/>
                <w:szCs w:val="21"/>
              </w:rPr>
            </w:pPr>
            <w:r>
              <w:rPr>
                <w:rFonts w:hAnsi="等线"/>
                <w:color w:val="000000"/>
                <w:sz w:val="21"/>
                <w:szCs w:val="21"/>
              </w:rPr>
              <w:t>-14.45%</w:t>
            </w:r>
          </w:p>
        </w:tc>
        <w:tc>
          <w:tcPr>
            <w:tcW w:w="1372" w:type="dxa"/>
            <w:tcBorders>
              <w:top w:val="single" w:sz="8" w:space="0" w:color="000000"/>
              <w:left w:val="single" w:sz="8" w:space="0" w:color="000000"/>
              <w:bottom w:val="single" w:sz="8" w:space="0" w:color="000000"/>
              <w:right w:val="single" w:sz="8" w:space="0" w:color="000000"/>
            </w:tcBorders>
            <w:vAlign w:val="center"/>
          </w:tcPr>
          <w:p w14:paraId="015389F3" w14:textId="77777777" w:rsidR="008D0810" w:rsidRDefault="00417F9F">
            <w:pPr>
              <w:pStyle w:val="biaogecenter"/>
              <w:jc w:val="left"/>
              <w:rPr>
                <w:rFonts w:hint="eastAsia"/>
                <w:sz w:val="21"/>
                <w:szCs w:val="21"/>
              </w:rPr>
            </w:pPr>
            <w:r>
              <w:rPr>
                <w:rFonts w:hAnsi="等线"/>
                <w:color w:val="000000"/>
                <w:sz w:val="21"/>
                <w:szCs w:val="21"/>
              </w:rPr>
              <w:t>0.90%</w:t>
            </w:r>
          </w:p>
        </w:tc>
        <w:tc>
          <w:tcPr>
            <w:tcW w:w="992" w:type="dxa"/>
            <w:tcBorders>
              <w:top w:val="single" w:sz="8" w:space="0" w:color="000000"/>
              <w:left w:val="single" w:sz="8" w:space="0" w:color="000000"/>
              <w:bottom w:val="single" w:sz="8" w:space="0" w:color="000000"/>
              <w:right w:val="single" w:sz="8" w:space="0" w:color="000000"/>
            </w:tcBorders>
            <w:vAlign w:val="center"/>
          </w:tcPr>
          <w:p w14:paraId="7CDFEDFD" w14:textId="77777777" w:rsidR="008D0810" w:rsidRDefault="00417F9F">
            <w:pPr>
              <w:pStyle w:val="biaogecenter"/>
              <w:jc w:val="left"/>
              <w:rPr>
                <w:rFonts w:hint="eastAsia"/>
                <w:sz w:val="21"/>
                <w:szCs w:val="21"/>
              </w:rPr>
            </w:pPr>
            <w:r>
              <w:rPr>
                <w:rFonts w:hAnsi="等线"/>
                <w:color w:val="000000"/>
                <w:sz w:val="21"/>
                <w:szCs w:val="21"/>
              </w:rPr>
              <w:t>0.61%</w:t>
            </w:r>
          </w:p>
        </w:tc>
        <w:tc>
          <w:tcPr>
            <w:tcW w:w="866" w:type="dxa"/>
            <w:tcBorders>
              <w:top w:val="single" w:sz="8" w:space="0" w:color="000000"/>
              <w:left w:val="single" w:sz="8" w:space="0" w:color="000000"/>
              <w:bottom w:val="single" w:sz="8" w:space="0" w:color="000000"/>
              <w:right w:val="single" w:sz="8" w:space="0" w:color="000000"/>
            </w:tcBorders>
            <w:vAlign w:val="center"/>
          </w:tcPr>
          <w:p w14:paraId="35BA0463" w14:textId="77777777" w:rsidR="008D0810" w:rsidRDefault="00417F9F">
            <w:pPr>
              <w:pStyle w:val="biaogecenter"/>
              <w:jc w:val="left"/>
              <w:rPr>
                <w:rFonts w:hint="eastAsia"/>
                <w:sz w:val="21"/>
                <w:szCs w:val="21"/>
              </w:rPr>
            </w:pPr>
            <w:r>
              <w:rPr>
                <w:rFonts w:hAnsi="等线"/>
                <w:color w:val="000000"/>
                <w:sz w:val="21"/>
                <w:szCs w:val="21"/>
              </w:rPr>
              <w:t>0.62%</w:t>
            </w:r>
          </w:p>
        </w:tc>
      </w:tr>
      <w:tr w:rsidR="008D0810" w14:paraId="43D7A857"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tcPr>
          <w:p w14:paraId="11381BDF"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073" w:type="dxa"/>
            <w:tcBorders>
              <w:top w:val="single" w:sz="8" w:space="0" w:color="000000"/>
              <w:left w:val="single" w:sz="8" w:space="0" w:color="000000"/>
              <w:bottom w:val="single" w:sz="8" w:space="0" w:color="000000"/>
              <w:right w:val="single" w:sz="8" w:space="0" w:color="000000"/>
            </w:tcBorders>
          </w:tcPr>
          <w:p w14:paraId="3091F9C7"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-11.06%</w:t>
            </w:r>
          </w:p>
        </w:tc>
        <w:tc>
          <w:tcPr>
            <w:tcW w:w="1108" w:type="dxa"/>
            <w:tcBorders>
              <w:top w:val="single" w:sz="8" w:space="0" w:color="000000"/>
              <w:left w:val="single" w:sz="8" w:space="0" w:color="000000"/>
              <w:bottom w:val="single" w:sz="8" w:space="0" w:color="000000"/>
              <w:right w:val="single" w:sz="8" w:space="0" w:color="000000"/>
            </w:tcBorders>
          </w:tcPr>
          <w:p w14:paraId="6B2810DF"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1.02%</w:t>
            </w:r>
          </w:p>
        </w:tc>
        <w:tc>
          <w:tcPr>
            <w:tcW w:w="1108" w:type="dxa"/>
            <w:tcBorders>
              <w:top w:val="single" w:sz="8" w:space="0" w:color="000000"/>
              <w:left w:val="single" w:sz="8" w:space="0" w:color="000000"/>
              <w:bottom w:val="single" w:sz="8" w:space="0" w:color="000000"/>
              <w:right w:val="single" w:sz="8" w:space="0" w:color="000000"/>
            </w:tcBorders>
          </w:tcPr>
          <w:p w14:paraId="7B1C231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-6.52%</w:t>
            </w:r>
          </w:p>
        </w:tc>
        <w:tc>
          <w:tcPr>
            <w:tcW w:w="1372" w:type="dxa"/>
            <w:tcBorders>
              <w:top w:val="single" w:sz="8" w:space="0" w:color="000000"/>
              <w:left w:val="single" w:sz="8" w:space="0" w:color="000000"/>
              <w:bottom w:val="single" w:sz="8" w:space="0" w:color="000000"/>
              <w:right w:val="single" w:sz="8" w:space="0" w:color="000000"/>
            </w:tcBorders>
          </w:tcPr>
          <w:p w14:paraId="017AE860"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0.59%</w:t>
            </w:r>
          </w:p>
        </w:tc>
        <w:tc>
          <w:tcPr>
            <w:tcW w:w="992" w:type="dxa"/>
            <w:tcBorders>
              <w:top w:val="single" w:sz="8" w:space="0" w:color="000000"/>
              <w:left w:val="single" w:sz="8" w:space="0" w:color="000000"/>
              <w:bottom w:val="single" w:sz="8" w:space="0" w:color="000000"/>
              <w:right w:val="single" w:sz="8" w:space="0" w:color="000000"/>
            </w:tcBorders>
          </w:tcPr>
          <w:p w14:paraId="6331553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-4.54%</w:t>
            </w:r>
          </w:p>
        </w:tc>
        <w:tc>
          <w:tcPr>
            <w:tcW w:w="866" w:type="dxa"/>
            <w:tcBorders>
              <w:top w:val="single" w:sz="8" w:space="0" w:color="000000"/>
              <w:left w:val="single" w:sz="8" w:space="0" w:color="000000"/>
              <w:bottom w:val="single" w:sz="8" w:space="0" w:color="000000"/>
              <w:right w:val="single" w:sz="8" w:space="0" w:color="000000"/>
            </w:tcBorders>
          </w:tcPr>
          <w:p w14:paraId="769EC425" w14:textId="77777777" w:rsidR="008D0810" w:rsidRDefault="00417F9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0.43%</w:t>
            </w:r>
          </w:p>
        </w:tc>
      </w:tr>
      <w:tr w:rsidR="005B7208" w14:paraId="4E12AFE2"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tcPr>
          <w:p w14:paraId="0F30577D" w14:textId="6005C79B" w:rsidR="005B7208" w:rsidRDefault="005B7208" w:rsidP="005B7208">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2024.01.01~2024.12.31</w:t>
            </w:r>
          </w:p>
        </w:tc>
        <w:tc>
          <w:tcPr>
            <w:tcW w:w="1073" w:type="dxa"/>
            <w:tcBorders>
              <w:top w:val="single" w:sz="8" w:space="0" w:color="000000"/>
              <w:left w:val="single" w:sz="8" w:space="0" w:color="000000"/>
              <w:bottom w:val="single" w:sz="8" w:space="0" w:color="000000"/>
              <w:right w:val="single" w:sz="8" w:space="0" w:color="000000"/>
            </w:tcBorders>
            <w:vAlign w:val="center"/>
          </w:tcPr>
          <w:p w14:paraId="4C990072" w14:textId="58C76BCF"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-12.06%</w:t>
            </w:r>
          </w:p>
        </w:tc>
        <w:tc>
          <w:tcPr>
            <w:tcW w:w="1108" w:type="dxa"/>
            <w:tcBorders>
              <w:top w:val="single" w:sz="8" w:space="0" w:color="000000"/>
              <w:left w:val="single" w:sz="8" w:space="0" w:color="000000"/>
              <w:bottom w:val="single" w:sz="8" w:space="0" w:color="000000"/>
              <w:right w:val="single" w:sz="8" w:space="0" w:color="000000"/>
            </w:tcBorders>
            <w:vAlign w:val="center"/>
          </w:tcPr>
          <w:p w14:paraId="24B2EB6F" w14:textId="757FD09E"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2.36%</w:t>
            </w:r>
          </w:p>
        </w:tc>
        <w:tc>
          <w:tcPr>
            <w:tcW w:w="1108" w:type="dxa"/>
            <w:tcBorders>
              <w:top w:val="single" w:sz="8" w:space="0" w:color="000000"/>
              <w:left w:val="single" w:sz="8" w:space="0" w:color="000000"/>
              <w:bottom w:val="single" w:sz="8" w:space="0" w:color="000000"/>
              <w:right w:val="single" w:sz="8" w:space="0" w:color="000000"/>
            </w:tcBorders>
            <w:vAlign w:val="center"/>
          </w:tcPr>
          <w:p w14:paraId="7EFEC8E1" w14:textId="4373373B"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13.43%</w:t>
            </w:r>
          </w:p>
        </w:tc>
        <w:tc>
          <w:tcPr>
            <w:tcW w:w="1372" w:type="dxa"/>
            <w:tcBorders>
              <w:top w:val="single" w:sz="8" w:space="0" w:color="000000"/>
              <w:left w:val="single" w:sz="8" w:space="0" w:color="000000"/>
              <w:bottom w:val="single" w:sz="8" w:space="0" w:color="000000"/>
              <w:right w:val="single" w:sz="8" w:space="0" w:color="000000"/>
            </w:tcBorders>
            <w:vAlign w:val="center"/>
          </w:tcPr>
          <w:p w14:paraId="0F6D4B7D" w14:textId="361AB9C3"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0.93%</w:t>
            </w:r>
          </w:p>
        </w:tc>
        <w:tc>
          <w:tcPr>
            <w:tcW w:w="992" w:type="dxa"/>
            <w:tcBorders>
              <w:top w:val="single" w:sz="8" w:space="0" w:color="000000"/>
              <w:left w:val="single" w:sz="8" w:space="0" w:color="000000"/>
              <w:bottom w:val="single" w:sz="8" w:space="0" w:color="000000"/>
              <w:right w:val="single" w:sz="8" w:space="0" w:color="000000"/>
            </w:tcBorders>
            <w:vAlign w:val="center"/>
          </w:tcPr>
          <w:p w14:paraId="6EF5B5AD" w14:textId="3A5533D3"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-25.49%</w:t>
            </w:r>
          </w:p>
        </w:tc>
        <w:tc>
          <w:tcPr>
            <w:tcW w:w="866" w:type="dxa"/>
            <w:tcBorders>
              <w:top w:val="single" w:sz="8" w:space="0" w:color="000000"/>
              <w:left w:val="single" w:sz="8" w:space="0" w:color="000000"/>
              <w:bottom w:val="single" w:sz="8" w:space="0" w:color="000000"/>
              <w:right w:val="single" w:sz="8" w:space="0" w:color="000000"/>
            </w:tcBorders>
            <w:vAlign w:val="center"/>
          </w:tcPr>
          <w:p w14:paraId="6347A1AF" w14:textId="71B1F227"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color w:val="000000"/>
                <w:sz w:val="21"/>
                <w:szCs w:val="21"/>
              </w:rPr>
              <w:t>1.43%</w:t>
            </w:r>
          </w:p>
        </w:tc>
      </w:tr>
      <w:tr w:rsidR="005B7208" w14:paraId="2861D05E" w14:textId="77777777" w:rsidTr="00231253">
        <w:trPr>
          <w:trHeight w:val="20"/>
          <w:jc w:val="center"/>
        </w:trPr>
        <w:tc>
          <w:tcPr>
            <w:tcW w:w="2538" w:type="dxa"/>
            <w:tcBorders>
              <w:top w:val="single" w:sz="8" w:space="0" w:color="000000"/>
              <w:left w:val="single" w:sz="8" w:space="0" w:color="000000"/>
              <w:bottom w:val="single" w:sz="8" w:space="0" w:color="000000"/>
              <w:right w:val="single" w:sz="8" w:space="0" w:color="000000"/>
            </w:tcBorders>
          </w:tcPr>
          <w:p w14:paraId="4361F6D5" w14:textId="7078BD86" w:rsidR="005B7208" w:rsidRDefault="005B7208" w:rsidP="005B7208">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自基金合同生效日至2025.06.30</w:t>
            </w:r>
          </w:p>
        </w:tc>
        <w:tc>
          <w:tcPr>
            <w:tcW w:w="1073" w:type="dxa"/>
            <w:tcBorders>
              <w:top w:val="single" w:sz="8" w:space="0" w:color="000000"/>
              <w:left w:val="single" w:sz="8" w:space="0" w:color="000000"/>
              <w:bottom w:val="single" w:sz="8" w:space="0" w:color="000000"/>
              <w:right w:val="single" w:sz="8" w:space="0" w:color="000000"/>
            </w:tcBorders>
            <w:vAlign w:val="center"/>
          </w:tcPr>
          <w:p w14:paraId="2047326E" w14:textId="630BBBB5"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3.02%</w:t>
            </w:r>
          </w:p>
        </w:tc>
        <w:tc>
          <w:tcPr>
            <w:tcW w:w="1108" w:type="dxa"/>
            <w:tcBorders>
              <w:top w:val="single" w:sz="8" w:space="0" w:color="000000"/>
              <w:left w:val="single" w:sz="8" w:space="0" w:color="000000"/>
              <w:bottom w:val="single" w:sz="8" w:space="0" w:color="000000"/>
              <w:right w:val="single" w:sz="8" w:space="0" w:color="000000"/>
            </w:tcBorders>
            <w:vAlign w:val="center"/>
          </w:tcPr>
          <w:p w14:paraId="666672C3" w14:textId="542CFCAC"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1.47%</w:t>
            </w:r>
          </w:p>
        </w:tc>
        <w:tc>
          <w:tcPr>
            <w:tcW w:w="1108" w:type="dxa"/>
            <w:tcBorders>
              <w:top w:val="single" w:sz="8" w:space="0" w:color="000000"/>
              <w:left w:val="single" w:sz="8" w:space="0" w:color="000000"/>
              <w:bottom w:val="single" w:sz="8" w:space="0" w:color="000000"/>
              <w:right w:val="single" w:sz="8" w:space="0" w:color="000000"/>
            </w:tcBorders>
            <w:vAlign w:val="center"/>
          </w:tcPr>
          <w:p w14:paraId="034D83A7" w14:textId="5CE63E3B"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17.96%</w:t>
            </w:r>
          </w:p>
        </w:tc>
        <w:tc>
          <w:tcPr>
            <w:tcW w:w="1372" w:type="dxa"/>
            <w:tcBorders>
              <w:top w:val="single" w:sz="8" w:space="0" w:color="000000"/>
              <w:left w:val="single" w:sz="8" w:space="0" w:color="000000"/>
              <w:bottom w:val="single" w:sz="8" w:space="0" w:color="000000"/>
              <w:right w:val="single" w:sz="8" w:space="0" w:color="000000"/>
            </w:tcBorders>
            <w:vAlign w:val="center"/>
          </w:tcPr>
          <w:p w14:paraId="4FC044DB" w14:textId="07EE3EEB"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0.86%</w:t>
            </w:r>
          </w:p>
        </w:tc>
        <w:tc>
          <w:tcPr>
            <w:tcW w:w="992" w:type="dxa"/>
            <w:tcBorders>
              <w:top w:val="single" w:sz="8" w:space="0" w:color="000000"/>
              <w:left w:val="single" w:sz="8" w:space="0" w:color="000000"/>
              <w:bottom w:val="single" w:sz="8" w:space="0" w:color="000000"/>
              <w:right w:val="single" w:sz="8" w:space="0" w:color="000000"/>
            </w:tcBorders>
            <w:vAlign w:val="center"/>
          </w:tcPr>
          <w:p w14:paraId="1E1E5F54" w14:textId="59F07CE9"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-14.94%</w:t>
            </w:r>
          </w:p>
        </w:tc>
        <w:tc>
          <w:tcPr>
            <w:tcW w:w="866" w:type="dxa"/>
            <w:tcBorders>
              <w:top w:val="single" w:sz="8" w:space="0" w:color="000000"/>
              <w:left w:val="single" w:sz="8" w:space="0" w:color="000000"/>
              <w:bottom w:val="single" w:sz="8" w:space="0" w:color="000000"/>
              <w:right w:val="single" w:sz="8" w:space="0" w:color="000000"/>
            </w:tcBorders>
            <w:vAlign w:val="center"/>
          </w:tcPr>
          <w:p w14:paraId="0E3BD4DD" w14:textId="79F4D1AE" w:rsidR="005B7208" w:rsidRDefault="005B7208" w:rsidP="005B7208">
            <w:pPr>
              <w:pStyle w:val="biaogecenter"/>
              <w:jc w:val="left"/>
              <w:rPr>
                <w:rFonts w:asciiTheme="minorEastAsia" w:eastAsiaTheme="minorEastAsia" w:hAnsiTheme="minorEastAsia" w:hint="eastAsia"/>
                <w:color w:val="000000"/>
                <w:sz w:val="21"/>
                <w:szCs w:val="21"/>
              </w:rPr>
            </w:pPr>
            <w:r w:rsidRPr="00231253">
              <w:rPr>
                <w:rFonts w:asciiTheme="minorEastAsia" w:eastAsiaTheme="minorEastAsia" w:hAnsiTheme="minorEastAsia" w:hint="eastAsia"/>
                <w:color w:val="000000"/>
                <w:sz w:val="21"/>
                <w:szCs w:val="21"/>
              </w:rPr>
              <w:t>0.61%</w:t>
            </w:r>
          </w:p>
        </w:tc>
      </w:tr>
    </w:tbl>
    <w:p w14:paraId="4B8374D3"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注：本基金的业绩比较基准为：中证全债指数收益率×</w:t>
      </w:r>
      <w:r>
        <w:rPr>
          <w:rFonts w:asciiTheme="minorEastAsia" w:hAnsiTheme="minorEastAsia" w:cs="Times New Roman"/>
          <w:bCs/>
          <w:sz w:val="24"/>
          <w:szCs w:val="24"/>
        </w:rPr>
        <w:t xml:space="preserve">30%+沪深300指数收益率×70%。 </w:t>
      </w:r>
    </w:p>
    <w:p w14:paraId="32BFAE77" w14:textId="77777777" w:rsidR="00231253" w:rsidRDefault="00417F9F" w:rsidP="0023125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2、自基金合同生效以来基金累计净值增长率变动及其与同期业绩比较基准收益率变动的比较</w:t>
      </w:r>
    </w:p>
    <w:p w14:paraId="755931CE" w14:textId="0F6BB9B3" w:rsidR="008D0810" w:rsidRDefault="005B7208" w:rsidP="00231253">
      <w:pPr>
        <w:autoSpaceDE w:val="0"/>
        <w:autoSpaceDN w:val="0"/>
        <w:spacing w:line="360" w:lineRule="auto"/>
        <w:textAlignment w:val="bottom"/>
        <w:rPr>
          <w:rFonts w:hint="eastAsia"/>
        </w:rPr>
      </w:pPr>
      <w:r>
        <w:rPr>
          <w:rFonts w:hAnsi="等线"/>
          <w:noProof/>
          <w:color w:val="000000"/>
        </w:rPr>
        <w:drawing>
          <wp:inline distT="0" distB="0" distL="0" distR="0" wp14:anchorId="505E30CB" wp14:editId="11B6477C">
            <wp:extent cx="5274310" cy="3421380"/>
            <wp:effectExtent l="0" t="0" r="254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r>
        <w:rPr>
          <w:rFonts w:hAnsi="等线"/>
          <w:noProof/>
          <w:color w:val="000000"/>
        </w:rPr>
        <w:lastRenderedPageBreak/>
        <w:drawing>
          <wp:inline distT="0" distB="0" distL="0" distR="0" wp14:anchorId="0427B453" wp14:editId="2034FFF7">
            <wp:extent cx="5274310" cy="3421380"/>
            <wp:effectExtent l="0" t="0" r="254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p>
    <w:p w14:paraId="79D8B553" w14:textId="77777777" w:rsidR="008D0810" w:rsidRDefault="008D0810">
      <w:pPr>
        <w:autoSpaceDE w:val="0"/>
        <w:autoSpaceDN w:val="0"/>
        <w:spacing w:line="360" w:lineRule="auto"/>
        <w:textAlignment w:val="bottom"/>
        <w:rPr>
          <w:rFonts w:asciiTheme="minorEastAsia" w:hAnsiTheme="minorEastAsia" w:cs="Times New Roman" w:hint="eastAsia"/>
          <w:b/>
          <w:kern w:val="0"/>
          <w:sz w:val="30"/>
          <w:szCs w:val="30"/>
        </w:rPr>
        <w:sectPr w:rsidR="008D0810">
          <w:footerReference w:type="default" r:id="rId25"/>
          <w:pgSz w:w="11906" w:h="16838"/>
          <w:pgMar w:top="1440" w:right="1800" w:bottom="1440" w:left="1800" w:header="851" w:footer="992" w:gutter="0"/>
          <w:pgNumType w:chapStyle="1"/>
          <w:cols w:space="720"/>
          <w:docGrid w:type="lines" w:linePitch="312"/>
        </w:sectPr>
      </w:pPr>
    </w:p>
    <w:p w14:paraId="09B13D59" w14:textId="77777777" w:rsidR="008D0810" w:rsidRDefault="00417F9F">
      <w:pPr>
        <w:pStyle w:val="1"/>
        <w:jc w:val="center"/>
        <w:rPr>
          <w:rFonts w:asciiTheme="minorEastAsia" w:eastAsiaTheme="minorEastAsia" w:hAnsiTheme="minorEastAsia" w:hint="eastAsia"/>
          <w:sz w:val="30"/>
          <w:szCs w:val="30"/>
        </w:rPr>
      </w:pPr>
      <w:bookmarkStart w:id="211" w:name="_Toc146096086"/>
      <w:bookmarkStart w:id="212" w:name="_Toc416264546"/>
      <w:bookmarkStart w:id="213" w:name="_Toc139991741"/>
      <w:bookmarkStart w:id="214" w:name="_Toc31469"/>
      <w:bookmarkStart w:id="215" w:name="_Toc26084"/>
      <w:bookmarkStart w:id="216" w:name="_Toc123102458"/>
      <w:bookmarkStart w:id="217" w:name="_Toc14725"/>
      <w:bookmarkStart w:id="218" w:name="_Toc2255"/>
      <w:bookmarkStart w:id="219" w:name="_Toc141703891"/>
      <w:bookmarkStart w:id="220" w:name="_Toc48649710"/>
      <w:bookmarkStart w:id="221" w:name="_Toc123112239"/>
      <w:bookmarkStart w:id="222" w:name="_Toc16789"/>
      <w:bookmarkStart w:id="223" w:name="_Toc79392624"/>
      <w:bookmarkStart w:id="224" w:name="_Toc123051457"/>
      <w:bookmarkStart w:id="225" w:name="_Toc22674"/>
      <w:bookmarkStart w:id="226" w:name="_Toc21886"/>
      <w:bookmarkStart w:id="227" w:name="_Toc19520"/>
      <w:bookmarkStart w:id="228" w:name="_Toc3244"/>
      <w:bookmarkStart w:id="229" w:name="_Toc26152"/>
      <w:bookmarkStart w:id="230" w:name="_Toc98560357"/>
      <w:bookmarkStart w:id="231" w:name="_Toc352229757"/>
      <w:bookmarkStart w:id="232" w:name="_Toc26383"/>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1"/>
      <w:bookmarkEnd w:id="212"/>
    </w:p>
    <w:p w14:paraId="6F8B2D1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bookmarkStart w:id="233" w:name="_Toc416264547"/>
      <w:bookmarkStart w:id="234" w:name="_Toc214873600"/>
      <w:bookmarkStart w:id="235" w:name="_Toc263092319"/>
      <w:bookmarkStart w:id="236" w:name="_Toc3872"/>
      <w:bookmarkStart w:id="237" w:name="_Toc13343"/>
      <w:bookmarkStart w:id="238" w:name="_Toc5477"/>
      <w:bookmarkStart w:id="239" w:name="_Toc21917"/>
      <w:bookmarkStart w:id="240" w:name="_Toc11395"/>
      <w:bookmarkStart w:id="241" w:name="_Toc22538"/>
      <w:bookmarkStart w:id="242" w:name="_Toc2981"/>
      <w:bookmarkStart w:id="243" w:name="_Toc11351"/>
      <w:bookmarkStart w:id="244" w:name="_Toc578"/>
      <w:bookmarkStart w:id="245" w:name="_Toc16437"/>
      <w:bookmarkStart w:id="246" w:name="_Toc801"/>
      <w:bookmarkStart w:id="247" w:name="_Toc352229758"/>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Pr>
          <w:rFonts w:asciiTheme="minorEastAsia" w:hAnsiTheme="minorEastAsia" w:hint="eastAsia"/>
          <w:bCs/>
          <w:sz w:val="24"/>
        </w:rPr>
        <w:t>一、基金资产总值</w:t>
      </w:r>
    </w:p>
    <w:p w14:paraId="494E8AB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652BD4D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二、基金资产净值</w:t>
      </w:r>
    </w:p>
    <w:p w14:paraId="5D91E1F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基金资产净值是指基金资产总值减去基金负债后的价值。</w:t>
      </w:r>
    </w:p>
    <w:p w14:paraId="4096F66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三、基金财产的账户</w:t>
      </w:r>
    </w:p>
    <w:p w14:paraId="7A78C62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8" w:name="_Hlt88841837"/>
      <w:bookmarkEnd w:id="248"/>
    </w:p>
    <w:p w14:paraId="0656D17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四、基金财产的保管和处分</w:t>
      </w:r>
      <w:bookmarkStart w:id="249" w:name="_Hlt88900062"/>
      <w:bookmarkEnd w:id="249"/>
    </w:p>
    <w:p w14:paraId="4BAE691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7D03882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sectPr w:rsidR="008D0810">
          <w:footerReference w:type="default" r:id="rId26"/>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0B8B1B5C" w14:textId="77777777" w:rsidR="008D0810" w:rsidRDefault="00417F9F">
      <w:pPr>
        <w:pStyle w:val="1"/>
        <w:jc w:val="center"/>
        <w:rPr>
          <w:rFonts w:asciiTheme="minorEastAsia" w:eastAsiaTheme="minorEastAsia" w:hAnsiTheme="minorEastAsia" w:hint="eastAsia"/>
          <w:sz w:val="30"/>
          <w:szCs w:val="30"/>
        </w:rPr>
      </w:pPr>
      <w:bookmarkStart w:id="250" w:name="_Toc146096087"/>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3"/>
      <w:bookmarkEnd w:id="234"/>
      <w:bookmarkEnd w:id="235"/>
      <w:bookmarkEnd w:id="250"/>
    </w:p>
    <w:p w14:paraId="72A54E2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一、估值日</w:t>
      </w:r>
    </w:p>
    <w:p w14:paraId="4AB3C45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6D805B2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二、估值对象</w:t>
      </w:r>
    </w:p>
    <w:p w14:paraId="7036CD2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016A0CB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三、估值方法</w:t>
      </w:r>
    </w:p>
    <w:p w14:paraId="5C75B7F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B1E89F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4DA0BAB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2A28492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68B90B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133ADE9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547A569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7457E15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6A6D0A0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742630D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782D805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04A0DBA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2A18488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00A2296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6819F74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4731445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8180DE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5DDA559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1C139486" w14:textId="77777777" w:rsidR="008D0810" w:rsidRDefault="00417F9F">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3635916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4017E32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6F7214A0" w14:textId="77777777" w:rsidR="008D0810" w:rsidRDefault="00417F9F">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269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66AB75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四、估值程序</w:t>
      </w:r>
    </w:p>
    <w:p w14:paraId="1708213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2DEF96B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每个工作日计算基金资产净值及两类基金份额净值，并按规定公告。</w:t>
      </w:r>
    </w:p>
    <w:p w14:paraId="5B76EDB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7C8A2E2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五、估值错误的处理</w:t>
      </w:r>
    </w:p>
    <w:p w14:paraId="5C19F34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6A97962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546762E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1D4B105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3BF99B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487840A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4855B56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B1C8BE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3130F1B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DB4F10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618FC90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641FD47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342647D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B9F244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633F867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171678C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5424DD5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254CF58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7507F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68BFCEEB"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21720A0E"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六、暂停估值的情形</w:t>
      </w:r>
    </w:p>
    <w:p w14:paraId="2EF8782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0D264B6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11289DF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5E3FFE5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580E317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七、基金净值的确认</w:t>
      </w:r>
    </w:p>
    <w:p w14:paraId="338D845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571AE81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八、特殊情况的处理</w:t>
      </w:r>
    </w:p>
    <w:p w14:paraId="3E46256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2414B31C" w14:textId="77777777" w:rsidR="008D0810" w:rsidRDefault="00417F9F">
      <w:pPr>
        <w:widowControl/>
        <w:spacing w:line="360" w:lineRule="auto"/>
        <w:ind w:firstLineChars="200" w:firstLine="480"/>
        <w:jc w:val="left"/>
        <w:rPr>
          <w:rFonts w:asciiTheme="minorEastAsia" w:hAnsiTheme="minorEastAsia" w:cs="Times New Roman" w:hint="eastAsia"/>
          <w:b/>
          <w:bCs/>
          <w:kern w:val="0"/>
          <w:sz w:val="24"/>
          <w:szCs w:val="24"/>
        </w:rPr>
        <w:sectPr w:rsidR="008D0810">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49280DD7" w14:textId="77777777" w:rsidR="008D0810" w:rsidRDefault="00417F9F">
      <w:pPr>
        <w:pStyle w:val="1"/>
        <w:jc w:val="center"/>
        <w:rPr>
          <w:rFonts w:asciiTheme="minorEastAsia" w:eastAsiaTheme="minorEastAsia" w:hAnsiTheme="minorEastAsia" w:hint="eastAsia"/>
          <w:sz w:val="30"/>
          <w:szCs w:val="30"/>
        </w:rPr>
      </w:pPr>
      <w:bookmarkStart w:id="251" w:name="_Toc416264548"/>
      <w:bookmarkStart w:id="252" w:name="_Toc146096088"/>
      <w:bookmarkStart w:id="253" w:name="_Toc263092320"/>
      <w:bookmarkEnd w:id="236"/>
      <w:bookmarkEnd w:id="237"/>
      <w:bookmarkEnd w:id="238"/>
      <w:bookmarkEnd w:id="239"/>
      <w:bookmarkEnd w:id="240"/>
      <w:bookmarkEnd w:id="241"/>
      <w:bookmarkEnd w:id="242"/>
      <w:bookmarkEnd w:id="243"/>
      <w:bookmarkEnd w:id="244"/>
      <w:bookmarkEnd w:id="245"/>
      <w:bookmarkEnd w:id="246"/>
      <w:bookmarkEnd w:id="247"/>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1"/>
      <w:bookmarkEnd w:id="252"/>
      <w:bookmarkEnd w:id="253"/>
    </w:p>
    <w:p w14:paraId="20A7D4B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bookmarkStart w:id="254" w:name="_Toc147463128"/>
      <w:bookmarkStart w:id="255" w:name="_Toc12357181"/>
      <w:bookmarkStart w:id="256" w:name="_Toc416264549"/>
      <w:bookmarkStart w:id="257" w:name="_Toc263092321"/>
      <w:bookmarkStart w:id="258" w:name="_Toc214873602"/>
      <w:bookmarkStart w:id="259" w:name="_Toc21073401"/>
      <w:bookmarkStart w:id="260" w:name="_Toc141703894"/>
      <w:bookmarkStart w:id="261" w:name="_Toc17782"/>
      <w:bookmarkStart w:id="262" w:name="_Toc7802"/>
      <w:bookmarkStart w:id="263" w:name="_Toc871"/>
      <w:bookmarkStart w:id="264" w:name="_Toc19714"/>
      <w:bookmarkStart w:id="265" w:name="_Toc139991744"/>
      <w:bookmarkStart w:id="266" w:name="_Toc27832"/>
      <w:bookmarkStart w:id="267" w:name="_Toc2623"/>
      <w:bookmarkStart w:id="268" w:name="_Toc31917"/>
      <w:bookmarkStart w:id="269" w:name="_Toc352229760"/>
      <w:r>
        <w:rPr>
          <w:rFonts w:asciiTheme="minorEastAsia" w:hAnsiTheme="minorEastAsia" w:hint="eastAsia"/>
          <w:bCs/>
          <w:sz w:val="24"/>
        </w:rPr>
        <w:t>一、基金利润的构成</w:t>
      </w:r>
    </w:p>
    <w:p w14:paraId="619726C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7EB754A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二、基金可供分配利润</w:t>
      </w:r>
    </w:p>
    <w:p w14:paraId="5A37FCA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30E5BA6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三、基金收益分配原则</w:t>
      </w:r>
    </w:p>
    <w:p w14:paraId="782C489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EAE1B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2EE2F1B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5360D6F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4522E25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6652416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7CA3FAC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四、收益分配方案</w:t>
      </w:r>
    </w:p>
    <w:p w14:paraId="39D8E03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501E66B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五、收益分配方案的确定、公告与实施</w:t>
      </w:r>
    </w:p>
    <w:p w14:paraId="3958227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本基金收益分配方案由基金管理人拟定，并由基金托管人复核，依据相关规定在指定媒介公告。</w:t>
      </w:r>
    </w:p>
    <w:p w14:paraId="052E5BB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基金红利发放日距离收益分配基准日（即可供分配利润计算截止日）的时间不得超过15个工作日。</w:t>
      </w:r>
    </w:p>
    <w:p w14:paraId="5E80347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六、基金收益分配中发生的费用</w:t>
      </w:r>
    </w:p>
    <w:p w14:paraId="7769CF02" w14:textId="77777777" w:rsidR="008D0810" w:rsidRDefault="00417F9F">
      <w:pPr>
        <w:adjustRightInd w:val="0"/>
        <w:snapToGrid w:val="0"/>
        <w:spacing w:line="360" w:lineRule="auto"/>
        <w:ind w:firstLineChars="200" w:firstLine="480"/>
        <w:rPr>
          <w:rFonts w:asciiTheme="minorEastAsia" w:hAnsiTheme="minorEastAsia" w:cs="Times New Roman" w:hint="eastAsia"/>
          <w:bCs/>
          <w:sz w:val="24"/>
          <w:szCs w:val="24"/>
        </w:rPr>
        <w:sectPr w:rsidR="008D0810">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3783C0" w14:textId="77777777" w:rsidR="008D0810" w:rsidRDefault="00417F9F">
      <w:pPr>
        <w:pStyle w:val="1"/>
        <w:jc w:val="center"/>
        <w:rPr>
          <w:rFonts w:asciiTheme="minorEastAsia" w:eastAsiaTheme="minorEastAsia" w:hAnsiTheme="minorEastAsia" w:hint="eastAsia"/>
          <w:sz w:val="30"/>
          <w:szCs w:val="30"/>
        </w:rPr>
      </w:pPr>
      <w:bookmarkStart w:id="270" w:name="_Toc146096089"/>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4"/>
      <w:bookmarkEnd w:id="255"/>
      <w:bookmarkEnd w:id="256"/>
      <w:bookmarkEnd w:id="257"/>
      <w:bookmarkEnd w:id="258"/>
      <w:bookmarkEnd w:id="259"/>
      <w:bookmarkEnd w:id="270"/>
    </w:p>
    <w:p w14:paraId="39C638B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bookmarkStart w:id="271" w:name="_Toc416264550"/>
      <w:bookmarkStart w:id="272" w:name="_Toc263092322"/>
      <w:bookmarkStart w:id="273" w:name="_Toc214873603"/>
      <w:bookmarkStart w:id="274" w:name="_Toc32046"/>
      <w:bookmarkStart w:id="275" w:name="_Toc3365"/>
      <w:bookmarkStart w:id="276" w:name="_Toc19706"/>
      <w:bookmarkStart w:id="277" w:name="_Toc13987"/>
      <w:bookmarkStart w:id="278" w:name="_Toc352229761"/>
      <w:bookmarkStart w:id="279" w:name="_Toc6493"/>
      <w:bookmarkStart w:id="280" w:name="_Toc24601"/>
      <w:bookmarkStart w:id="281" w:name="_Toc19752"/>
      <w:bookmarkStart w:id="282" w:name="_Toc15779"/>
      <w:bookmarkStart w:id="283" w:name="_Toc141703895"/>
      <w:bookmarkStart w:id="284" w:name="_Toc32041"/>
      <w:bookmarkStart w:id="285" w:name="_Toc12105"/>
      <w:bookmarkStart w:id="286" w:name="_Toc32227"/>
      <w:bookmarkStart w:id="287" w:name="_Toc139991745"/>
      <w:bookmarkEnd w:id="260"/>
      <w:bookmarkEnd w:id="261"/>
      <w:bookmarkEnd w:id="262"/>
      <w:bookmarkEnd w:id="263"/>
      <w:bookmarkEnd w:id="264"/>
      <w:bookmarkEnd w:id="265"/>
      <w:bookmarkEnd w:id="266"/>
      <w:bookmarkEnd w:id="267"/>
      <w:bookmarkEnd w:id="268"/>
      <w:bookmarkEnd w:id="269"/>
      <w:r>
        <w:rPr>
          <w:rFonts w:asciiTheme="minorEastAsia" w:hAnsiTheme="minorEastAsia" w:hint="eastAsia"/>
          <w:bCs/>
          <w:sz w:val="24"/>
        </w:rPr>
        <w:t>一、基金费用的种类</w:t>
      </w:r>
    </w:p>
    <w:p w14:paraId="04798CE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461F795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40800A3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0B152F5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6C4B42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0341115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72422AA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6F6AA3B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691818B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C79385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31723D5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06A8ECA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198AC02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1.2</w:t>
      </w:r>
      <w:r>
        <w:rPr>
          <w:rFonts w:asciiTheme="minorEastAsia" w:hAnsiTheme="minorEastAsia" w:hint="eastAsia"/>
          <w:bCs/>
          <w:sz w:val="24"/>
        </w:rPr>
        <w:t>%年费率计提。管理费的计算方法如下：</w:t>
      </w:r>
    </w:p>
    <w:p w14:paraId="7AFA153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1.2</w:t>
      </w:r>
      <w:r>
        <w:rPr>
          <w:rFonts w:asciiTheme="minorEastAsia" w:hAnsiTheme="minorEastAsia" w:hint="eastAsia"/>
          <w:bCs/>
          <w:sz w:val="24"/>
        </w:rPr>
        <w:t>%÷当年天数</w:t>
      </w:r>
    </w:p>
    <w:p w14:paraId="670DE88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1B9D75C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02BD2A9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2E18AD8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03C56AB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479AA23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124E5F1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63A1DA6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5344895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0755CC5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018CD12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12401A0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032A6F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723BB70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77E90AD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4251B3A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53659D2D" w14:textId="77777777" w:rsidR="008D0810" w:rsidRDefault="00417F9F">
      <w:pPr>
        <w:autoSpaceDE w:val="0"/>
        <w:autoSpaceDN w:val="0"/>
        <w:spacing w:line="360" w:lineRule="auto"/>
        <w:ind w:firstLineChars="200" w:firstLine="482"/>
        <w:textAlignment w:val="bottom"/>
        <w:rPr>
          <w:rFonts w:asciiTheme="minorEastAsia" w:hAnsiTheme="minorEastAsia" w:hint="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7C4BB830" w14:textId="77777777" w:rsidR="008D0810" w:rsidRDefault="00417F9F">
      <w:pPr>
        <w:autoSpaceDE w:val="0"/>
        <w:autoSpaceDN w:val="0"/>
        <w:spacing w:line="360" w:lineRule="auto"/>
        <w:ind w:firstLineChars="200" w:firstLine="480"/>
        <w:textAlignment w:val="bottom"/>
        <w:rPr>
          <w:rFonts w:asciiTheme="minorEastAsia" w:hAnsiTheme="minorEastAsia" w:hint="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FE5F86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三、不列入基金费用的项目</w:t>
      </w:r>
    </w:p>
    <w:p w14:paraId="3477881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68ABEFB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2718C6E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7C9464C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63EC5CE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8" w:name="_Hlt88827255"/>
      <w:bookmarkEnd w:id="288"/>
    </w:p>
    <w:p w14:paraId="7DB5B02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四、基金税收</w:t>
      </w:r>
    </w:p>
    <w:p w14:paraId="3E33FA5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本基金运作过程中涉及的各纳税主体，其纳税义务按国家税收法律、法规执行。</w:t>
      </w:r>
    </w:p>
    <w:p w14:paraId="6B180012"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8D0810">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12C7A748" w14:textId="77777777" w:rsidR="008D0810" w:rsidRDefault="00417F9F">
      <w:pPr>
        <w:pStyle w:val="1"/>
        <w:jc w:val="center"/>
        <w:rPr>
          <w:rFonts w:asciiTheme="minorEastAsia" w:eastAsiaTheme="minorEastAsia" w:hAnsiTheme="minorEastAsia" w:hint="eastAsia"/>
          <w:sz w:val="30"/>
          <w:szCs w:val="30"/>
        </w:rPr>
      </w:pPr>
      <w:bookmarkStart w:id="289" w:name="_Toc146096090"/>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1"/>
      <w:bookmarkEnd w:id="272"/>
      <w:bookmarkEnd w:id="273"/>
      <w:bookmarkEnd w:id="289"/>
    </w:p>
    <w:p w14:paraId="106928A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一、基金会计政策</w:t>
      </w:r>
    </w:p>
    <w:p w14:paraId="2D48A08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1、基金管理人为本基金的基金会计责任方；</w:t>
      </w:r>
    </w:p>
    <w:p w14:paraId="56430E1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657F96C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3、基金核算以人民币为记账本位币，以人民币元为记账单位；</w:t>
      </w:r>
    </w:p>
    <w:p w14:paraId="6AC7A8F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4、会计制度执行国家有关会计制度；</w:t>
      </w:r>
    </w:p>
    <w:p w14:paraId="08A98AF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5、本基金独立建账、独立核算；</w:t>
      </w:r>
    </w:p>
    <w:p w14:paraId="6B45A03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6920406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7、基金托管人每月与基金管理人就基金的会计核算、报表编制等进行核对并以书面方式确认。</w:t>
      </w:r>
    </w:p>
    <w:p w14:paraId="1554D63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二、基金的年度审计</w:t>
      </w:r>
    </w:p>
    <w:p w14:paraId="72ABBBE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41553DC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2、会计师事务所更换经办注册会计师，应事先征得基金管理人同意。</w:t>
      </w:r>
    </w:p>
    <w:p w14:paraId="7E30BF0E"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3、</w:t>
      </w:r>
      <w:bookmarkStart w:id="290" w:name="_Hlt4221115"/>
      <w:bookmarkEnd w:id="290"/>
      <w:r>
        <w:rPr>
          <w:rFonts w:asciiTheme="minorEastAsia" w:hAnsiTheme="minorEastAsia" w:hint="eastAsia"/>
          <w:bCs/>
          <w:sz w:val="24"/>
        </w:rPr>
        <w:t>基金管理人认为有充足理由更换会计师事务所，须通报基金托管人。更换会计师事务所需在2个工作日内在指定媒介公告。</w:t>
      </w:r>
    </w:p>
    <w:p w14:paraId="2F1E7745" w14:textId="77777777" w:rsidR="008D0810" w:rsidRDefault="008D0810">
      <w:pPr>
        <w:widowControl/>
        <w:spacing w:line="360" w:lineRule="auto"/>
        <w:jc w:val="left"/>
        <w:rPr>
          <w:rFonts w:asciiTheme="minorEastAsia" w:hAnsiTheme="minorEastAsia" w:cs="Times New Roman" w:hint="eastAsia"/>
          <w:b/>
          <w:kern w:val="0"/>
          <w:sz w:val="24"/>
          <w:szCs w:val="24"/>
        </w:rPr>
        <w:sectPr w:rsidR="008D0810">
          <w:footerReference w:type="default" r:id="rId30"/>
          <w:pgSz w:w="11906" w:h="16838"/>
          <w:pgMar w:top="1440" w:right="1800" w:bottom="1440" w:left="1800" w:header="851" w:footer="992" w:gutter="0"/>
          <w:pgNumType w:chapStyle="1"/>
          <w:cols w:space="720"/>
          <w:docGrid w:type="lines" w:linePitch="312"/>
        </w:sectPr>
      </w:pPr>
    </w:p>
    <w:p w14:paraId="3ED25D38" w14:textId="77777777" w:rsidR="008D0810" w:rsidRDefault="00417F9F">
      <w:pPr>
        <w:pStyle w:val="1"/>
        <w:jc w:val="center"/>
        <w:rPr>
          <w:rFonts w:asciiTheme="minorEastAsia" w:eastAsiaTheme="minorEastAsia" w:hAnsiTheme="minorEastAsia" w:hint="eastAsia"/>
          <w:sz w:val="30"/>
          <w:szCs w:val="30"/>
        </w:rPr>
      </w:pPr>
      <w:bookmarkStart w:id="291" w:name="_Toc214873604"/>
      <w:bookmarkStart w:id="292" w:name="_Toc416264551"/>
      <w:bookmarkStart w:id="293" w:name="_Toc263092323"/>
      <w:bookmarkStart w:id="294" w:name="_Toc79978642"/>
      <w:bookmarkStart w:id="295" w:name="_Toc146096091"/>
      <w:bookmarkStart w:id="296" w:name="_Toc3656"/>
      <w:bookmarkStart w:id="297" w:name="_Toc1617"/>
      <w:bookmarkStart w:id="298" w:name="_Toc178"/>
      <w:bookmarkStart w:id="299" w:name="_Toc12761"/>
      <w:bookmarkStart w:id="300" w:name="_Toc141703896"/>
      <w:bookmarkStart w:id="301" w:name="_Toc22552"/>
      <w:bookmarkStart w:id="302" w:name="_Toc92662707"/>
      <w:bookmarkStart w:id="303" w:name="_Toc15351"/>
      <w:bookmarkStart w:id="304" w:name="_Toc15525"/>
      <w:bookmarkStart w:id="305" w:name="_Toc20052"/>
      <w:bookmarkStart w:id="306" w:name="_Toc19558"/>
      <w:bookmarkStart w:id="307" w:name="_Toc352229762"/>
      <w:bookmarkStart w:id="308" w:name="_Toc139991746"/>
      <w:bookmarkStart w:id="309" w:name="_Toc128310499"/>
      <w:bookmarkStart w:id="310" w:name="_Toc21829"/>
      <w:bookmarkStart w:id="311" w:name="_Toc93226149"/>
      <w:bookmarkStart w:id="312" w:name="_Toc2588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1"/>
      <w:bookmarkEnd w:id="292"/>
      <w:bookmarkEnd w:id="293"/>
      <w:bookmarkEnd w:id="294"/>
      <w:bookmarkEnd w:id="295"/>
    </w:p>
    <w:p w14:paraId="274F0E4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一、本基金的信息披露应符合《基金法》、《运作办法》、《信息披露办法》、《基金合同》及其他有关规定。</w:t>
      </w:r>
    </w:p>
    <w:p w14:paraId="1EE47B7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3E612F6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3163DAC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ECD011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79B0F3A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147F3A8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6FF470F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0F9E37C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43CE9FF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68DAA17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26702B1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3830FBC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4A38AC0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7B2C907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77AEEBB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0C9688A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0605442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314BC6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D8C774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0C90A6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0036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4B064C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6E1733F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B32108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1AB0FE0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130F585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4EBC179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20E1882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0730C53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7509A2C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0DB7363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48A7A82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62EBE27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E5D10A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354D3C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084E1FF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《基金合同》生效不足2个月的，基金管理人可以不编制当期季度报告、中期报告或者年度报告。</w:t>
      </w:r>
    </w:p>
    <w:p w14:paraId="382DEF7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5547CDA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3EA8F5A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72E3EE4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2D396DB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F31ECD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095840F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19C0E81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1893D80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7AD4389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A8B2EA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088A839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44E6B1B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613C710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66C7FDB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15C505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11、涉及基金财产、基金管理业务、基金托管业务的诉讼或仲裁；</w:t>
      </w:r>
    </w:p>
    <w:p w14:paraId="6D82AF5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498D43A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4B68DCD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14、基金收益分配事项；</w:t>
      </w:r>
    </w:p>
    <w:p w14:paraId="10ED246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74999C3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16、基金份额净值计价错误达基金份额净值百分之零点五；</w:t>
      </w:r>
    </w:p>
    <w:p w14:paraId="440BCBC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1395F98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7B91534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1135ACD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5334249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126CC46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71B8179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3E6E943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3339B69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481F5F5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698FF7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668E66C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0009D09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（十）基金份额持有人大会决议</w:t>
      </w:r>
    </w:p>
    <w:p w14:paraId="1394D53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4FC4E2C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4F3C78C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DF13591"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（十二）投资国债期货的信息披露</w:t>
      </w:r>
    </w:p>
    <w:p w14:paraId="09A0D106"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797F8262"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2BB9D41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309BB1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775B213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E154BB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1206692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1AFC9D2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68261D3C"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193C83D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419B221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77782C7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的相关基金信息进行进行复核、审查，并向基金管理人进行书面或电子确认。</w:t>
      </w:r>
    </w:p>
    <w:p w14:paraId="584EB61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EAC305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0EC7B5A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E91848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4F96820A"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5C07A6A7" w14:textId="77777777" w:rsidR="008D0810" w:rsidRDefault="00417F9F">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2C913986"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31"/>
          <w:pgSz w:w="11906" w:h="16838"/>
          <w:pgMar w:top="1440" w:right="1800" w:bottom="1440" w:left="1800" w:header="851" w:footer="992" w:gutter="0"/>
          <w:pgNumType w:chapStyle="1"/>
          <w:cols w:space="720"/>
          <w:docGrid w:type="lines" w:linePitch="312"/>
        </w:sectPr>
      </w:pPr>
      <w:bookmarkStart w:id="313" w:name="_Toc21073398"/>
      <w:bookmarkStart w:id="314" w:name="_Toc214873605"/>
      <w:bookmarkStart w:id="315" w:name="_Toc416264552"/>
      <w:bookmarkStart w:id="316" w:name="_Toc263092324"/>
      <w:bookmarkStart w:id="317" w:name="_Toc147463125"/>
      <w:bookmarkStart w:id="318" w:name="_Toc12357178"/>
      <w:bookmarkStart w:id="319" w:name="_Toc93226150"/>
      <w:bookmarkStart w:id="320" w:name="_Toc92662708"/>
      <w:bookmarkStart w:id="321" w:name="_Toc18747"/>
      <w:bookmarkStart w:id="322" w:name="_Toc10894"/>
      <w:bookmarkStart w:id="323" w:name="_Toc1043"/>
      <w:bookmarkStart w:id="324" w:name="_Toc31736"/>
      <w:bookmarkStart w:id="325" w:name="_Toc139991747"/>
      <w:bookmarkStart w:id="326" w:name="_Toc17499"/>
      <w:bookmarkStart w:id="327" w:name="_Toc13255"/>
      <w:bookmarkStart w:id="328" w:name="_Toc28961"/>
      <w:bookmarkStart w:id="329" w:name="_Toc128310500"/>
      <w:bookmarkStart w:id="330" w:name="_Toc23859"/>
      <w:bookmarkStart w:id="331" w:name="_Toc352229763"/>
      <w:bookmarkStart w:id="332" w:name="_Toc21206"/>
      <w:bookmarkStart w:id="333" w:name="_Toc141703897"/>
      <w:bookmarkStart w:id="334" w:name="_Toc29695"/>
      <w:bookmarkStart w:id="335" w:name="_Toc18007"/>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5A588FE3" w14:textId="77777777" w:rsidR="008D0810" w:rsidRDefault="00417F9F">
      <w:pPr>
        <w:pStyle w:val="1"/>
        <w:jc w:val="center"/>
        <w:rPr>
          <w:rFonts w:asciiTheme="minorEastAsia" w:eastAsiaTheme="minorEastAsia" w:hAnsiTheme="minorEastAsia" w:hint="eastAsia"/>
          <w:sz w:val="30"/>
          <w:szCs w:val="30"/>
        </w:rPr>
      </w:pPr>
      <w:bookmarkStart w:id="336" w:name="_Toc146096092"/>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3"/>
      <w:bookmarkEnd w:id="314"/>
      <w:bookmarkEnd w:id="315"/>
      <w:bookmarkEnd w:id="316"/>
      <w:bookmarkEnd w:id="317"/>
      <w:bookmarkEnd w:id="318"/>
      <w:bookmarkEnd w:id="336"/>
    </w:p>
    <w:p w14:paraId="1294D8E0"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350C1F1"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C2D4012"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EFFE6C0"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A444976"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8C31B7E"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0292A1"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0DC00CDF"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1BBA8D72"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5ED11E5C"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786A85C"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3F58B58"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DEF721B"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05F94610"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7017588"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1E06B235"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01EF5FE4"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73E6FFD"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15B25AA"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0C0B2B0"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B93F22A"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5BE0235"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56799FF"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28BB74F"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35042C37"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7C20FDA3"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18AF573E"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19B2B746"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782DB26C"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C22C9B5"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DA0CA98"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C88F8A5"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7DB79A18"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r>
        <w:rPr>
          <w:rFonts w:asciiTheme="minorEastAsia" w:hAnsiTheme="minorEastAsia" w:cs="Arial" w:hint="eastAsia"/>
          <w:bCs/>
          <w:sz w:val="24"/>
          <w:szCs w:val="24"/>
        </w:rPr>
        <w:t>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79F87DA"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5、股票期权投资风险</w:t>
      </w:r>
    </w:p>
    <w:p w14:paraId="0E2B76DD"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47BA665"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06AB4DAE"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769479A" w14:textId="77777777" w:rsidR="003A3EFD" w:rsidRPr="00AA1D5F" w:rsidRDefault="003A3EFD" w:rsidP="003A3EFD">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w:t>
      </w:r>
      <w:r w:rsidRPr="00AA1D5F">
        <w:rPr>
          <w:rFonts w:asciiTheme="minorEastAsia" w:hAnsiTheme="minorEastAsia" w:cs="Arial" w:hint="eastAsia"/>
          <w:bCs/>
          <w:sz w:val="24"/>
          <w:szCs w:val="24"/>
        </w:rPr>
        <w:t>本基金法律文件风险收益特征表述与销售机构基金风险评价可能不一致的风险</w:t>
      </w:r>
    </w:p>
    <w:p w14:paraId="4263F454" w14:textId="5CECB5C9" w:rsidR="003A3EFD" w:rsidRDefault="003A3EFD" w:rsidP="003A3EFD">
      <w:pPr>
        <w:adjustRightInd w:val="0"/>
        <w:snapToGrid w:val="0"/>
        <w:spacing w:line="360" w:lineRule="auto"/>
        <w:ind w:firstLineChars="200" w:firstLine="480"/>
        <w:rPr>
          <w:rFonts w:asciiTheme="minorEastAsia" w:hAnsiTheme="minorEastAsia" w:cs="Arial" w:hint="eastAsia"/>
          <w:bCs/>
          <w:sz w:val="24"/>
          <w:szCs w:val="24"/>
        </w:rPr>
      </w:pPr>
      <w:r w:rsidRPr="00AA1D5F">
        <w:rPr>
          <w:rFonts w:asciiTheme="minorEastAsia" w:hAnsiTheme="minorEastAsia" w:cs="Arial" w:hint="eastAsia"/>
          <w:bCs/>
          <w:sz w:val="24"/>
          <w:szCs w:val="24"/>
        </w:rPr>
        <w:t>本基金法律文件投资章节有关风险收益特征的表述是基于投资范围、投资比例、证券市场普遍规律等做出的概述性描述，代表了一般市场情况下本基金的长期风险收益特征。销售机构(包括基金管理人直销机构和其他销售机构)根据相关法律法规对本基金进行风险评价，不同的销售机构采用的评价方法也不同，因此销售机构的风险等级评价与基金法律文件中风险收益特征的表述及评价方法、结果很可能存在不同，投资人在购买本基金时需按照销售机构的要求完成风险承受能力与产品风险之间的匹配检验。</w:t>
      </w:r>
    </w:p>
    <w:p w14:paraId="74CFCFA5"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35DD910"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25D18DA"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688F1518"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542938DF"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w:t>
      </w:r>
      <w:r>
        <w:rPr>
          <w:rFonts w:asciiTheme="minorEastAsia" w:hAnsiTheme="minorEastAsia" w:cs="Arial" w:hint="eastAsia"/>
          <w:bCs/>
          <w:sz w:val="24"/>
          <w:szCs w:val="24"/>
        </w:rPr>
        <w:lastRenderedPageBreak/>
        <w:t>致基金资产的损失。</w:t>
      </w:r>
    </w:p>
    <w:p w14:paraId="4C77A637"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53078B4" w14:textId="77777777" w:rsidR="008D0810" w:rsidRDefault="00417F9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4F935A5F" w14:textId="77777777" w:rsidR="008D0810" w:rsidRDefault="008D0810">
      <w:pPr>
        <w:widowControl/>
        <w:spacing w:line="360" w:lineRule="auto"/>
        <w:jc w:val="left"/>
        <w:rPr>
          <w:rFonts w:asciiTheme="minorEastAsia" w:hAnsiTheme="minorEastAsia" w:cs="Times New Roman" w:hint="eastAsia"/>
          <w:b/>
          <w:bCs/>
          <w:kern w:val="44"/>
          <w:sz w:val="24"/>
          <w:szCs w:val="24"/>
        </w:rPr>
        <w:sectPr w:rsidR="008D0810">
          <w:footerReference w:type="default" r:id="rId32"/>
          <w:pgSz w:w="11906" w:h="16838"/>
          <w:pgMar w:top="1440" w:right="1800" w:bottom="1440" w:left="1800" w:header="851" w:footer="992" w:gutter="0"/>
          <w:pgNumType w:chapStyle="1"/>
          <w:cols w:space="720"/>
          <w:docGrid w:type="lines" w:linePitch="312"/>
        </w:sectPr>
      </w:pPr>
    </w:p>
    <w:p w14:paraId="62FEC534" w14:textId="77777777" w:rsidR="008D0810" w:rsidRDefault="00417F9F">
      <w:pPr>
        <w:pStyle w:val="1"/>
        <w:jc w:val="center"/>
        <w:rPr>
          <w:rFonts w:asciiTheme="minorEastAsia" w:eastAsiaTheme="minorEastAsia" w:hAnsiTheme="minorEastAsia" w:hint="eastAsia"/>
          <w:sz w:val="30"/>
          <w:szCs w:val="30"/>
        </w:rPr>
      </w:pPr>
      <w:bookmarkStart w:id="337" w:name="_Toc146096093"/>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9"/>
      <w:bookmarkEnd w:id="320"/>
      <w:r>
        <w:rPr>
          <w:rFonts w:asciiTheme="minorEastAsia" w:eastAsiaTheme="minorEastAsia" w:hAnsiTheme="minorEastAsia" w:hint="eastAsia"/>
          <w:sz w:val="30"/>
          <w:szCs w:val="30"/>
        </w:rPr>
        <w:t>基金合同的变更、终止与基金财产的清算</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7"/>
    </w:p>
    <w:p w14:paraId="62E03BCC" w14:textId="77777777" w:rsidR="008D0810" w:rsidRDefault="008D0810">
      <w:pPr>
        <w:spacing w:line="360" w:lineRule="auto"/>
        <w:ind w:firstLineChars="200" w:firstLine="480"/>
        <w:rPr>
          <w:rFonts w:asciiTheme="minorEastAsia" w:hAnsiTheme="minorEastAsia" w:cs="Times New Roman" w:hint="eastAsia"/>
          <w:bCs/>
          <w:sz w:val="24"/>
          <w:szCs w:val="24"/>
        </w:rPr>
      </w:pPr>
    </w:p>
    <w:p w14:paraId="4F62EE2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bookmarkStart w:id="338" w:name="_Toc79392639"/>
      <w:bookmarkStart w:id="339" w:name="_Toc31866"/>
      <w:bookmarkStart w:id="340" w:name="_Toc21351"/>
      <w:bookmarkStart w:id="341" w:name="_Toc29289"/>
      <w:bookmarkStart w:id="342" w:name="_Toc8512"/>
      <w:bookmarkStart w:id="343" w:name="_Toc1173"/>
      <w:bookmarkStart w:id="344" w:name="_Toc92662709"/>
      <w:bookmarkStart w:id="345" w:name="_Toc139991748"/>
      <w:bookmarkStart w:id="346" w:name="_Toc11049"/>
      <w:bookmarkStart w:id="347" w:name="_Toc141703898"/>
      <w:bookmarkStart w:id="348" w:name="_Toc1421"/>
      <w:bookmarkStart w:id="349" w:name="_Toc3056"/>
      <w:bookmarkStart w:id="350" w:name="_Toc12028"/>
      <w:bookmarkStart w:id="351" w:name="_Toc352229764"/>
      <w:bookmarkStart w:id="352" w:name="_Toc128310501"/>
      <w:bookmarkStart w:id="353" w:name="_Toc193"/>
      <w:bookmarkStart w:id="354" w:name="_Toc93226151"/>
      <w:bookmarkStart w:id="355" w:name="_Toc11802"/>
      <w:r>
        <w:rPr>
          <w:rFonts w:asciiTheme="minorEastAsia" w:hAnsiTheme="minorEastAsia" w:hint="eastAsia"/>
          <w:bCs/>
          <w:sz w:val="24"/>
        </w:rPr>
        <w:t>一、《基金合同》的变更</w:t>
      </w:r>
      <w:bookmarkEnd w:id="338"/>
    </w:p>
    <w:p w14:paraId="21564CD8"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6CEC0A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44C28E4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76D8328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5F18040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375F01A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52CFCC65"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08E11F4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3F799F7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37E671D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1EA9288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A83C4F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0C27107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51B07B6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7A7BF3A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003EBBC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01B5F1F3"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（4）制作清算报告；</w:t>
      </w:r>
    </w:p>
    <w:p w14:paraId="3C0F9D0B"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3E0885D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6802DD9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50FB15C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4B7FA18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四、清算费用</w:t>
      </w:r>
    </w:p>
    <w:p w14:paraId="7A639166"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58CDF774"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五、基金财产清算剩余资产的分配</w:t>
      </w:r>
    </w:p>
    <w:p w14:paraId="709B11A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08011ED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六、基金财产清算的公告</w:t>
      </w:r>
    </w:p>
    <w:p w14:paraId="2E08082D"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052E6E6F"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七、基金财产清算账册及文件的保存</w:t>
      </w:r>
    </w:p>
    <w:p w14:paraId="614F41C2"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89A9A7A"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33"/>
          <w:pgSz w:w="11906" w:h="16838"/>
          <w:pgMar w:top="1440" w:right="1800" w:bottom="1440" w:left="1800" w:header="851" w:footer="992" w:gutter="0"/>
          <w:pgNumType w:chapStyle="1"/>
          <w:cols w:space="720"/>
          <w:docGrid w:type="lines" w:linePitch="312"/>
        </w:sectPr>
      </w:pPr>
      <w:bookmarkStart w:id="356" w:name="_Toc214873607"/>
      <w:bookmarkStart w:id="357" w:name="_Toc416264553"/>
      <w:bookmarkStart w:id="358" w:name="_Toc263092326"/>
      <w:bookmarkStart w:id="359" w:name="_Toc29891"/>
      <w:bookmarkStart w:id="360" w:name="_Toc9005"/>
      <w:bookmarkStart w:id="361" w:name="_Toc98560364"/>
      <w:bookmarkStart w:id="362" w:name="_Toc8059"/>
      <w:bookmarkStart w:id="363" w:name="_Toc139991749"/>
      <w:bookmarkStart w:id="364" w:name="_Toc7170"/>
      <w:bookmarkStart w:id="365" w:name="_Toc123102466"/>
      <w:bookmarkStart w:id="366" w:name="_Toc22978"/>
      <w:bookmarkStart w:id="367" w:name="_Toc11113"/>
      <w:bookmarkStart w:id="368" w:name="_Toc6237"/>
      <w:bookmarkStart w:id="369" w:name="_Toc352229765"/>
      <w:bookmarkStart w:id="370" w:name="_Toc123051465"/>
      <w:bookmarkStart w:id="371" w:name="_Toc141703899"/>
      <w:bookmarkStart w:id="372" w:name="_Toc27464"/>
      <w:bookmarkStart w:id="373" w:name="_Toc8049"/>
      <w:bookmarkStart w:id="374" w:name="_Toc25647"/>
      <w:bookmarkStart w:id="375" w:name="_Toc123112247"/>
      <w:bookmarkStart w:id="376" w:name="_Toc10006"/>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1E24FC7C" w14:textId="77777777" w:rsidR="008D0810" w:rsidRDefault="00417F9F">
      <w:pPr>
        <w:pStyle w:val="1"/>
        <w:jc w:val="center"/>
        <w:rPr>
          <w:rFonts w:asciiTheme="minorEastAsia" w:eastAsiaTheme="minorEastAsia" w:hAnsiTheme="minorEastAsia" w:hint="eastAsia"/>
          <w:sz w:val="30"/>
          <w:szCs w:val="30"/>
        </w:rPr>
      </w:pPr>
      <w:bookmarkStart w:id="377" w:name="_Toc146096094"/>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6"/>
      <w:bookmarkEnd w:id="357"/>
      <w:bookmarkEnd w:id="358"/>
      <w:bookmarkEnd w:id="377"/>
    </w:p>
    <w:p w14:paraId="0BF6E37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197FF09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5C3EA85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6ACC6A9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3F21248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75831F9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425FC7C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6F81360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4B027E9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9C01F6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1A80BDF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580515A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561DA9B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B040AA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751A4FB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0D71C4A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6092F18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0049536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r>
        <w:rPr>
          <w:rFonts w:asciiTheme="minorEastAsia" w:hAnsiTheme="minorEastAsia" w:cs="Times New Roman" w:hint="eastAsia"/>
          <w:bCs/>
          <w:sz w:val="24"/>
          <w:szCs w:val="24"/>
        </w:rPr>
        <w:t>非交易过户等业务规则；</w:t>
      </w:r>
    </w:p>
    <w:p w14:paraId="1810DA6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5997684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208933B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A92969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74A7791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57DD529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60B5CEE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39CF7DA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6813AA8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5581245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565B81F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0F956CD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727E6AD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76D4E2E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0110E2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0959F45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5AFEC00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7A1AEA3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7598605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1B4454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2BD217F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35ED7B7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72A5D12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5E54BD7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73F5A6B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320AB46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5FB84E3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3C9CF8D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6D03CCD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45D6216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42CD642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5C89362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r>
        <w:rPr>
          <w:rFonts w:asciiTheme="minorEastAsia" w:hAnsiTheme="minorEastAsia" w:cs="Times New Roman" w:hint="eastAsia"/>
          <w:bCs/>
          <w:sz w:val="24"/>
          <w:szCs w:val="24"/>
        </w:rPr>
        <w:t>律法规和《基金合同》的规定安全保管基金财产；</w:t>
      </w:r>
    </w:p>
    <w:p w14:paraId="16EEDF7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64FFB0A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02890A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6F42CB1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7075D21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7309F17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5F80F06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709312E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5491B4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70A9750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FFC34E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7986A9A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3E286CA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2FDD00A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4C6E290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3928099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5005CEB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09D7ED9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BC1982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0CF7377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03185AA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585B756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47B34F4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44F622E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1A4C66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195C9E9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13C9E5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5D9210E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479FE78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5C811B6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6005FD1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0CB22A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6BFE90C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2005102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7D48F3A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72B7CE1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106B325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7B76D43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8B782E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5325411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73DF3A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EB93CA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2358136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4EE311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40DEEA5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42D01BE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CAB3F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2F672F8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2496056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2A59702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44310D3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28D4F0E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0C2A229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477E94F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5E25767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5E3F5A1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3F6F5B6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1、当出现或需要决定下列事由之一的，应当召开基金份额持有人大会：</w:t>
      </w:r>
    </w:p>
    <w:p w14:paraId="2E114ED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690B37B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6E6579F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4604D6B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42AD15B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05282B3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710F776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7963DB9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06EC2CC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2D7E06E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6DB085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2BDB84D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1F84DFE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478ECE6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4C9025D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5107C72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270D3A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2D7574E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r>
        <w:rPr>
          <w:rFonts w:asciiTheme="minorEastAsia" w:hAnsiTheme="minorEastAsia" w:cs="Times New Roman" w:hint="eastAsia"/>
          <w:bCs/>
          <w:sz w:val="24"/>
          <w:szCs w:val="24"/>
        </w:rPr>
        <w:t>因相应的法律法规发生变动而应当对《基金合同》进行修改；</w:t>
      </w:r>
    </w:p>
    <w:p w14:paraId="0E11BE3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59BA519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5BD7F38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06A56ED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1398D7F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2、基金管理人未按规定召集或不能召集时，由基金托管人召集；</w:t>
      </w:r>
    </w:p>
    <w:p w14:paraId="69A1CD4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7F4C557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2E776CB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692115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CAF987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1779A62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30E7656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382B093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r>
        <w:rPr>
          <w:rFonts w:asciiTheme="minorEastAsia" w:hAnsiTheme="minorEastAsia" w:cs="Times New Roman" w:hint="eastAsia"/>
          <w:bCs/>
          <w:sz w:val="24"/>
          <w:szCs w:val="24"/>
        </w:rPr>
        <w:t>拟审议的事项、议事程序和表决方式；</w:t>
      </w:r>
    </w:p>
    <w:p w14:paraId="660CB40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1062795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2CD58C1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176C42D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2F4E29C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64A6473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A069CC3"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r>
        <w:rPr>
          <w:rFonts w:asciiTheme="minorEastAsia" w:hAnsiTheme="minorEastAsia" w:cs="Times New Roman" w:hint="eastAsia"/>
          <w:bCs/>
          <w:sz w:val="24"/>
          <w:szCs w:val="24"/>
        </w:rPr>
        <w:t>拒不派代表对表决意见的计票进行监督的，不影响表决意见的计票效力。</w:t>
      </w:r>
    </w:p>
    <w:p w14:paraId="4AB8BCE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C32EDF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38E0CC1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2303602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38BCBE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3519FE5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r>
        <w:rPr>
          <w:rFonts w:asciiTheme="minorEastAsia" w:hAnsiTheme="minorEastAsia" w:cs="Times New Roman" w:hint="eastAsia"/>
          <w:bCs/>
          <w:sz w:val="24"/>
          <w:szCs w:val="24"/>
        </w:rPr>
        <w:t>或大会公告载明的其他方式在表决截至日以前送达至召集人指定的地址。通讯开会应以书面方式或大会公告载明的其他方式进行表决。</w:t>
      </w:r>
    </w:p>
    <w:p w14:paraId="413F038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29774D8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60E5F4B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0E9943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BE8520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AA0CCF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75E3C61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E33608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540C1FB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7028D00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8C1404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8CBFCB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24AB14A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5243530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7BD44A7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1A3AAAA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7B18B4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51390EF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1500E4D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E57D94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6B377C7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AADDA5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A9ED71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AAD39E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329362D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4442C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4C2904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1724DDC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7C5D4F7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r>
        <w:rPr>
          <w:rFonts w:asciiTheme="minorEastAsia" w:hAnsiTheme="minorEastAsia" w:cs="Times New Roman" w:hint="eastAsia"/>
          <w:bCs/>
          <w:sz w:val="24"/>
          <w:szCs w:val="24"/>
        </w:rPr>
        <w:t>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2BF8F0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29DFF6B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r>
        <w:rPr>
          <w:rFonts w:asciiTheme="minorEastAsia" w:hAnsiTheme="minorEastAsia" w:cs="Times New Roman" w:hint="eastAsia"/>
          <w:bCs/>
          <w:sz w:val="24"/>
          <w:szCs w:val="24"/>
        </w:rPr>
        <w:t>数要求进行重新清点。监票人应当进行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100869C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2DCFB47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144B0EA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E7DD2D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C0E687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FCA2EFD"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7A797B9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2188693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9383BF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D61514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2978669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0B03849F"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r>
        <w:rPr>
          <w:rFonts w:asciiTheme="minorEastAsia" w:hAnsiTheme="minorEastAsia" w:cs="Times New Roman" w:hint="eastAsia"/>
          <w:bCs/>
          <w:sz w:val="24"/>
          <w:szCs w:val="24"/>
        </w:rPr>
        <w:t>开基金份额持有人大会决议通过。对于可不经基金份额持有人大会决议通过的事项，由基金管理人和基金托管人同意后变更并公告，并报中国证监会备案。</w:t>
      </w:r>
    </w:p>
    <w:p w14:paraId="2103873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r>
        <w:rPr>
          <w:rFonts w:asciiTheme="minorEastAsia" w:hAnsiTheme="minorEastAsia" w:cs="Times New Roman" w:hint="eastAsia"/>
          <w:bCs/>
          <w:sz w:val="24"/>
          <w:szCs w:val="24"/>
        </w:rPr>
        <w:t>自决议生效后两个工作日内在指定媒介公告。</w:t>
      </w:r>
    </w:p>
    <w:p w14:paraId="1F67902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6311874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327F6C3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5D681189"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7C75A981"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48F4B9E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6F8D302E"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167E3D50"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0402EF6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7FA7AF0A"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5EF3044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2BF8C69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01E6F5F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14776C5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4483E40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2CFC7A6"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482ADC62"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557478"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7C61E36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w:t>
      </w:r>
    </w:p>
    <w:p w14:paraId="525DCF0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73DBBC2B"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4FCEB727"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485544FC"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A444E05"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7971BA74" w14:textId="77777777" w:rsidR="008D0810" w:rsidRDefault="00417F9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1B0AED87"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34"/>
          <w:pgSz w:w="11906" w:h="16838"/>
          <w:pgMar w:top="1440" w:right="1800" w:bottom="1440" w:left="1800" w:header="851" w:footer="992" w:gutter="0"/>
          <w:pgNumType w:chapStyle="1"/>
          <w:cols w:space="720"/>
          <w:docGrid w:type="lines" w:linePitch="312"/>
        </w:sectPr>
      </w:pPr>
      <w:bookmarkStart w:id="378" w:name="_Toc263092327"/>
      <w:bookmarkStart w:id="379" w:name="_Toc214873614"/>
      <w:bookmarkStart w:id="380" w:name="_Toc416264554"/>
      <w:bookmarkStart w:id="381" w:name="_Toc23022"/>
      <w:bookmarkStart w:id="382" w:name="_Toc352229766"/>
      <w:bookmarkStart w:id="383" w:name="_Toc13398"/>
      <w:bookmarkStart w:id="384" w:name="_Toc9708"/>
      <w:bookmarkStart w:id="385" w:name="_Toc27058"/>
      <w:bookmarkStart w:id="386" w:name="_Toc123112248"/>
      <w:bookmarkStart w:id="387" w:name="_Toc79392641"/>
      <w:bookmarkStart w:id="388" w:name="_Toc12191"/>
      <w:bookmarkStart w:id="389" w:name="_Toc21240"/>
      <w:bookmarkStart w:id="390" w:name="_Toc139991750"/>
      <w:bookmarkStart w:id="391" w:name="_Toc123051466"/>
      <w:bookmarkStart w:id="392" w:name="_Toc30645"/>
      <w:bookmarkStart w:id="393" w:name="_Toc123102467"/>
      <w:bookmarkStart w:id="394" w:name="_Toc7367"/>
      <w:bookmarkStart w:id="395" w:name="_Toc8710"/>
      <w:bookmarkStart w:id="396" w:name="_Toc28549"/>
      <w:bookmarkStart w:id="397" w:name="_Toc23166"/>
      <w:bookmarkStart w:id="398" w:name="_Toc98560365"/>
      <w:bookmarkStart w:id="399" w:name="_Toc48649720"/>
      <w:bookmarkStart w:id="400" w:name="_Toc141703901"/>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0D47116A" w14:textId="77777777" w:rsidR="008D0810" w:rsidRDefault="00417F9F">
      <w:pPr>
        <w:pStyle w:val="1"/>
        <w:jc w:val="center"/>
        <w:rPr>
          <w:rFonts w:asciiTheme="minorEastAsia" w:eastAsiaTheme="minorEastAsia" w:hAnsiTheme="minorEastAsia" w:hint="eastAsia"/>
          <w:sz w:val="30"/>
          <w:szCs w:val="30"/>
        </w:rPr>
      </w:pPr>
      <w:bookmarkStart w:id="401" w:name="_Toc14609609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8"/>
      <w:bookmarkEnd w:id="379"/>
      <w:bookmarkEnd w:id="380"/>
      <w:bookmarkEnd w:id="401"/>
    </w:p>
    <w:p w14:paraId="7A73B9EA"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4B03EDE"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3868A40A"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169E1DC"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住所：广东省广州市南沙区横沥镇汇通二街2号3110房</w:t>
      </w:r>
    </w:p>
    <w:p w14:paraId="760A80AC"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0BF738D4"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64BD7B0"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469E3708"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EB1FB4F"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4D02D187"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02CFAFE"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8A598AC" w14:textId="77777777" w:rsidR="008D0810" w:rsidRDefault="00417F9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存续期间：持续经营</w:t>
      </w:r>
    </w:p>
    <w:p w14:paraId="63DED36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766010BE" w14:textId="77777777" w:rsidR="008D0810" w:rsidRDefault="00417F9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5E6F476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名称：中国光大银行股份有限公司</w:t>
      </w:r>
    </w:p>
    <w:p w14:paraId="6E140AEB"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1F3CFE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517BDEE8"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法定代表人：王江</w:t>
      </w:r>
      <w:r>
        <w:rPr>
          <w:rFonts w:asciiTheme="minorEastAsia" w:hAnsiTheme="minorEastAsia" w:cs="Arial"/>
          <w:sz w:val="24"/>
          <w:szCs w:val="24"/>
        </w:rPr>
        <w:t xml:space="preserve"> </w:t>
      </w:r>
    </w:p>
    <w:p w14:paraId="18234C2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1D2CBD1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85F2E8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56884DE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组织形式：股份有限公司</w:t>
      </w:r>
    </w:p>
    <w:p w14:paraId="4621697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AD8C0B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存续期间：持续经营</w:t>
      </w:r>
    </w:p>
    <w:p w14:paraId="38652FCD"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1CE79BB9"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7C4DD049"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03C76AE"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3AA1DC49" w14:textId="77777777" w:rsidR="008D0810" w:rsidRDefault="00417F9F">
      <w:pPr>
        <w:widowControl/>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6E8CA5A6" w14:textId="77777777" w:rsidR="008D0810" w:rsidRDefault="00417F9F">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24BBB5EF"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503F6991"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2BC1AE0D"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403F026A"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4C4C603E"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29150C28"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27802802"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A8BA785"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5AA68E81"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42B5C800"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52C6795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2B1565"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6E07C0A"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D0355E3"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402BF87"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287A849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7F3E94DC"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EE1B89B"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5473CF60"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79E77122"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3EEC2EB2"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5C83A8F"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6D7B35E5"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2ACF8A01"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76EE0CEB"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25729B4B"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38BC52E7"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BC54CC6" w14:textId="77777777"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4B1F0E23" w14:textId="77777777"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016E3620" w14:textId="77777777" w:rsidR="008D0810" w:rsidRDefault="00417F9F">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C1F2231"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516FB753"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45D8C464"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27F316FB"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33C56F2E" w14:textId="77777777" w:rsidR="008D0810" w:rsidRDefault="00417F9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（21）本基金与私募类证券资管产品及中国证监会认定的其他主体为交易对手开展逆回购交易的，可接受质押品的资质要求应当与基金合同约定的投资范围保持一致；</w:t>
      </w:r>
    </w:p>
    <w:p w14:paraId="384702F1"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1748991E"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5726C4E7"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55CA3D2" w14:textId="77777777" w:rsidR="008D0810" w:rsidRDefault="00417F9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E0550DB"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CFBC9C9"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（三）基金托管人根据有关法律法规的规定及基金合同的约定，对本托管协议第十五条第（十二）款基金投资禁止行为进行监督。</w:t>
      </w:r>
    </w:p>
    <w:p w14:paraId="2278F0E6"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4BE68F8"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67CDBB85"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5A9FDDD1"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420D8879"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C3952DD"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E2CB802"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管理人投资中小企业私募债应符合相关法律法规约定。基金管理人应根据本协议的规定与基金托管人签订投资中小企业私募债风险控制补充协议。基金管理人在投资中小企业私募债前，应向基金托管人提供经基金管理人董事会批准的投资中小企业私募债券的相关制度。在投资中小企业私募债券的过程中，基金管理人应合理控制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749C08C1"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2108C0C3"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67D7BB00"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A2DD7C0"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2BBAB80B"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353348ED"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（十一）若基金托管人发现基金管理人依据交易程序已经生效的指令违反法律、行政法规和其他有关规定，或者违反基金合同约定的，应当立即通知基金管理人。</w:t>
      </w:r>
    </w:p>
    <w:p w14:paraId="0B817827"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00EB31A9" w14:textId="77777777" w:rsidR="008D0810" w:rsidRDefault="00417F9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59DCCA6E"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064EB3F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145B773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3F8E9A0"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F27498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313CDF4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74E0D05"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5856401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7FE4E8C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1．基金财产应独立于基金管理人、基金托管人的固有财产；</w:t>
      </w:r>
    </w:p>
    <w:p w14:paraId="0BC2E5E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2．基金托管人应安全保管基金财产；</w:t>
      </w:r>
    </w:p>
    <w:p w14:paraId="4EFA66AB"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3．基金托管人按照规定开设基金财产的资金账户、证券账户和期货账户等投资所需账户；</w:t>
      </w:r>
    </w:p>
    <w:p w14:paraId="77419E3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2B5F73A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07E3C4A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47FAFF7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03288F0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（二）基金募集期间及募集资金的验资</w:t>
      </w:r>
    </w:p>
    <w:p w14:paraId="46036B2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0C32F485"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9DB36A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若基金募集期限届满，未能达到基金合同生效的条件，由基金管理人按规定办理退款等事宜。</w:t>
      </w:r>
    </w:p>
    <w:p w14:paraId="09CCA88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（三）基金托管专户的开立和管理</w:t>
      </w:r>
    </w:p>
    <w:p w14:paraId="0B6AAA5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1615E79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616305E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2EE5DAD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430929D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5198199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（四）基金证券账户和结算备付金账户的开立和管理</w:t>
      </w:r>
    </w:p>
    <w:p w14:paraId="531A9DEE"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3F2998C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9D660D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704EA09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374152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cs="Arial" w:hint="eastAsia"/>
          <w:sz w:val="24"/>
          <w:szCs w:val="24"/>
        </w:rPr>
        <w:t>则基金托管人比照上述关于账户开立、使用的规定执行。</w:t>
      </w:r>
    </w:p>
    <w:p w14:paraId="675B5D1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（五）银行间债券托管专户的开设和管理</w:t>
      </w:r>
    </w:p>
    <w:p w14:paraId="370F2DD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5C5EA64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（六）其他账户的开立和管理</w:t>
      </w:r>
    </w:p>
    <w:p w14:paraId="361E312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F50C84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（七）基金财产投资的有关有价凭证等的保管</w:t>
      </w:r>
    </w:p>
    <w:p w14:paraId="192082EC"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0F4B488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（八）与基金财产有关的重大合同的保管</w:t>
      </w:r>
    </w:p>
    <w:p w14:paraId="5629ACF2"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17DC943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42E9C5C"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0B31268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779ED55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1．基金资产净值</w:t>
      </w:r>
    </w:p>
    <w:p w14:paraId="236C3AF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0A1EB1A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56933088"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基金管理人每个工作日计算基金资产净值和两类基金份额净值，并按规定公告。</w:t>
      </w:r>
    </w:p>
    <w:p w14:paraId="67B9C6D1"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2．复核程序</w:t>
      </w:r>
    </w:p>
    <w:p w14:paraId="5D0D31F7"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5E42BC1A"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4137167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1、基金账册的建立</w:t>
      </w:r>
    </w:p>
    <w:p w14:paraId="79650DEB"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34D3EFE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41A72A6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4511FE04"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基金财务报表由基金管理人编制，基金托管人复核。</w:t>
      </w:r>
    </w:p>
    <w:p w14:paraId="5E4AC86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75F7E9CB"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42D0F5AD"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656DBB1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3DAF925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138DC86F"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414EFFF9"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BECF66"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49272AA9"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7E9C6E7B"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524763C3" w14:textId="77777777" w:rsidR="008D0810" w:rsidRDefault="00417F9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7CB0C14"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639B25BE"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5203D8FE"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8A8627C"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6ED7238F" w14:textId="77777777" w:rsidR="008D0810" w:rsidRDefault="00417F9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E7C102C"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08853F21"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7AD391FA"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21941E7B"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4A62157F"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2FDF878C"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2D5FDA9B"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5152307E" w14:textId="77777777" w:rsidR="008D0810" w:rsidRDefault="00417F9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591B36DA" w14:textId="77777777" w:rsidR="008D0810" w:rsidRDefault="00417F9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04142450" w14:textId="77777777" w:rsidR="008D0810" w:rsidRDefault="008D0810">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8D0810">
          <w:footerReference w:type="default" r:id="rId35"/>
          <w:pgSz w:w="11906" w:h="16838"/>
          <w:pgMar w:top="1440" w:right="1800" w:bottom="1440" w:left="1800" w:header="851" w:footer="992" w:gutter="0"/>
          <w:pgNumType w:chapStyle="1"/>
          <w:cols w:space="720"/>
          <w:docGrid w:type="lines" w:linePitch="312"/>
        </w:sectPr>
      </w:pPr>
      <w:bookmarkStart w:id="402" w:name="_Toc147463123"/>
      <w:bookmarkStart w:id="403" w:name="_Toc12357176"/>
      <w:bookmarkStart w:id="404" w:name="_Toc214873621"/>
      <w:bookmarkStart w:id="405" w:name="_Toc416264555"/>
      <w:bookmarkStart w:id="406" w:name="_Toc21073396"/>
      <w:bookmarkStart w:id="407" w:name="_Toc263092328"/>
      <w:bookmarkStart w:id="408" w:name="_Toc123102468"/>
      <w:bookmarkStart w:id="409" w:name="_Toc30350"/>
      <w:bookmarkStart w:id="410" w:name="_Toc3319"/>
      <w:bookmarkStart w:id="411" w:name="_Toc23999"/>
      <w:bookmarkStart w:id="412" w:name="_Toc123112249"/>
      <w:bookmarkStart w:id="413" w:name="_Toc139991751"/>
      <w:bookmarkStart w:id="414" w:name="_Toc8636"/>
      <w:bookmarkStart w:id="415" w:name="_Toc24923"/>
      <w:bookmarkStart w:id="416" w:name="_Toc7288"/>
      <w:bookmarkStart w:id="417" w:name="_Toc123051467"/>
      <w:bookmarkStart w:id="418" w:name="_Toc98560366"/>
      <w:bookmarkStart w:id="419" w:name="_Toc1790"/>
      <w:bookmarkStart w:id="420" w:name="_Toc352229767"/>
      <w:bookmarkStart w:id="421" w:name="_Toc25651"/>
      <w:bookmarkStart w:id="422" w:name="_Toc21983"/>
      <w:bookmarkStart w:id="423" w:name="_Toc6202"/>
      <w:bookmarkStart w:id="424" w:name="_Toc6110"/>
      <w:bookmarkStart w:id="425" w:name="_Toc141703902"/>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14:paraId="13C1BFBF" w14:textId="77777777" w:rsidR="008D0810" w:rsidRDefault="00417F9F">
      <w:pPr>
        <w:pStyle w:val="1"/>
        <w:jc w:val="center"/>
        <w:rPr>
          <w:rFonts w:asciiTheme="minorEastAsia" w:eastAsiaTheme="minorEastAsia" w:hAnsiTheme="minorEastAsia" w:hint="eastAsia"/>
          <w:sz w:val="30"/>
          <w:szCs w:val="30"/>
        </w:rPr>
      </w:pPr>
      <w:bookmarkStart w:id="426" w:name="_Toc146096096"/>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6"/>
    </w:p>
    <w:p w14:paraId="0AE5BC16"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A6D4639"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D2BD552"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A371BF"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7A4F86BF"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7F14FD6"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5F90A7B9"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4B7F3C06"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6B2E8785"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7311F53F"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12FA5C83"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9BBD35A"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25A7DB4B"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33949D8B"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676CBA68"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1380A9C"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DFBF2E9"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75A2D897" w14:textId="77777777" w:rsidR="008D0810" w:rsidRDefault="00417F9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035C141E" w14:textId="77777777" w:rsidR="008D0810" w:rsidRDefault="008D0810">
      <w:pPr>
        <w:spacing w:line="360" w:lineRule="auto"/>
        <w:ind w:firstLineChars="200" w:firstLine="480"/>
        <w:rPr>
          <w:rFonts w:asciiTheme="minorEastAsia" w:hAnsiTheme="minorEastAsia" w:cs="Arial" w:hint="eastAsia"/>
          <w:sz w:val="24"/>
          <w:szCs w:val="24"/>
        </w:rPr>
      </w:pPr>
    </w:p>
    <w:p w14:paraId="7E7C6EBA" w14:textId="77777777" w:rsidR="008D0810" w:rsidRDefault="008D0810">
      <w:pPr>
        <w:spacing w:line="360" w:lineRule="auto"/>
        <w:ind w:firstLineChars="200" w:firstLine="480"/>
        <w:rPr>
          <w:rFonts w:asciiTheme="minorEastAsia" w:hAnsiTheme="minorEastAsia" w:hint="eastAsia"/>
          <w:sz w:val="24"/>
          <w:szCs w:val="24"/>
        </w:rPr>
        <w:sectPr w:rsidR="008D0810">
          <w:footerReference w:type="default" r:id="rId36"/>
          <w:pgSz w:w="11906" w:h="16838"/>
          <w:pgMar w:top="1440" w:right="1800" w:bottom="1440" w:left="1800" w:header="851" w:footer="992" w:gutter="0"/>
          <w:pgNumType w:chapStyle="1"/>
          <w:cols w:space="720"/>
          <w:docGrid w:type="lines" w:linePitch="312"/>
        </w:sectPr>
      </w:pPr>
    </w:p>
    <w:p w14:paraId="06B0DFBE" w14:textId="77777777" w:rsidR="008D0810" w:rsidRDefault="00417F9F">
      <w:pPr>
        <w:pStyle w:val="1"/>
        <w:jc w:val="center"/>
        <w:rPr>
          <w:rFonts w:asciiTheme="minorEastAsia" w:eastAsiaTheme="minorEastAsia" w:hAnsiTheme="minorEastAsia" w:hint="eastAsia"/>
          <w:sz w:val="30"/>
          <w:szCs w:val="30"/>
        </w:rPr>
      </w:pPr>
      <w:bookmarkStart w:id="427" w:name="_Toc146096097"/>
      <w:bookmarkStart w:id="428" w:name="_Toc256666929"/>
      <w:bookmarkStart w:id="429" w:name="_Toc520207207"/>
      <w:bookmarkStart w:id="430" w:name="_Toc30359"/>
      <w:bookmarkStart w:id="431" w:name="_Toc482624810"/>
      <w:bookmarkStart w:id="432" w:name="_Toc256666809"/>
      <w:bookmarkStart w:id="433" w:name="_Toc263092329"/>
      <w:bookmarkStart w:id="434" w:name="_Toc416264556"/>
      <w:bookmarkStart w:id="435" w:name="_Toc214873622"/>
      <w:bookmarkStart w:id="436" w:name="_Toc530223198"/>
      <w:bookmarkEnd w:id="402"/>
      <w:bookmarkEnd w:id="403"/>
      <w:bookmarkEnd w:id="404"/>
      <w:bookmarkEnd w:id="405"/>
      <w:bookmarkEnd w:id="406"/>
      <w:bookmarkEnd w:id="407"/>
      <w:r>
        <w:rPr>
          <w:rFonts w:asciiTheme="minorEastAsia" w:eastAsiaTheme="minorEastAsia" w:hAnsiTheme="minorEastAsia" w:hint="eastAsia"/>
          <w:sz w:val="30"/>
          <w:szCs w:val="30"/>
        </w:rPr>
        <w:lastRenderedPageBreak/>
        <w:t>第二十一部分  其他应披露事项</w:t>
      </w:r>
      <w:bookmarkEnd w:id="427"/>
      <w:bookmarkEnd w:id="428"/>
      <w:bookmarkEnd w:id="429"/>
      <w:bookmarkEnd w:id="430"/>
      <w:bookmarkEnd w:id="431"/>
      <w:bookmarkEnd w:id="432"/>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514"/>
      </w:tblGrid>
      <w:tr w:rsidR="008D0810" w14:paraId="5A05636C" w14:textId="77777777">
        <w:trPr>
          <w:trHeight w:val="20"/>
        </w:trPr>
        <w:tc>
          <w:tcPr>
            <w:tcW w:w="817" w:type="dxa"/>
            <w:tcBorders>
              <w:top w:val="single" w:sz="4" w:space="0" w:color="auto"/>
              <w:left w:val="single" w:sz="4" w:space="0" w:color="auto"/>
              <w:bottom w:val="single" w:sz="4" w:space="0" w:color="auto"/>
              <w:right w:val="single" w:sz="4" w:space="0" w:color="auto"/>
            </w:tcBorders>
          </w:tcPr>
          <w:p w14:paraId="4A842D67" w14:textId="77777777" w:rsidR="008D0810" w:rsidRDefault="00417F9F">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tcPr>
          <w:p w14:paraId="4BCE96CB" w14:textId="77777777" w:rsidR="008D0810" w:rsidRDefault="00417F9F">
            <w:pPr>
              <w:jc w:val="center"/>
              <w:rPr>
                <w:rFonts w:asciiTheme="minorEastAsia" w:hAnsiTheme="minorEastAsia" w:hint="eastAsia"/>
                <w:color w:val="000000"/>
                <w:sz w:val="24"/>
                <w:szCs w:val="24"/>
              </w:rPr>
            </w:pPr>
            <w:r>
              <w:rPr>
                <w:rFonts w:asciiTheme="minorEastAsia" w:hAnsiTheme="minorEastAsia" w:hint="eastAsia"/>
                <w:color w:val="000000"/>
                <w:sz w:val="24"/>
                <w:szCs w:val="24"/>
              </w:rPr>
              <w:t>公告事项</w:t>
            </w:r>
          </w:p>
        </w:tc>
        <w:tc>
          <w:tcPr>
            <w:tcW w:w="2514" w:type="dxa"/>
            <w:tcBorders>
              <w:top w:val="single" w:sz="4" w:space="0" w:color="auto"/>
              <w:left w:val="single" w:sz="4" w:space="0" w:color="auto"/>
              <w:bottom w:val="single" w:sz="4" w:space="0" w:color="auto"/>
              <w:right w:val="single" w:sz="4" w:space="0" w:color="auto"/>
            </w:tcBorders>
          </w:tcPr>
          <w:p w14:paraId="4F7BC36F" w14:textId="77777777" w:rsidR="008D0810" w:rsidRDefault="00417F9F">
            <w:pPr>
              <w:jc w:val="center"/>
              <w:rPr>
                <w:rFonts w:asciiTheme="minorEastAsia" w:hAnsiTheme="minorEastAsia" w:hint="eastAsia"/>
                <w:color w:val="000000"/>
                <w:sz w:val="24"/>
                <w:szCs w:val="24"/>
              </w:rPr>
            </w:pPr>
            <w:r>
              <w:rPr>
                <w:rFonts w:asciiTheme="minorEastAsia" w:hAnsiTheme="minorEastAsia" w:hint="eastAsia"/>
                <w:color w:val="000000"/>
                <w:sz w:val="24"/>
                <w:szCs w:val="24"/>
              </w:rPr>
              <w:t>披露日期</w:t>
            </w:r>
          </w:p>
        </w:tc>
      </w:tr>
      <w:tr w:rsidR="005B2727" w14:paraId="4BB9A90F"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1BC407DE" w14:textId="55D4F102"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w:t>
            </w:r>
          </w:p>
        </w:tc>
        <w:tc>
          <w:tcPr>
            <w:tcW w:w="5708" w:type="dxa"/>
            <w:tcBorders>
              <w:top w:val="single" w:sz="4" w:space="0" w:color="auto"/>
              <w:left w:val="single" w:sz="4" w:space="0" w:color="auto"/>
              <w:bottom w:val="single" w:sz="4" w:space="0" w:color="auto"/>
              <w:right w:val="single" w:sz="4" w:space="0" w:color="auto"/>
            </w:tcBorders>
            <w:vAlign w:val="bottom"/>
          </w:tcPr>
          <w:p w14:paraId="4A6E9D20" w14:textId="5D19D590"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富荣基金管理有限公司关于终止北京中植基金销售有限公司办理旗下基金相关销售业务的公告</w:t>
            </w:r>
          </w:p>
        </w:tc>
        <w:tc>
          <w:tcPr>
            <w:tcW w:w="2514" w:type="dxa"/>
            <w:tcBorders>
              <w:top w:val="single" w:sz="4" w:space="0" w:color="auto"/>
              <w:left w:val="single" w:sz="4" w:space="0" w:color="auto"/>
              <w:bottom w:val="single" w:sz="4" w:space="0" w:color="auto"/>
              <w:right w:val="single" w:sz="4" w:space="0" w:color="auto"/>
            </w:tcBorders>
            <w:vAlign w:val="center"/>
          </w:tcPr>
          <w:p w14:paraId="108EA76D" w14:textId="7AE5B3DE"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2024年8月28日</w:t>
            </w:r>
          </w:p>
        </w:tc>
      </w:tr>
      <w:tr w:rsidR="005B2727" w14:paraId="2FE84BF8"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C978196" w14:textId="59325631"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w:t>
            </w:r>
          </w:p>
        </w:tc>
        <w:tc>
          <w:tcPr>
            <w:tcW w:w="5708" w:type="dxa"/>
            <w:tcBorders>
              <w:top w:val="single" w:sz="4" w:space="0" w:color="auto"/>
              <w:left w:val="single" w:sz="4" w:space="0" w:color="auto"/>
              <w:bottom w:val="single" w:sz="4" w:space="0" w:color="auto"/>
              <w:right w:val="single" w:sz="4" w:space="0" w:color="auto"/>
            </w:tcBorders>
            <w:vAlign w:val="bottom"/>
          </w:tcPr>
          <w:p w14:paraId="4B5328DD" w14:textId="7B216A18"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富荣基金管理有限公司旗下全部基金2024年中期报告提示性公告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50538A2A" w14:textId="7900A3D4"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2024年8月31日</w:t>
            </w:r>
          </w:p>
        </w:tc>
      </w:tr>
      <w:tr w:rsidR="005B2727" w14:paraId="280DD7E9"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DB73358" w14:textId="2899F58D"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3</w:t>
            </w:r>
          </w:p>
        </w:tc>
        <w:tc>
          <w:tcPr>
            <w:tcW w:w="5708" w:type="dxa"/>
            <w:tcBorders>
              <w:top w:val="single" w:sz="4" w:space="0" w:color="auto"/>
              <w:left w:val="single" w:sz="4" w:space="0" w:color="auto"/>
              <w:bottom w:val="single" w:sz="4" w:space="0" w:color="auto"/>
              <w:right w:val="single" w:sz="4" w:space="0" w:color="auto"/>
            </w:tcBorders>
            <w:vAlign w:val="bottom"/>
          </w:tcPr>
          <w:p w14:paraId="7839B765" w14:textId="356DF911"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593D846B" w14:textId="396F9FA2"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2024年9月23日</w:t>
            </w:r>
          </w:p>
        </w:tc>
      </w:tr>
      <w:tr w:rsidR="005B2727" w14:paraId="10D14931"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3620D3B9" w14:textId="0A4BD42F"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4</w:t>
            </w:r>
          </w:p>
        </w:tc>
        <w:tc>
          <w:tcPr>
            <w:tcW w:w="5708" w:type="dxa"/>
            <w:tcBorders>
              <w:top w:val="single" w:sz="4" w:space="0" w:color="auto"/>
              <w:left w:val="single" w:sz="4" w:space="0" w:color="auto"/>
              <w:bottom w:val="single" w:sz="4" w:space="0" w:color="auto"/>
              <w:right w:val="single" w:sz="4" w:space="0" w:color="auto"/>
            </w:tcBorders>
            <w:vAlign w:val="bottom"/>
          </w:tcPr>
          <w:p w14:paraId="24671E06" w14:textId="1A17C9BF"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关于以通讯方式召开富荣福康混合型证券投资基金基金份额持有人大会的公告</w:t>
            </w:r>
          </w:p>
        </w:tc>
        <w:tc>
          <w:tcPr>
            <w:tcW w:w="2514" w:type="dxa"/>
            <w:tcBorders>
              <w:top w:val="single" w:sz="4" w:space="0" w:color="auto"/>
              <w:left w:val="single" w:sz="4" w:space="0" w:color="auto"/>
              <w:bottom w:val="single" w:sz="4" w:space="0" w:color="auto"/>
              <w:right w:val="single" w:sz="4" w:space="0" w:color="auto"/>
            </w:tcBorders>
            <w:vAlign w:val="center"/>
          </w:tcPr>
          <w:p w14:paraId="22F7A067" w14:textId="1D40A6D8"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2024年9月26日</w:t>
            </w:r>
          </w:p>
        </w:tc>
      </w:tr>
      <w:tr w:rsidR="005B2727" w14:paraId="00FCB9A8"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47F19200" w14:textId="544D7E97"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5</w:t>
            </w:r>
          </w:p>
        </w:tc>
        <w:tc>
          <w:tcPr>
            <w:tcW w:w="5708" w:type="dxa"/>
            <w:tcBorders>
              <w:top w:val="single" w:sz="4" w:space="0" w:color="auto"/>
              <w:left w:val="single" w:sz="4" w:space="0" w:color="auto"/>
              <w:bottom w:val="single" w:sz="4" w:space="0" w:color="auto"/>
              <w:right w:val="single" w:sz="4" w:space="0" w:color="auto"/>
            </w:tcBorders>
            <w:vAlign w:val="bottom"/>
          </w:tcPr>
          <w:p w14:paraId="197AE27E" w14:textId="0F5064C8"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关于以通讯方式召开富荣福康混合型证券投资基金基金份额持有人大会的第一次提示性公告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1A4FC31C" w14:textId="170AB218"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2024年9月27日</w:t>
            </w:r>
          </w:p>
        </w:tc>
      </w:tr>
      <w:tr w:rsidR="005B2727" w14:paraId="0EED017F"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A6B0325" w14:textId="105EF7D9"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6</w:t>
            </w:r>
          </w:p>
        </w:tc>
        <w:tc>
          <w:tcPr>
            <w:tcW w:w="5708" w:type="dxa"/>
            <w:tcBorders>
              <w:top w:val="single" w:sz="4" w:space="0" w:color="auto"/>
              <w:left w:val="single" w:sz="4" w:space="0" w:color="auto"/>
              <w:bottom w:val="single" w:sz="4" w:space="0" w:color="auto"/>
              <w:right w:val="single" w:sz="4" w:space="0" w:color="auto"/>
            </w:tcBorders>
            <w:vAlign w:val="bottom"/>
          </w:tcPr>
          <w:p w14:paraId="7664AD95" w14:textId="2656EAFE"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关于以通讯方式召开富荣福康混合型证券投资基金基金份额持有人大会的第二次提示性公告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0F641E59" w14:textId="14A54A3A"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2024年9月28日</w:t>
            </w:r>
          </w:p>
        </w:tc>
      </w:tr>
      <w:tr w:rsidR="005B2727" w14:paraId="09E6EAC8"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355F0B5A" w14:textId="241D4F2A"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7</w:t>
            </w:r>
          </w:p>
        </w:tc>
        <w:tc>
          <w:tcPr>
            <w:tcW w:w="5708" w:type="dxa"/>
            <w:tcBorders>
              <w:top w:val="single" w:sz="4" w:space="0" w:color="auto"/>
              <w:left w:val="single" w:sz="4" w:space="0" w:color="auto"/>
              <w:bottom w:val="single" w:sz="4" w:space="0" w:color="auto"/>
              <w:right w:val="single" w:sz="4" w:space="0" w:color="auto"/>
            </w:tcBorders>
            <w:vAlign w:val="bottom"/>
          </w:tcPr>
          <w:p w14:paraId="1A43479A" w14:textId="1372CBA9"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关于富荣福康混合型证券投资基金恢复大额申购、大额转换转入、大额定期定额投资业务的公告</w:t>
            </w:r>
          </w:p>
        </w:tc>
        <w:tc>
          <w:tcPr>
            <w:tcW w:w="2514" w:type="dxa"/>
            <w:tcBorders>
              <w:top w:val="single" w:sz="4" w:space="0" w:color="auto"/>
              <w:left w:val="single" w:sz="4" w:space="0" w:color="auto"/>
              <w:bottom w:val="single" w:sz="4" w:space="0" w:color="auto"/>
              <w:right w:val="single" w:sz="4" w:space="0" w:color="auto"/>
            </w:tcBorders>
            <w:vAlign w:val="center"/>
          </w:tcPr>
          <w:p w14:paraId="221E9280" w14:textId="4326D90C"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2024年10月17日</w:t>
            </w:r>
          </w:p>
        </w:tc>
      </w:tr>
      <w:tr w:rsidR="005B2727" w14:paraId="2101F5C5"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AC9A98F" w14:textId="44617D4C"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8</w:t>
            </w:r>
          </w:p>
        </w:tc>
        <w:tc>
          <w:tcPr>
            <w:tcW w:w="5708" w:type="dxa"/>
            <w:tcBorders>
              <w:top w:val="single" w:sz="4" w:space="0" w:color="auto"/>
              <w:left w:val="single" w:sz="4" w:space="0" w:color="auto"/>
              <w:bottom w:val="single" w:sz="4" w:space="0" w:color="auto"/>
              <w:right w:val="single" w:sz="4" w:space="0" w:color="auto"/>
            </w:tcBorders>
            <w:vAlign w:val="bottom"/>
          </w:tcPr>
          <w:p w14:paraId="257AC7EA" w14:textId="6B10A193"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富荣基金管理有限公司旗下全部基金2024年第3季度报告提示性公告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72542450" w14:textId="0F181703"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2024年10月25日</w:t>
            </w:r>
          </w:p>
        </w:tc>
      </w:tr>
      <w:tr w:rsidR="005B2727" w14:paraId="11E202CC"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633E3ED6" w14:textId="2A37841D"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9</w:t>
            </w:r>
          </w:p>
        </w:tc>
        <w:tc>
          <w:tcPr>
            <w:tcW w:w="5708" w:type="dxa"/>
            <w:tcBorders>
              <w:top w:val="single" w:sz="4" w:space="0" w:color="auto"/>
              <w:left w:val="single" w:sz="4" w:space="0" w:color="auto"/>
              <w:bottom w:val="single" w:sz="4" w:space="0" w:color="auto"/>
              <w:right w:val="single" w:sz="4" w:space="0" w:color="auto"/>
            </w:tcBorders>
            <w:vAlign w:val="bottom"/>
          </w:tcPr>
          <w:p w14:paraId="65FD8164" w14:textId="2ED424F4"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富荣福康混合型证券投资基金基金份额持有人大会表决结果暨决议生效的公告</w:t>
            </w:r>
          </w:p>
        </w:tc>
        <w:tc>
          <w:tcPr>
            <w:tcW w:w="2514" w:type="dxa"/>
            <w:tcBorders>
              <w:top w:val="single" w:sz="4" w:space="0" w:color="auto"/>
              <w:left w:val="single" w:sz="4" w:space="0" w:color="auto"/>
              <w:bottom w:val="single" w:sz="4" w:space="0" w:color="auto"/>
              <w:right w:val="single" w:sz="4" w:space="0" w:color="auto"/>
            </w:tcBorders>
            <w:vAlign w:val="center"/>
          </w:tcPr>
          <w:p w14:paraId="4959B783" w14:textId="6B0E84AF"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2024年11月5日</w:t>
            </w:r>
          </w:p>
        </w:tc>
      </w:tr>
      <w:tr w:rsidR="005B2727" w14:paraId="3E5F9063"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691F64C" w14:textId="27051DBE"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10</w:t>
            </w:r>
          </w:p>
        </w:tc>
        <w:tc>
          <w:tcPr>
            <w:tcW w:w="5708" w:type="dxa"/>
            <w:tcBorders>
              <w:top w:val="single" w:sz="4" w:space="0" w:color="auto"/>
              <w:left w:val="single" w:sz="4" w:space="0" w:color="auto"/>
              <w:bottom w:val="single" w:sz="4" w:space="0" w:color="auto"/>
              <w:right w:val="single" w:sz="4" w:space="0" w:color="auto"/>
            </w:tcBorders>
            <w:vAlign w:val="bottom"/>
          </w:tcPr>
          <w:p w14:paraId="48A27F33" w14:textId="0A52D8B8"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富荣基金管理有限公司高级管理人员变更公告</w:t>
            </w:r>
          </w:p>
        </w:tc>
        <w:tc>
          <w:tcPr>
            <w:tcW w:w="2514" w:type="dxa"/>
            <w:tcBorders>
              <w:top w:val="single" w:sz="4" w:space="0" w:color="auto"/>
              <w:left w:val="single" w:sz="4" w:space="0" w:color="auto"/>
              <w:bottom w:val="single" w:sz="4" w:space="0" w:color="auto"/>
              <w:right w:val="single" w:sz="4" w:space="0" w:color="auto"/>
            </w:tcBorders>
            <w:vAlign w:val="center"/>
          </w:tcPr>
          <w:p w14:paraId="1CF6AD35" w14:textId="24F78A58"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2024年11月7日</w:t>
            </w:r>
          </w:p>
        </w:tc>
      </w:tr>
      <w:tr w:rsidR="005B2727" w14:paraId="07376BFE"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3330067" w14:textId="47830AD7"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11</w:t>
            </w:r>
          </w:p>
        </w:tc>
        <w:tc>
          <w:tcPr>
            <w:tcW w:w="5708" w:type="dxa"/>
            <w:tcBorders>
              <w:top w:val="single" w:sz="4" w:space="0" w:color="auto"/>
              <w:left w:val="single" w:sz="4" w:space="0" w:color="auto"/>
              <w:bottom w:val="single" w:sz="4" w:space="0" w:color="auto"/>
              <w:right w:val="single" w:sz="4" w:space="0" w:color="auto"/>
            </w:tcBorders>
            <w:vAlign w:val="bottom"/>
          </w:tcPr>
          <w:p w14:paraId="06A3527A" w14:textId="0943AEC7"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富荣基金管理有限公司关于旗下部分基金新增广发期货有限公司为销售机构、开通基金定期定额投资业务和基金转换业务并参加申购及定期定额投资申购费率优惠活动的公告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vAlign w:val="center"/>
          </w:tcPr>
          <w:p w14:paraId="429FCAE4" w14:textId="3DC67039"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2024年12月2日</w:t>
            </w:r>
          </w:p>
        </w:tc>
      </w:tr>
      <w:tr w:rsidR="005B2727" w14:paraId="5859A893"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436969C" w14:textId="00CC0291"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12</w:t>
            </w:r>
          </w:p>
        </w:tc>
        <w:tc>
          <w:tcPr>
            <w:tcW w:w="5708" w:type="dxa"/>
            <w:tcBorders>
              <w:top w:val="single" w:sz="4" w:space="0" w:color="auto"/>
              <w:left w:val="single" w:sz="4" w:space="0" w:color="auto"/>
              <w:bottom w:val="single" w:sz="4" w:space="0" w:color="auto"/>
              <w:right w:val="single" w:sz="4" w:space="0" w:color="auto"/>
            </w:tcBorders>
            <w:vAlign w:val="bottom"/>
          </w:tcPr>
          <w:p w14:paraId="6D3CC65F" w14:textId="2D8B2F92"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富荣基金管理有限公司基金行业高级管理人员变更公告</w:t>
            </w:r>
          </w:p>
        </w:tc>
        <w:tc>
          <w:tcPr>
            <w:tcW w:w="2514" w:type="dxa"/>
            <w:tcBorders>
              <w:top w:val="single" w:sz="4" w:space="0" w:color="auto"/>
              <w:left w:val="single" w:sz="4" w:space="0" w:color="auto"/>
              <w:bottom w:val="single" w:sz="4" w:space="0" w:color="auto"/>
              <w:right w:val="single" w:sz="4" w:space="0" w:color="auto"/>
            </w:tcBorders>
            <w:vAlign w:val="center"/>
          </w:tcPr>
          <w:p w14:paraId="4F931356" w14:textId="701DEE62"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2024年12月3日</w:t>
            </w:r>
          </w:p>
        </w:tc>
      </w:tr>
      <w:tr w:rsidR="005B2727" w14:paraId="655A47FC"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02A5038C" w14:textId="474F1385"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13</w:t>
            </w:r>
          </w:p>
        </w:tc>
        <w:tc>
          <w:tcPr>
            <w:tcW w:w="5708" w:type="dxa"/>
            <w:tcBorders>
              <w:top w:val="single" w:sz="4" w:space="0" w:color="auto"/>
              <w:left w:val="single" w:sz="4" w:space="0" w:color="auto"/>
              <w:bottom w:val="single" w:sz="4" w:space="0" w:color="auto"/>
              <w:right w:val="single" w:sz="4" w:space="0" w:color="auto"/>
            </w:tcBorders>
            <w:vAlign w:val="bottom"/>
          </w:tcPr>
          <w:p w14:paraId="0F85B3CE" w14:textId="3FACC123"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富荣基金管理有限公司基金行业高级管理人员变更公告</w:t>
            </w:r>
          </w:p>
        </w:tc>
        <w:tc>
          <w:tcPr>
            <w:tcW w:w="2514" w:type="dxa"/>
            <w:tcBorders>
              <w:top w:val="single" w:sz="4" w:space="0" w:color="auto"/>
              <w:left w:val="single" w:sz="4" w:space="0" w:color="auto"/>
              <w:bottom w:val="single" w:sz="4" w:space="0" w:color="auto"/>
              <w:right w:val="single" w:sz="4" w:space="0" w:color="auto"/>
            </w:tcBorders>
            <w:vAlign w:val="center"/>
          </w:tcPr>
          <w:p w14:paraId="174FA42E" w14:textId="753CC838"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2024年12月3日</w:t>
            </w:r>
          </w:p>
        </w:tc>
      </w:tr>
      <w:tr w:rsidR="005B2727" w14:paraId="5FD1CFC8"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53886F21" w14:textId="37DA013C"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14</w:t>
            </w:r>
          </w:p>
        </w:tc>
        <w:tc>
          <w:tcPr>
            <w:tcW w:w="5708" w:type="dxa"/>
            <w:tcBorders>
              <w:top w:val="single" w:sz="4" w:space="0" w:color="auto"/>
              <w:left w:val="single" w:sz="4" w:space="0" w:color="auto"/>
              <w:bottom w:val="single" w:sz="4" w:space="0" w:color="auto"/>
              <w:right w:val="single" w:sz="4" w:space="0" w:color="auto"/>
            </w:tcBorders>
            <w:vAlign w:val="bottom"/>
          </w:tcPr>
          <w:p w14:paraId="341C2400" w14:textId="416E1C0F"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富荣基金管理有限公司旗下全部基金2024年第4季度报告提示性公告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369DD3C4" w14:textId="24738082"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2025年1月22日</w:t>
            </w:r>
          </w:p>
        </w:tc>
      </w:tr>
      <w:tr w:rsidR="005B2727" w14:paraId="3C5A159B"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0F1D13BC" w14:textId="7E15B54B"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15</w:t>
            </w:r>
          </w:p>
        </w:tc>
        <w:tc>
          <w:tcPr>
            <w:tcW w:w="5708" w:type="dxa"/>
            <w:tcBorders>
              <w:top w:val="single" w:sz="4" w:space="0" w:color="auto"/>
              <w:left w:val="single" w:sz="4" w:space="0" w:color="auto"/>
              <w:bottom w:val="single" w:sz="4" w:space="0" w:color="auto"/>
              <w:right w:val="single" w:sz="4" w:space="0" w:color="auto"/>
            </w:tcBorders>
            <w:vAlign w:val="bottom"/>
          </w:tcPr>
          <w:p w14:paraId="698AD23C" w14:textId="5FD281D1"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富荣福康混合型证券投资基金基金经理变更公告</w:t>
            </w:r>
          </w:p>
        </w:tc>
        <w:tc>
          <w:tcPr>
            <w:tcW w:w="2514" w:type="dxa"/>
            <w:tcBorders>
              <w:top w:val="single" w:sz="4" w:space="0" w:color="auto"/>
              <w:left w:val="single" w:sz="4" w:space="0" w:color="auto"/>
              <w:bottom w:val="single" w:sz="4" w:space="0" w:color="auto"/>
              <w:right w:val="single" w:sz="4" w:space="0" w:color="auto"/>
            </w:tcBorders>
            <w:vAlign w:val="center"/>
          </w:tcPr>
          <w:p w14:paraId="0DB037D1" w14:textId="4CF92620"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2025年2月14日</w:t>
            </w:r>
          </w:p>
        </w:tc>
      </w:tr>
      <w:tr w:rsidR="005B2727" w14:paraId="58262936"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66FBBC7D" w14:textId="0D388B12"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16</w:t>
            </w:r>
          </w:p>
        </w:tc>
        <w:tc>
          <w:tcPr>
            <w:tcW w:w="5708" w:type="dxa"/>
            <w:tcBorders>
              <w:top w:val="single" w:sz="4" w:space="0" w:color="auto"/>
              <w:left w:val="single" w:sz="4" w:space="0" w:color="auto"/>
              <w:bottom w:val="single" w:sz="4" w:space="0" w:color="auto"/>
              <w:right w:val="single" w:sz="4" w:space="0" w:color="auto"/>
            </w:tcBorders>
            <w:vAlign w:val="bottom"/>
          </w:tcPr>
          <w:p w14:paraId="627AF7CD" w14:textId="4D3BE52A"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22815EFF" w14:textId="03B6620F"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2025年2月18日</w:t>
            </w:r>
          </w:p>
        </w:tc>
      </w:tr>
      <w:tr w:rsidR="005B2727" w14:paraId="5E7CF5FC"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4B07EEE2" w14:textId="06DC9ADE"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17</w:t>
            </w:r>
          </w:p>
        </w:tc>
        <w:tc>
          <w:tcPr>
            <w:tcW w:w="5708" w:type="dxa"/>
            <w:tcBorders>
              <w:top w:val="single" w:sz="4" w:space="0" w:color="auto"/>
              <w:left w:val="single" w:sz="4" w:space="0" w:color="auto"/>
              <w:bottom w:val="single" w:sz="4" w:space="0" w:color="auto"/>
              <w:right w:val="single" w:sz="4" w:space="0" w:color="auto"/>
            </w:tcBorders>
            <w:vAlign w:val="bottom"/>
          </w:tcPr>
          <w:p w14:paraId="0A642E05" w14:textId="582DD9B7"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富荣福康混合型证券投资基金基金经理变更公告</w:t>
            </w:r>
          </w:p>
        </w:tc>
        <w:tc>
          <w:tcPr>
            <w:tcW w:w="2514" w:type="dxa"/>
            <w:tcBorders>
              <w:top w:val="single" w:sz="4" w:space="0" w:color="auto"/>
              <w:left w:val="single" w:sz="4" w:space="0" w:color="auto"/>
              <w:bottom w:val="single" w:sz="4" w:space="0" w:color="auto"/>
              <w:right w:val="single" w:sz="4" w:space="0" w:color="auto"/>
            </w:tcBorders>
            <w:vAlign w:val="center"/>
          </w:tcPr>
          <w:p w14:paraId="40462818" w14:textId="63478DD7"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2025年2月20日</w:t>
            </w:r>
          </w:p>
        </w:tc>
      </w:tr>
      <w:tr w:rsidR="005B2727" w14:paraId="7A3914EF"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AF5B982" w14:textId="4B1952D0"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18</w:t>
            </w:r>
          </w:p>
        </w:tc>
        <w:tc>
          <w:tcPr>
            <w:tcW w:w="5708" w:type="dxa"/>
            <w:tcBorders>
              <w:top w:val="single" w:sz="4" w:space="0" w:color="auto"/>
              <w:left w:val="single" w:sz="4" w:space="0" w:color="auto"/>
              <w:bottom w:val="single" w:sz="4" w:space="0" w:color="auto"/>
              <w:right w:val="single" w:sz="4" w:space="0" w:color="auto"/>
            </w:tcBorders>
            <w:vAlign w:val="bottom"/>
          </w:tcPr>
          <w:p w14:paraId="3FDA9ED2" w14:textId="258ACA02"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410BBC06" w14:textId="5591EE2F"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2025年2月24日</w:t>
            </w:r>
          </w:p>
        </w:tc>
      </w:tr>
      <w:tr w:rsidR="005B2727" w14:paraId="5AEA8873"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AE4FE18" w14:textId="5A6B5764"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19</w:t>
            </w:r>
          </w:p>
        </w:tc>
        <w:tc>
          <w:tcPr>
            <w:tcW w:w="5708" w:type="dxa"/>
            <w:tcBorders>
              <w:top w:val="single" w:sz="4" w:space="0" w:color="auto"/>
              <w:left w:val="single" w:sz="4" w:space="0" w:color="auto"/>
              <w:bottom w:val="single" w:sz="4" w:space="0" w:color="auto"/>
              <w:right w:val="single" w:sz="4" w:space="0" w:color="auto"/>
            </w:tcBorders>
            <w:vAlign w:val="bottom"/>
          </w:tcPr>
          <w:p w14:paraId="3DF4E6DD" w14:textId="63047AC2"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富荣基金管理有限公司关于旗下部分基金新增国泰君安证券股份有限公司为销售机构、开通基金定期定额投资业务和基金转换业务并参加申购及定期定额投资申购费率优惠活动的公告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vAlign w:val="center"/>
          </w:tcPr>
          <w:p w14:paraId="774987C5" w14:textId="0CEC1938"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2025年3月17日</w:t>
            </w:r>
          </w:p>
        </w:tc>
      </w:tr>
      <w:tr w:rsidR="005B2727" w14:paraId="4D7C2063"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72819597" w14:textId="58903117"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20</w:t>
            </w:r>
          </w:p>
        </w:tc>
        <w:tc>
          <w:tcPr>
            <w:tcW w:w="5708" w:type="dxa"/>
            <w:tcBorders>
              <w:top w:val="single" w:sz="4" w:space="0" w:color="auto"/>
              <w:left w:val="single" w:sz="4" w:space="0" w:color="auto"/>
              <w:bottom w:val="single" w:sz="4" w:space="0" w:color="auto"/>
              <w:right w:val="single" w:sz="4" w:space="0" w:color="auto"/>
            </w:tcBorders>
            <w:vAlign w:val="bottom"/>
          </w:tcPr>
          <w:p w14:paraId="7054BEAF" w14:textId="2EB81E97"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富荣基金管理有限公司旗下全部基金2024年年度报告提示性公告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7E243116" w14:textId="5D16293F"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2025年3月31日</w:t>
            </w:r>
          </w:p>
        </w:tc>
      </w:tr>
      <w:tr w:rsidR="005B2727" w14:paraId="3FA51238"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DF3587F" w14:textId="36394F0C"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21</w:t>
            </w:r>
          </w:p>
        </w:tc>
        <w:tc>
          <w:tcPr>
            <w:tcW w:w="5708" w:type="dxa"/>
            <w:tcBorders>
              <w:top w:val="single" w:sz="4" w:space="0" w:color="auto"/>
              <w:left w:val="single" w:sz="4" w:space="0" w:color="auto"/>
              <w:bottom w:val="single" w:sz="4" w:space="0" w:color="auto"/>
              <w:right w:val="single" w:sz="4" w:space="0" w:color="auto"/>
            </w:tcBorders>
            <w:vAlign w:val="bottom"/>
          </w:tcPr>
          <w:p w14:paraId="6B96D481" w14:textId="037D6EFE"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富荣基金管理有限公司基金行业高级管理人员变更公告</w:t>
            </w:r>
          </w:p>
        </w:tc>
        <w:tc>
          <w:tcPr>
            <w:tcW w:w="2514" w:type="dxa"/>
            <w:tcBorders>
              <w:top w:val="single" w:sz="4" w:space="0" w:color="auto"/>
              <w:left w:val="single" w:sz="4" w:space="0" w:color="auto"/>
              <w:bottom w:val="single" w:sz="4" w:space="0" w:color="auto"/>
              <w:right w:val="single" w:sz="4" w:space="0" w:color="auto"/>
            </w:tcBorders>
            <w:vAlign w:val="center"/>
          </w:tcPr>
          <w:p w14:paraId="146346F0" w14:textId="716E8153"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2025年4月4日</w:t>
            </w:r>
          </w:p>
        </w:tc>
      </w:tr>
      <w:tr w:rsidR="005B2727" w14:paraId="23417DC1"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3AB8CE8D" w14:textId="37643FF1"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lastRenderedPageBreak/>
              <w:t>22</w:t>
            </w:r>
          </w:p>
        </w:tc>
        <w:tc>
          <w:tcPr>
            <w:tcW w:w="5708" w:type="dxa"/>
            <w:tcBorders>
              <w:top w:val="single" w:sz="4" w:space="0" w:color="auto"/>
              <w:left w:val="single" w:sz="4" w:space="0" w:color="auto"/>
              <w:bottom w:val="single" w:sz="4" w:space="0" w:color="auto"/>
              <w:right w:val="single" w:sz="4" w:space="0" w:color="auto"/>
            </w:tcBorders>
            <w:vAlign w:val="bottom"/>
          </w:tcPr>
          <w:p w14:paraId="5ED8D9C0" w14:textId="5D5F9DFF"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富荣基金管理有限公司关于旗下部分基金新增销售机构、开通基金定期定额投资和基金转换业务并参加销售机构申购及定期定额投资申购费率优惠活动的公告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vAlign w:val="center"/>
          </w:tcPr>
          <w:p w14:paraId="4026957C" w14:textId="12A1B99F"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2025年4月10日</w:t>
            </w:r>
          </w:p>
        </w:tc>
      </w:tr>
      <w:tr w:rsidR="005B2727" w14:paraId="3B9384E0"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2822870" w14:textId="615AC860"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23</w:t>
            </w:r>
          </w:p>
        </w:tc>
        <w:tc>
          <w:tcPr>
            <w:tcW w:w="5708" w:type="dxa"/>
            <w:tcBorders>
              <w:top w:val="single" w:sz="4" w:space="0" w:color="auto"/>
              <w:left w:val="single" w:sz="4" w:space="0" w:color="auto"/>
              <w:bottom w:val="single" w:sz="4" w:space="0" w:color="auto"/>
              <w:right w:val="single" w:sz="4" w:space="0" w:color="auto"/>
            </w:tcBorders>
            <w:vAlign w:val="bottom"/>
          </w:tcPr>
          <w:p w14:paraId="76560390" w14:textId="72C5ECE1"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富荣基金管理有限公司旗下全部基金2025年第1季度报告提示性公告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5CD391F6" w14:textId="4084B652"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2025年4月22日</w:t>
            </w:r>
          </w:p>
        </w:tc>
      </w:tr>
      <w:tr w:rsidR="005B2727" w14:paraId="74093DD9"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55D5E8B" w14:textId="3E534CF1"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24</w:t>
            </w:r>
          </w:p>
        </w:tc>
        <w:tc>
          <w:tcPr>
            <w:tcW w:w="5708" w:type="dxa"/>
            <w:tcBorders>
              <w:top w:val="single" w:sz="4" w:space="0" w:color="auto"/>
              <w:left w:val="single" w:sz="4" w:space="0" w:color="auto"/>
              <w:bottom w:val="single" w:sz="4" w:space="0" w:color="auto"/>
              <w:right w:val="single" w:sz="4" w:space="0" w:color="auto"/>
            </w:tcBorders>
            <w:vAlign w:val="bottom"/>
          </w:tcPr>
          <w:p w14:paraId="0A00B3D2" w14:textId="1CBB9BA2"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vAlign w:val="center"/>
          </w:tcPr>
          <w:p w14:paraId="57FF310A" w14:textId="07C43E01"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2025年5月6日</w:t>
            </w:r>
          </w:p>
        </w:tc>
      </w:tr>
      <w:tr w:rsidR="005B2727" w14:paraId="5E7AB564"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1969948" w14:textId="0E8B6E27"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25</w:t>
            </w:r>
          </w:p>
        </w:tc>
        <w:tc>
          <w:tcPr>
            <w:tcW w:w="5708" w:type="dxa"/>
            <w:tcBorders>
              <w:top w:val="single" w:sz="4" w:space="0" w:color="auto"/>
              <w:left w:val="single" w:sz="4" w:space="0" w:color="auto"/>
              <w:bottom w:val="single" w:sz="4" w:space="0" w:color="auto"/>
              <w:right w:val="single" w:sz="4" w:space="0" w:color="auto"/>
            </w:tcBorders>
            <w:vAlign w:val="bottom"/>
          </w:tcPr>
          <w:p w14:paraId="298324EB" w14:textId="160D9414"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富荣基金管理有限公司关于旗下部分基金新增麦高证券有限责任公司为销售机构、开通基金定期定额投资业务和基金转换业务并参加申购及定期定额投资申购费率优惠活动的公告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vAlign w:val="center"/>
          </w:tcPr>
          <w:p w14:paraId="272C02F8" w14:textId="6924675A"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2025年5月15日</w:t>
            </w:r>
          </w:p>
        </w:tc>
      </w:tr>
      <w:tr w:rsidR="005B2727" w14:paraId="4EB49FC1"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248D9A3E" w14:textId="349DE607"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26</w:t>
            </w:r>
          </w:p>
        </w:tc>
        <w:tc>
          <w:tcPr>
            <w:tcW w:w="5708" w:type="dxa"/>
            <w:tcBorders>
              <w:top w:val="single" w:sz="4" w:space="0" w:color="auto"/>
              <w:left w:val="single" w:sz="4" w:space="0" w:color="auto"/>
              <w:bottom w:val="single" w:sz="4" w:space="0" w:color="auto"/>
              <w:right w:val="single" w:sz="4" w:space="0" w:color="auto"/>
            </w:tcBorders>
            <w:vAlign w:val="bottom"/>
          </w:tcPr>
          <w:p w14:paraId="6762F8FD" w14:textId="288E5776"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富荣基金管理有限公司关于旗下部分基金新增江苏银行股份有限公司为销售机构、开通基金定期定额投资业务和基金转换业务并参加申购及定期定额投资申购费率优惠活动的公告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vAlign w:val="center"/>
          </w:tcPr>
          <w:p w14:paraId="5AF6F227" w14:textId="5D3E5A37"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2025年5月23日</w:t>
            </w:r>
          </w:p>
        </w:tc>
      </w:tr>
      <w:tr w:rsidR="005B2727" w14:paraId="0936A1DD"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026183F0" w14:textId="3C17C626"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27</w:t>
            </w:r>
          </w:p>
        </w:tc>
        <w:tc>
          <w:tcPr>
            <w:tcW w:w="5708" w:type="dxa"/>
            <w:tcBorders>
              <w:top w:val="single" w:sz="4" w:space="0" w:color="auto"/>
              <w:left w:val="single" w:sz="4" w:space="0" w:color="auto"/>
              <w:bottom w:val="single" w:sz="4" w:space="0" w:color="auto"/>
              <w:right w:val="single" w:sz="4" w:space="0" w:color="auto"/>
            </w:tcBorders>
            <w:vAlign w:val="bottom"/>
          </w:tcPr>
          <w:p w14:paraId="720F32F9" w14:textId="1AC13601"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富荣基金管理有限公司关于终止民商基金销售（上海）有限公司办理旗下基金相关销售业务的公告</w:t>
            </w:r>
          </w:p>
        </w:tc>
        <w:tc>
          <w:tcPr>
            <w:tcW w:w="2514" w:type="dxa"/>
            <w:tcBorders>
              <w:top w:val="single" w:sz="4" w:space="0" w:color="auto"/>
              <w:left w:val="single" w:sz="4" w:space="0" w:color="auto"/>
              <w:bottom w:val="single" w:sz="4" w:space="0" w:color="auto"/>
              <w:right w:val="single" w:sz="4" w:space="0" w:color="auto"/>
            </w:tcBorders>
            <w:vAlign w:val="center"/>
          </w:tcPr>
          <w:p w14:paraId="4C2381C8" w14:textId="17F8ED6E"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2025年6月10日</w:t>
            </w:r>
          </w:p>
        </w:tc>
      </w:tr>
      <w:tr w:rsidR="005B2727" w14:paraId="079C9161"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0FEC4459" w14:textId="43B959D2"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28</w:t>
            </w:r>
          </w:p>
        </w:tc>
        <w:tc>
          <w:tcPr>
            <w:tcW w:w="5708" w:type="dxa"/>
            <w:tcBorders>
              <w:top w:val="single" w:sz="4" w:space="0" w:color="auto"/>
              <w:left w:val="single" w:sz="4" w:space="0" w:color="auto"/>
              <w:bottom w:val="single" w:sz="4" w:space="0" w:color="auto"/>
              <w:right w:val="single" w:sz="4" w:space="0" w:color="auto"/>
            </w:tcBorders>
            <w:vAlign w:val="bottom"/>
          </w:tcPr>
          <w:p w14:paraId="7606D27C" w14:textId="38B7A45B"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富荣基金管理有限公司关于提醒投资者持续完善身份信息资料的公告</w:t>
            </w:r>
          </w:p>
        </w:tc>
        <w:tc>
          <w:tcPr>
            <w:tcW w:w="2514" w:type="dxa"/>
            <w:tcBorders>
              <w:top w:val="single" w:sz="4" w:space="0" w:color="auto"/>
              <w:left w:val="single" w:sz="4" w:space="0" w:color="auto"/>
              <w:bottom w:val="single" w:sz="4" w:space="0" w:color="auto"/>
              <w:right w:val="single" w:sz="4" w:space="0" w:color="auto"/>
            </w:tcBorders>
            <w:vAlign w:val="center"/>
          </w:tcPr>
          <w:p w14:paraId="7EC5DC2C" w14:textId="43B264C1"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2025年6月24日</w:t>
            </w:r>
          </w:p>
        </w:tc>
      </w:tr>
      <w:tr w:rsidR="005B2727" w14:paraId="002BEB09" w14:textId="77777777" w:rsidTr="00231253">
        <w:trPr>
          <w:trHeight w:val="20"/>
        </w:trPr>
        <w:tc>
          <w:tcPr>
            <w:tcW w:w="817" w:type="dxa"/>
            <w:tcBorders>
              <w:top w:val="single" w:sz="4" w:space="0" w:color="auto"/>
              <w:left w:val="single" w:sz="4" w:space="0" w:color="auto"/>
              <w:bottom w:val="single" w:sz="4" w:space="0" w:color="auto"/>
              <w:right w:val="single" w:sz="4" w:space="0" w:color="auto"/>
            </w:tcBorders>
          </w:tcPr>
          <w:p w14:paraId="1C81E06D" w14:textId="2DD013F6" w:rsidR="005B2727" w:rsidRDefault="005B2727" w:rsidP="005B2727">
            <w:pPr>
              <w:jc w:val="center"/>
              <w:rPr>
                <w:rFonts w:asciiTheme="minorEastAsia" w:hAnsiTheme="minorEastAsia" w:cs="Arial" w:hint="eastAsia"/>
                <w:sz w:val="22"/>
              </w:rPr>
            </w:pPr>
            <w:r>
              <w:rPr>
                <w:rFonts w:asciiTheme="minorEastAsia" w:hAnsiTheme="minorEastAsia" w:cs="Arial" w:hint="eastAsia"/>
                <w:sz w:val="22"/>
              </w:rPr>
              <w:t>29</w:t>
            </w:r>
          </w:p>
        </w:tc>
        <w:tc>
          <w:tcPr>
            <w:tcW w:w="5708" w:type="dxa"/>
            <w:tcBorders>
              <w:top w:val="single" w:sz="4" w:space="0" w:color="auto"/>
              <w:left w:val="single" w:sz="4" w:space="0" w:color="auto"/>
              <w:bottom w:val="single" w:sz="4" w:space="0" w:color="auto"/>
              <w:right w:val="single" w:sz="4" w:space="0" w:color="auto"/>
            </w:tcBorders>
            <w:vAlign w:val="bottom"/>
          </w:tcPr>
          <w:p w14:paraId="3D8B7330" w14:textId="229A81A9" w:rsidR="005B2727" w:rsidRDefault="005B2727" w:rsidP="005B2727">
            <w:pPr>
              <w:jc w:val="left"/>
              <w:rPr>
                <w:rFonts w:asciiTheme="minorEastAsia" w:hAnsiTheme="minorEastAsia" w:hint="eastAsia"/>
                <w:color w:val="000000"/>
                <w:sz w:val="22"/>
              </w:rPr>
            </w:pPr>
            <w:r>
              <w:rPr>
                <w:rFonts w:ascii="宋体" w:eastAsia="宋体" w:hAnsi="宋体" w:cs="宋体" w:hint="eastAsia"/>
                <w:color w:val="000000"/>
                <w:kern w:val="0"/>
                <w:sz w:val="22"/>
                <w:lang w:bidi="ar"/>
              </w:rPr>
              <w:t>富荣基金管理有限公司旗下全部基金2025年第2季度报告提示性公告</w:t>
            </w:r>
          </w:p>
        </w:tc>
        <w:tc>
          <w:tcPr>
            <w:tcW w:w="2514" w:type="dxa"/>
            <w:tcBorders>
              <w:top w:val="single" w:sz="4" w:space="0" w:color="auto"/>
              <w:left w:val="single" w:sz="4" w:space="0" w:color="auto"/>
              <w:bottom w:val="single" w:sz="4" w:space="0" w:color="auto"/>
              <w:right w:val="single" w:sz="4" w:space="0" w:color="auto"/>
            </w:tcBorders>
            <w:vAlign w:val="center"/>
          </w:tcPr>
          <w:p w14:paraId="29CEDE1E" w14:textId="6D1E9092" w:rsidR="005B2727" w:rsidRDefault="005B2727" w:rsidP="005B2727">
            <w:pPr>
              <w:jc w:val="center"/>
              <w:rPr>
                <w:rFonts w:asciiTheme="minorEastAsia" w:hAnsiTheme="minorEastAsia" w:hint="eastAsia"/>
                <w:color w:val="000000"/>
                <w:sz w:val="22"/>
              </w:rPr>
            </w:pPr>
            <w:r>
              <w:rPr>
                <w:rFonts w:ascii="宋体" w:eastAsia="宋体" w:hAnsi="宋体" w:cs="宋体" w:hint="eastAsia"/>
                <w:color w:val="000000"/>
                <w:kern w:val="0"/>
                <w:sz w:val="22"/>
                <w:lang w:bidi="ar"/>
              </w:rPr>
              <w:t>2025年7月21日</w:t>
            </w:r>
          </w:p>
        </w:tc>
      </w:tr>
    </w:tbl>
    <w:p w14:paraId="6DF9BE40" w14:textId="77777777" w:rsidR="008D0810" w:rsidRDefault="008D0810">
      <w:pPr>
        <w:adjustRightInd w:val="0"/>
        <w:snapToGrid w:val="0"/>
        <w:spacing w:line="360" w:lineRule="auto"/>
        <w:rPr>
          <w:rFonts w:asciiTheme="minorEastAsia" w:hAnsiTheme="minorEastAsia" w:cs="Arial" w:hint="eastAsia"/>
          <w:sz w:val="24"/>
          <w:szCs w:val="24"/>
        </w:rPr>
      </w:pPr>
    </w:p>
    <w:p w14:paraId="21049656" w14:textId="77777777" w:rsidR="008D0810" w:rsidRDefault="00417F9F">
      <w:pPr>
        <w:pStyle w:val="1"/>
        <w:jc w:val="center"/>
        <w:rPr>
          <w:rFonts w:asciiTheme="minorEastAsia" w:eastAsiaTheme="minorEastAsia" w:hAnsiTheme="minorEastAsia" w:hint="eastAsia"/>
          <w:sz w:val="30"/>
          <w:szCs w:val="30"/>
        </w:rPr>
      </w:pPr>
      <w:bookmarkStart w:id="437" w:name="_Toc146096098"/>
      <w:r>
        <w:rPr>
          <w:rFonts w:asciiTheme="minorEastAsia" w:eastAsiaTheme="minorEastAsia" w:hAnsiTheme="minorEastAsia" w:hint="eastAsia"/>
          <w:sz w:val="30"/>
          <w:szCs w:val="30"/>
        </w:rPr>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3"/>
      <w:bookmarkEnd w:id="434"/>
      <w:bookmarkEnd w:id="435"/>
      <w:bookmarkEnd w:id="436"/>
      <w:bookmarkEnd w:id="437"/>
    </w:p>
    <w:p w14:paraId="48082919"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C1D8556"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3912B9B" w14:textId="77777777" w:rsidR="008D0810" w:rsidRDefault="008D081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3429A6C" w14:textId="77777777" w:rsidR="008D0810" w:rsidRDefault="008D0810">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8D0810">
          <w:footerReference w:type="default" r:id="rId37"/>
          <w:pgSz w:w="11906" w:h="16838"/>
          <w:pgMar w:top="1440" w:right="1800" w:bottom="1440" w:left="1800" w:header="851" w:footer="992" w:gutter="0"/>
          <w:cols w:space="425"/>
          <w:docGrid w:type="lines" w:linePitch="312"/>
        </w:sectPr>
      </w:pPr>
      <w:bookmarkStart w:id="438" w:name="_Toc263092330"/>
      <w:bookmarkStart w:id="439" w:name="_Toc416268879"/>
    </w:p>
    <w:p w14:paraId="6D2AF527" w14:textId="77777777" w:rsidR="008D0810" w:rsidRDefault="00417F9F">
      <w:pPr>
        <w:pStyle w:val="1"/>
        <w:jc w:val="center"/>
        <w:rPr>
          <w:rFonts w:asciiTheme="minorEastAsia" w:eastAsiaTheme="minorEastAsia" w:hAnsiTheme="minorEastAsia" w:hint="eastAsia"/>
          <w:sz w:val="30"/>
          <w:szCs w:val="30"/>
        </w:rPr>
      </w:pPr>
      <w:bookmarkStart w:id="440" w:name="_Toc146096099"/>
      <w:bookmarkEnd w:id="61"/>
      <w:bookmarkEnd w:id="62"/>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38"/>
      <w:bookmarkEnd w:id="439"/>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0"/>
    </w:p>
    <w:p w14:paraId="240BC3CB" w14:textId="77777777" w:rsidR="008D0810" w:rsidRDefault="008D0810">
      <w:pPr>
        <w:rPr>
          <w:rFonts w:asciiTheme="minorEastAsia" w:hAnsiTheme="minorEastAsia" w:cs="Times New Roman" w:hint="eastAsia"/>
          <w:sz w:val="24"/>
          <w:szCs w:val="24"/>
        </w:rPr>
      </w:pPr>
    </w:p>
    <w:p w14:paraId="72630880"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C4A1AD2"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1F3E21A"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（二）《富荣福康混合型证券投资基金基金合同》 </w:t>
      </w:r>
    </w:p>
    <w:p w14:paraId="2435C3EF"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（三）《富荣福康混合型证券投资基金托管协议》 </w:t>
      </w:r>
    </w:p>
    <w:p w14:paraId="3DAA5C0D"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4B9A295A"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7431383C"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F474E22"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0D8D3D68" w14:textId="77777777" w:rsidR="008D0810" w:rsidRDefault="00417F9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7E796418" w14:textId="77777777" w:rsidR="008D0810" w:rsidRDefault="008D081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201D818" w14:textId="77777777" w:rsidR="008D0810" w:rsidRDefault="008D081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BCBCF6E"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4E1B071"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13A8DBB"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1E5C1EFE"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4F1DCADE"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44FC8343"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2644684D"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296205F9"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08BFD8C" w14:textId="77777777" w:rsidR="008D0810" w:rsidRDefault="00417F9F">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058AA068" w14:textId="77777777" w:rsidR="008D0810" w:rsidRDefault="008D0810">
      <w:pPr>
        <w:widowControl/>
        <w:adjustRightInd w:val="0"/>
        <w:snapToGrid w:val="0"/>
        <w:spacing w:line="360" w:lineRule="auto"/>
        <w:ind w:rightChars="-85" w:right="-178"/>
        <w:jc w:val="right"/>
        <w:rPr>
          <w:rFonts w:asciiTheme="minorEastAsia" w:hAnsiTheme="minorEastAsia" w:cs="Arial" w:hint="eastAsia"/>
          <w:kern w:val="0"/>
          <w:sz w:val="24"/>
          <w:szCs w:val="24"/>
        </w:rPr>
      </w:pPr>
    </w:p>
    <w:p w14:paraId="32386044" w14:textId="78C83C1A" w:rsidR="008D0810" w:rsidRDefault="00417F9F">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kern w:val="0"/>
          <w:sz w:val="24"/>
          <w:szCs w:val="24"/>
        </w:rPr>
        <w:t>202</w:t>
      </w:r>
      <w:r>
        <w:rPr>
          <w:rFonts w:asciiTheme="minorEastAsia" w:hAnsiTheme="minorEastAsia" w:cs="Arial" w:hint="eastAsia"/>
          <w:kern w:val="0"/>
          <w:sz w:val="24"/>
          <w:szCs w:val="24"/>
        </w:rPr>
        <w:t>5年</w:t>
      </w:r>
      <w:r w:rsidR="00496D82">
        <w:rPr>
          <w:rFonts w:asciiTheme="minorEastAsia" w:hAnsiTheme="minorEastAsia" w:cs="Arial" w:hint="eastAsia"/>
          <w:kern w:val="0"/>
          <w:sz w:val="24"/>
          <w:szCs w:val="24"/>
        </w:rPr>
        <w:t>9</w:t>
      </w:r>
      <w:r>
        <w:rPr>
          <w:rFonts w:asciiTheme="minorEastAsia" w:hAnsiTheme="minorEastAsia" w:cs="Arial" w:hint="eastAsia"/>
          <w:kern w:val="0"/>
          <w:sz w:val="24"/>
          <w:szCs w:val="24"/>
        </w:rPr>
        <w:t>月</w:t>
      </w:r>
      <w:r w:rsidR="00496D82">
        <w:rPr>
          <w:rFonts w:asciiTheme="minorEastAsia" w:hAnsiTheme="minorEastAsia" w:cs="Arial" w:hint="eastAsia"/>
          <w:kern w:val="0"/>
          <w:sz w:val="24"/>
          <w:szCs w:val="24"/>
        </w:rPr>
        <w:t>23</w:t>
      </w:r>
      <w:r>
        <w:rPr>
          <w:rFonts w:asciiTheme="minorEastAsia" w:hAnsiTheme="minorEastAsia" w:cs="Arial" w:hint="eastAsia"/>
          <w:kern w:val="0"/>
          <w:sz w:val="24"/>
          <w:szCs w:val="24"/>
        </w:rPr>
        <w:t>日</w:t>
      </w:r>
    </w:p>
    <w:p w14:paraId="37D1EA2B"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1148D1"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123418F"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096D74D"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25CE8256"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E6ADD27" w14:textId="77777777" w:rsidR="008D0810" w:rsidRDefault="008D0810">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4B31F0C" w14:textId="77777777" w:rsidR="008D0810" w:rsidRDefault="008D0810">
      <w:pPr>
        <w:widowControl/>
        <w:adjustRightInd w:val="0"/>
        <w:snapToGrid w:val="0"/>
        <w:spacing w:line="360" w:lineRule="auto"/>
        <w:ind w:rightChars="-85" w:right="-178"/>
        <w:rPr>
          <w:rFonts w:asciiTheme="minorEastAsia" w:hAnsiTheme="minorEastAsia" w:hint="eastAsia"/>
        </w:rPr>
      </w:pPr>
    </w:p>
    <w:sectPr w:rsidR="008D0810">
      <w:footerReference w:type="default" r:id="rId3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A0B01" w14:textId="77777777" w:rsidR="00555E69" w:rsidRDefault="00555E69">
      <w:r>
        <w:separator/>
      </w:r>
    </w:p>
  </w:endnote>
  <w:endnote w:type="continuationSeparator" w:id="0">
    <w:p w14:paraId="6B625B7F" w14:textId="77777777" w:rsidR="00555E69" w:rsidRDefault="00555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E543A" w14:textId="77777777" w:rsidR="00417F9F" w:rsidRDefault="00417F9F">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1728549"/>
    </w:sdtPr>
    <w:sdtContent>
      <w:p w14:paraId="4A1480BD"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3</w:t>
        </w:r>
        <w:r>
          <w:rPr>
            <w:lang w:val="zh-CN"/>
          </w:rPr>
          <w:fldChar w:fldCharType="end"/>
        </w:r>
      </w:p>
    </w:sdtContent>
  </w:sdt>
  <w:p w14:paraId="0F9BA622" w14:textId="77777777" w:rsidR="00417F9F" w:rsidRDefault="00417F9F">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76A9D" w14:textId="77777777" w:rsidR="00417F9F" w:rsidRDefault="00417F9F">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1469772"/>
    </w:sdtPr>
    <w:sdtContent>
      <w:p w14:paraId="1B8854AC"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4</w:t>
        </w:r>
        <w:r>
          <w:rPr>
            <w:lang w:val="zh-CN"/>
          </w:rPr>
          <w:fldChar w:fldCharType="end"/>
        </w:r>
      </w:p>
    </w:sdtContent>
  </w:sdt>
  <w:p w14:paraId="5824F8DD" w14:textId="77777777" w:rsidR="00417F9F" w:rsidRDefault="00417F9F">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497496"/>
    </w:sdtPr>
    <w:sdtContent>
      <w:p w14:paraId="58347075"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13</w:t>
        </w:r>
        <w:r>
          <w:rPr>
            <w:lang w:val="zh-CN"/>
          </w:rPr>
          <w:fldChar w:fldCharType="end"/>
        </w:r>
      </w:p>
    </w:sdtContent>
  </w:sdt>
  <w:p w14:paraId="6ECB139D" w14:textId="77777777" w:rsidR="00417F9F" w:rsidRDefault="00417F9F">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7229504"/>
    </w:sdtPr>
    <w:sdtContent>
      <w:p w14:paraId="7A25F42E"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37</w:t>
        </w:r>
        <w:r>
          <w:rPr>
            <w:lang w:val="zh-CN"/>
          </w:rPr>
          <w:fldChar w:fldCharType="end"/>
        </w:r>
      </w:p>
    </w:sdtContent>
  </w:sdt>
  <w:p w14:paraId="1D158AB7" w14:textId="77777777" w:rsidR="00417F9F" w:rsidRDefault="00417F9F">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4574829"/>
    </w:sdtPr>
    <w:sdtContent>
      <w:p w14:paraId="21049BD9"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38</w:t>
        </w:r>
        <w:r>
          <w:rPr>
            <w:lang w:val="zh-CN"/>
          </w:rPr>
          <w:fldChar w:fldCharType="end"/>
        </w:r>
      </w:p>
    </w:sdtContent>
  </w:sdt>
  <w:p w14:paraId="48DBA6ED" w14:textId="77777777" w:rsidR="00417F9F" w:rsidRDefault="00417F9F">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855541"/>
    </w:sdtPr>
    <w:sdtContent>
      <w:p w14:paraId="641AAAC2"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39</w:t>
        </w:r>
        <w:r>
          <w:rPr>
            <w:lang w:val="zh-CN"/>
          </w:rPr>
          <w:fldChar w:fldCharType="end"/>
        </w:r>
      </w:p>
    </w:sdtContent>
  </w:sdt>
  <w:p w14:paraId="6E15CDB5" w14:textId="77777777" w:rsidR="00417F9F" w:rsidRDefault="00417F9F">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62473"/>
    </w:sdtPr>
    <w:sdtContent>
      <w:p w14:paraId="673A87BB"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50</w:t>
        </w:r>
        <w:r>
          <w:rPr>
            <w:lang w:val="zh-CN"/>
          </w:rPr>
          <w:fldChar w:fldCharType="end"/>
        </w:r>
      </w:p>
    </w:sdtContent>
  </w:sdt>
  <w:p w14:paraId="4B761003" w14:textId="77777777" w:rsidR="00417F9F" w:rsidRDefault="00417F9F">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6867518"/>
    </w:sdtPr>
    <w:sdtContent>
      <w:p w14:paraId="422BA3FF"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67</w:t>
        </w:r>
        <w:r>
          <w:rPr>
            <w:lang w:val="zh-CN"/>
          </w:rPr>
          <w:fldChar w:fldCharType="end"/>
        </w:r>
      </w:p>
    </w:sdtContent>
  </w:sdt>
  <w:p w14:paraId="1F3F363F" w14:textId="77777777" w:rsidR="00417F9F" w:rsidRDefault="00417F9F">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4318167"/>
    </w:sdtPr>
    <w:sdtContent>
      <w:p w14:paraId="390B9AD0"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68</w:t>
        </w:r>
        <w:r>
          <w:rPr>
            <w:lang w:val="zh-CN"/>
          </w:rPr>
          <w:fldChar w:fldCharType="end"/>
        </w:r>
      </w:p>
    </w:sdtContent>
  </w:sdt>
  <w:p w14:paraId="0D3EE25A" w14:textId="77777777" w:rsidR="00417F9F" w:rsidRDefault="00417F9F">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5095341"/>
    </w:sdtPr>
    <w:sdtContent>
      <w:p w14:paraId="467A9C78"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73</w:t>
        </w:r>
        <w:r>
          <w:rPr>
            <w:lang w:val="zh-CN"/>
          </w:rPr>
          <w:fldChar w:fldCharType="end"/>
        </w:r>
      </w:p>
    </w:sdtContent>
  </w:sdt>
  <w:p w14:paraId="68D17FA2" w14:textId="77777777" w:rsidR="00417F9F" w:rsidRDefault="00417F9F">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6720435"/>
    </w:sdtPr>
    <w:sdtContent>
      <w:p w14:paraId="351932A7"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75</w:t>
        </w:r>
        <w:r>
          <w:rPr>
            <w:lang w:val="zh-CN"/>
          </w:rPr>
          <w:fldChar w:fldCharType="end"/>
        </w:r>
      </w:p>
    </w:sdtContent>
  </w:sdt>
  <w:p w14:paraId="22B8F5E7" w14:textId="77777777" w:rsidR="00417F9F" w:rsidRDefault="00417F9F">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008983"/>
    </w:sdtPr>
    <w:sdtContent>
      <w:p w14:paraId="213A0704"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78</w:t>
        </w:r>
        <w:r>
          <w:rPr>
            <w:lang w:val="zh-CN"/>
          </w:rPr>
          <w:fldChar w:fldCharType="end"/>
        </w:r>
      </w:p>
    </w:sdtContent>
  </w:sdt>
  <w:p w14:paraId="4A2BD861" w14:textId="77777777" w:rsidR="00417F9F" w:rsidRDefault="00417F9F">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082047"/>
    </w:sdtPr>
    <w:sdtContent>
      <w:p w14:paraId="46E44816"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79</w:t>
        </w:r>
        <w:r>
          <w:rPr>
            <w:lang w:val="zh-CN"/>
          </w:rPr>
          <w:fldChar w:fldCharType="end"/>
        </w:r>
      </w:p>
    </w:sdtContent>
  </w:sdt>
  <w:p w14:paraId="3EAE4477" w14:textId="77777777" w:rsidR="00417F9F" w:rsidRDefault="00417F9F">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9749182"/>
    </w:sdtPr>
    <w:sdtContent>
      <w:p w14:paraId="1EAF35C8"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86</w:t>
        </w:r>
        <w:r>
          <w:rPr>
            <w:lang w:val="zh-CN"/>
          </w:rPr>
          <w:fldChar w:fldCharType="end"/>
        </w:r>
      </w:p>
    </w:sdtContent>
  </w:sdt>
  <w:p w14:paraId="42AEFF6A" w14:textId="77777777" w:rsidR="00417F9F" w:rsidRDefault="00417F9F">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9785194"/>
    </w:sdtPr>
    <w:sdtContent>
      <w:p w14:paraId="07B9C3E5"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91</w:t>
        </w:r>
        <w:r>
          <w:rPr>
            <w:lang w:val="zh-CN"/>
          </w:rPr>
          <w:fldChar w:fldCharType="end"/>
        </w:r>
      </w:p>
    </w:sdtContent>
  </w:sdt>
  <w:p w14:paraId="7C9CDEBC" w14:textId="77777777" w:rsidR="00417F9F" w:rsidRDefault="00417F9F">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8676496"/>
    </w:sdtPr>
    <w:sdtContent>
      <w:p w14:paraId="60063ABA"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93</w:t>
        </w:r>
        <w:r>
          <w:rPr>
            <w:lang w:val="zh-CN"/>
          </w:rPr>
          <w:fldChar w:fldCharType="end"/>
        </w:r>
      </w:p>
    </w:sdtContent>
  </w:sdt>
  <w:p w14:paraId="6A07D61F" w14:textId="77777777" w:rsidR="00417F9F" w:rsidRDefault="00417F9F">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007213"/>
    </w:sdtPr>
    <w:sdtContent>
      <w:p w14:paraId="40CBEDAE"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109</w:t>
        </w:r>
        <w:r>
          <w:rPr>
            <w:lang w:val="zh-CN"/>
          </w:rPr>
          <w:fldChar w:fldCharType="end"/>
        </w:r>
      </w:p>
    </w:sdtContent>
  </w:sdt>
  <w:p w14:paraId="6A6A09A5" w14:textId="77777777" w:rsidR="00417F9F" w:rsidRDefault="00417F9F">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2734758"/>
    </w:sdtPr>
    <w:sdtContent>
      <w:p w14:paraId="1B71C0D6"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122</w:t>
        </w:r>
        <w:r>
          <w:rPr>
            <w:lang w:val="zh-CN"/>
          </w:rPr>
          <w:fldChar w:fldCharType="end"/>
        </w:r>
      </w:p>
    </w:sdtContent>
  </w:sdt>
  <w:p w14:paraId="75FF8B96" w14:textId="77777777" w:rsidR="00417F9F" w:rsidRDefault="00417F9F">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8904440"/>
    </w:sdtPr>
    <w:sdtContent>
      <w:p w14:paraId="3CB0E2CF"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124</w:t>
        </w:r>
        <w:r>
          <w:rPr>
            <w:lang w:val="zh-CN"/>
          </w:rPr>
          <w:fldChar w:fldCharType="end"/>
        </w:r>
      </w:p>
    </w:sdtContent>
  </w:sdt>
  <w:p w14:paraId="68FA04F3" w14:textId="77777777" w:rsidR="00417F9F" w:rsidRDefault="00417F9F">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405084"/>
    </w:sdtPr>
    <w:sdtContent>
      <w:p w14:paraId="4D273C57"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128</w:t>
        </w:r>
        <w:r>
          <w:rPr>
            <w:lang w:val="zh-CN"/>
          </w:rPr>
          <w:fldChar w:fldCharType="end"/>
        </w:r>
      </w:p>
    </w:sdtContent>
  </w:sdt>
  <w:p w14:paraId="7542B908" w14:textId="77777777" w:rsidR="00417F9F" w:rsidRDefault="00417F9F">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2306275"/>
    </w:sdtPr>
    <w:sdtContent>
      <w:p w14:paraId="65FA6989" w14:textId="77777777" w:rsidR="00417F9F" w:rsidRDefault="00417F9F">
        <w:pPr>
          <w:pStyle w:val="ae"/>
          <w:jc w:val="center"/>
        </w:pPr>
        <w:r>
          <w:rPr>
            <w:lang w:val="zh-CN"/>
          </w:rPr>
          <w:fldChar w:fldCharType="begin"/>
        </w:r>
        <w:r>
          <w:rPr>
            <w:lang w:val="zh-CN"/>
          </w:rPr>
          <w:instrText>PAGE   \* MERGEFORMAT</w:instrText>
        </w:r>
        <w:r>
          <w:rPr>
            <w:lang w:val="zh-CN"/>
          </w:rPr>
          <w:fldChar w:fldCharType="separate"/>
        </w:r>
        <w:r w:rsidR="00C0539C">
          <w:rPr>
            <w:noProof/>
            <w:lang w:val="zh-CN"/>
          </w:rPr>
          <w:t>129</w:t>
        </w:r>
        <w:r>
          <w:rPr>
            <w:lang w:val="zh-CN"/>
          </w:rPr>
          <w:fldChar w:fldCharType="end"/>
        </w:r>
      </w:p>
    </w:sdtContent>
  </w:sdt>
  <w:p w14:paraId="52AF9285" w14:textId="77777777" w:rsidR="00417F9F" w:rsidRDefault="00417F9F">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80584" w14:textId="77777777" w:rsidR="00555E69" w:rsidRDefault="00555E69">
      <w:r>
        <w:separator/>
      </w:r>
    </w:p>
  </w:footnote>
  <w:footnote w:type="continuationSeparator" w:id="0">
    <w:p w14:paraId="3430546D" w14:textId="77777777" w:rsidR="00555E69" w:rsidRDefault="00555E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4D2BC" w14:textId="77777777" w:rsidR="00417F9F" w:rsidRDefault="00417F9F">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ABCD9" w14:textId="34B6A4D6" w:rsidR="00417F9F" w:rsidRDefault="00417F9F">
    <w:pPr>
      <w:pStyle w:val="af0"/>
      <w:jc w:val="both"/>
    </w:pPr>
    <w:r>
      <w:rPr>
        <w:rFonts w:ascii="Arial" w:hAnsi="Arial" w:cs="Arial" w:hint="eastAsia"/>
        <w:szCs w:val="21"/>
      </w:rPr>
      <w:t>富荣福康混合型证券投资基金更新的招募说明书（</w:t>
    </w:r>
    <w:r>
      <w:rPr>
        <w:rFonts w:ascii="Arial" w:hAnsi="Arial" w:cs="Arial" w:hint="eastAsia"/>
        <w:szCs w:val="21"/>
      </w:rPr>
      <w:t>2025</w:t>
    </w:r>
    <w:r>
      <w:rPr>
        <w:rFonts w:ascii="Arial" w:hAnsi="Arial" w:cs="Arial" w:hint="eastAsia"/>
        <w:szCs w:val="21"/>
      </w:rPr>
      <w:t>年第</w:t>
    </w:r>
    <w:r>
      <w:rPr>
        <w:rFonts w:ascii="Arial" w:hAnsi="Arial" w:cs="Arial" w:hint="eastAsia"/>
        <w:szCs w:val="21"/>
      </w:rPr>
      <w:t>3</w:t>
    </w:r>
    <w:r>
      <w:rPr>
        <w:rFonts w:ascii="Arial" w:hAnsi="Arial" w:cs="Arial" w:hint="eastAsia"/>
        <w:szCs w:val="21"/>
      </w:rPr>
      <w:t>号）</w:t>
    </w:r>
    <w:r>
      <w:rPr>
        <w:rFonts w:ascii="Arial" w:hAnsi="Arial" w:cs="Arial" w:hint="eastAsia"/>
        <w:szCs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19758" w14:textId="77777777" w:rsidR="00417F9F" w:rsidRDefault="00417F9F">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213884005">
    <w:abstractNumId w:val="0"/>
  </w:num>
  <w:num w:numId="2" w16cid:durableId="10015909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923"/>
    <w:rsid w:val="00000B3B"/>
    <w:rsid w:val="000026B6"/>
    <w:rsid w:val="0000336D"/>
    <w:rsid w:val="00011E0C"/>
    <w:rsid w:val="000150A1"/>
    <w:rsid w:val="00016B2F"/>
    <w:rsid w:val="00021C39"/>
    <w:rsid w:val="00021C6F"/>
    <w:rsid w:val="00022A34"/>
    <w:rsid w:val="0002581E"/>
    <w:rsid w:val="00025857"/>
    <w:rsid w:val="00026A47"/>
    <w:rsid w:val="00026DA2"/>
    <w:rsid w:val="0002708B"/>
    <w:rsid w:val="00027A1A"/>
    <w:rsid w:val="000319C7"/>
    <w:rsid w:val="00032C15"/>
    <w:rsid w:val="00037654"/>
    <w:rsid w:val="00041EB7"/>
    <w:rsid w:val="00043AE3"/>
    <w:rsid w:val="000455CE"/>
    <w:rsid w:val="0004712E"/>
    <w:rsid w:val="000507C1"/>
    <w:rsid w:val="00050E32"/>
    <w:rsid w:val="000514BB"/>
    <w:rsid w:val="0005270F"/>
    <w:rsid w:val="00055285"/>
    <w:rsid w:val="00055889"/>
    <w:rsid w:val="00056512"/>
    <w:rsid w:val="00056541"/>
    <w:rsid w:val="0006090B"/>
    <w:rsid w:val="000619E8"/>
    <w:rsid w:val="00061EFE"/>
    <w:rsid w:val="0006254D"/>
    <w:rsid w:val="00062C1B"/>
    <w:rsid w:val="000648FC"/>
    <w:rsid w:val="00065FA9"/>
    <w:rsid w:val="00066597"/>
    <w:rsid w:val="0006715B"/>
    <w:rsid w:val="00067F02"/>
    <w:rsid w:val="00072066"/>
    <w:rsid w:val="000721D0"/>
    <w:rsid w:val="00074D28"/>
    <w:rsid w:val="000752DA"/>
    <w:rsid w:val="00075A2F"/>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109"/>
    <w:rsid w:val="000A2809"/>
    <w:rsid w:val="000A34E4"/>
    <w:rsid w:val="000A68DF"/>
    <w:rsid w:val="000A6900"/>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39C0"/>
    <w:rsid w:val="000C4C8F"/>
    <w:rsid w:val="000C4CDF"/>
    <w:rsid w:val="000D3337"/>
    <w:rsid w:val="000D48FE"/>
    <w:rsid w:val="000D5178"/>
    <w:rsid w:val="000D718E"/>
    <w:rsid w:val="000E1E9B"/>
    <w:rsid w:val="000E2274"/>
    <w:rsid w:val="000E3D34"/>
    <w:rsid w:val="000E4187"/>
    <w:rsid w:val="000E4C06"/>
    <w:rsid w:val="000E6811"/>
    <w:rsid w:val="000F294B"/>
    <w:rsid w:val="000F4000"/>
    <w:rsid w:val="000F5C40"/>
    <w:rsid w:val="000F63F5"/>
    <w:rsid w:val="00100174"/>
    <w:rsid w:val="0010210E"/>
    <w:rsid w:val="00102D5B"/>
    <w:rsid w:val="001035D3"/>
    <w:rsid w:val="0010455F"/>
    <w:rsid w:val="00105C79"/>
    <w:rsid w:val="00106771"/>
    <w:rsid w:val="00106F56"/>
    <w:rsid w:val="00110E6E"/>
    <w:rsid w:val="001117AE"/>
    <w:rsid w:val="00111FD3"/>
    <w:rsid w:val="00112609"/>
    <w:rsid w:val="00112ACF"/>
    <w:rsid w:val="00113B13"/>
    <w:rsid w:val="00116E09"/>
    <w:rsid w:val="0012019B"/>
    <w:rsid w:val="001240ED"/>
    <w:rsid w:val="001252C4"/>
    <w:rsid w:val="00125D1A"/>
    <w:rsid w:val="001275BA"/>
    <w:rsid w:val="00127ED5"/>
    <w:rsid w:val="0013130B"/>
    <w:rsid w:val="00131320"/>
    <w:rsid w:val="00132839"/>
    <w:rsid w:val="0013292C"/>
    <w:rsid w:val="00132DD5"/>
    <w:rsid w:val="00133E49"/>
    <w:rsid w:val="0013445E"/>
    <w:rsid w:val="00135275"/>
    <w:rsid w:val="001357CB"/>
    <w:rsid w:val="00135938"/>
    <w:rsid w:val="00135BC6"/>
    <w:rsid w:val="00135DD6"/>
    <w:rsid w:val="001369D9"/>
    <w:rsid w:val="001445DD"/>
    <w:rsid w:val="00145063"/>
    <w:rsid w:val="00147C35"/>
    <w:rsid w:val="00151916"/>
    <w:rsid w:val="00151B6A"/>
    <w:rsid w:val="00154429"/>
    <w:rsid w:val="001569AD"/>
    <w:rsid w:val="001609F9"/>
    <w:rsid w:val="001616B4"/>
    <w:rsid w:val="001634E3"/>
    <w:rsid w:val="001635EE"/>
    <w:rsid w:val="00166406"/>
    <w:rsid w:val="0016706A"/>
    <w:rsid w:val="00167922"/>
    <w:rsid w:val="00172537"/>
    <w:rsid w:val="001745C9"/>
    <w:rsid w:val="00180DAD"/>
    <w:rsid w:val="00181F45"/>
    <w:rsid w:val="00183CCD"/>
    <w:rsid w:val="00183F89"/>
    <w:rsid w:val="00184AAE"/>
    <w:rsid w:val="00184E9F"/>
    <w:rsid w:val="00185938"/>
    <w:rsid w:val="00187570"/>
    <w:rsid w:val="00194E71"/>
    <w:rsid w:val="00195FCE"/>
    <w:rsid w:val="001968DF"/>
    <w:rsid w:val="001A0D71"/>
    <w:rsid w:val="001A1315"/>
    <w:rsid w:val="001A1C76"/>
    <w:rsid w:val="001A3539"/>
    <w:rsid w:val="001A4CAD"/>
    <w:rsid w:val="001B0534"/>
    <w:rsid w:val="001B101B"/>
    <w:rsid w:val="001B1C13"/>
    <w:rsid w:val="001B48A6"/>
    <w:rsid w:val="001B523F"/>
    <w:rsid w:val="001B598D"/>
    <w:rsid w:val="001B716E"/>
    <w:rsid w:val="001B7598"/>
    <w:rsid w:val="001C404F"/>
    <w:rsid w:val="001D075D"/>
    <w:rsid w:val="001D31E9"/>
    <w:rsid w:val="001D4C82"/>
    <w:rsid w:val="001D577F"/>
    <w:rsid w:val="001D6044"/>
    <w:rsid w:val="001D761E"/>
    <w:rsid w:val="001E05E8"/>
    <w:rsid w:val="001E099D"/>
    <w:rsid w:val="001E12AB"/>
    <w:rsid w:val="001E1CF9"/>
    <w:rsid w:val="001E3B99"/>
    <w:rsid w:val="001E4D17"/>
    <w:rsid w:val="001E6662"/>
    <w:rsid w:val="001F029F"/>
    <w:rsid w:val="001F141D"/>
    <w:rsid w:val="001F2A1F"/>
    <w:rsid w:val="001F2B4F"/>
    <w:rsid w:val="001F2D36"/>
    <w:rsid w:val="001F32BF"/>
    <w:rsid w:val="001F6581"/>
    <w:rsid w:val="001F7512"/>
    <w:rsid w:val="001F79AA"/>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1253"/>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397A"/>
    <w:rsid w:val="002A6E10"/>
    <w:rsid w:val="002B01D8"/>
    <w:rsid w:val="002B1A83"/>
    <w:rsid w:val="002B1C7A"/>
    <w:rsid w:val="002B397E"/>
    <w:rsid w:val="002B440F"/>
    <w:rsid w:val="002B64A8"/>
    <w:rsid w:val="002C0754"/>
    <w:rsid w:val="002C084A"/>
    <w:rsid w:val="002C0907"/>
    <w:rsid w:val="002C0F09"/>
    <w:rsid w:val="002C1768"/>
    <w:rsid w:val="002C2DAA"/>
    <w:rsid w:val="002C438F"/>
    <w:rsid w:val="002C782A"/>
    <w:rsid w:val="002C799C"/>
    <w:rsid w:val="002D1207"/>
    <w:rsid w:val="002D1275"/>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616"/>
    <w:rsid w:val="00325B78"/>
    <w:rsid w:val="00326A72"/>
    <w:rsid w:val="00327A3E"/>
    <w:rsid w:val="00327DF4"/>
    <w:rsid w:val="00327F7E"/>
    <w:rsid w:val="00331C50"/>
    <w:rsid w:val="00331EAA"/>
    <w:rsid w:val="0033271C"/>
    <w:rsid w:val="0033347C"/>
    <w:rsid w:val="00333E36"/>
    <w:rsid w:val="00334235"/>
    <w:rsid w:val="00342CBA"/>
    <w:rsid w:val="00343997"/>
    <w:rsid w:val="00344461"/>
    <w:rsid w:val="003464D5"/>
    <w:rsid w:val="003505A5"/>
    <w:rsid w:val="00350E58"/>
    <w:rsid w:val="00351CCF"/>
    <w:rsid w:val="00352C16"/>
    <w:rsid w:val="003532A3"/>
    <w:rsid w:val="00353591"/>
    <w:rsid w:val="00354A44"/>
    <w:rsid w:val="003559C3"/>
    <w:rsid w:val="00355E38"/>
    <w:rsid w:val="00357378"/>
    <w:rsid w:val="00357BC7"/>
    <w:rsid w:val="00363318"/>
    <w:rsid w:val="00365C58"/>
    <w:rsid w:val="0036697D"/>
    <w:rsid w:val="00366D39"/>
    <w:rsid w:val="003677C0"/>
    <w:rsid w:val="00367DD2"/>
    <w:rsid w:val="00367E2C"/>
    <w:rsid w:val="00370B4F"/>
    <w:rsid w:val="0037193D"/>
    <w:rsid w:val="00371D07"/>
    <w:rsid w:val="00371EC6"/>
    <w:rsid w:val="00371ED5"/>
    <w:rsid w:val="00372E3E"/>
    <w:rsid w:val="003749A9"/>
    <w:rsid w:val="00377542"/>
    <w:rsid w:val="00386439"/>
    <w:rsid w:val="00386A86"/>
    <w:rsid w:val="00390432"/>
    <w:rsid w:val="00390719"/>
    <w:rsid w:val="003928DF"/>
    <w:rsid w:val="00392C0F"/>
    <w:rsid w:val="0039339F"/>
    <w:rsid w:val="003962D5"/>
    <w:rsid w:val="003A1C92"/>
    <w:rsid w:val="003A3022"/>
    <w:rsid w:val="003A3EFD"/>
    <w:rsid w:val="003A6148"/>
    <w:rsid w:val="003A733C"/>
    <w:rsid w:val="003A797A"/>
    <w:rsid w:val="003B18F6"/>
    <w:rsid w:val="003B2407"/>
    <w:rsid w:val="003B318D"/>
    <w:rsid w:val="003B374D"/>
    <w:rsid w:val="003B3CAD"/>
    <w:rsid w:val="003B3D76"/>
    <w:rsid w:val="003B77F3"/>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4E0F"/>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17F9F"/>
    <w:rsid w:val="0042179E"/>
    <w:rsid w:val="00421C84"/>
    <w:rsid w:val="004239F5"/>
    <w:rsid w:val="004254CB"/>
    <w:rsid w:val="00425D00"/>
    <w:rsid w:val="00427D57"/>
    <w:rsid w:val="004307A3"/>
    <w:rsid w:val="00431DC0"/>
    <w:rsid w:val="00432722"/>
    <w:rsid w:val="004334EC"/>
    <w:rsid w:val="004340C3"/>
    <w:rsid w:val="004344F1"/>
    <w:rsid w:val="00434ACE"/>
    <w:rsid w:val="00436C40"/>
    <w:rsid w:val="0043746E"/>
    <w:rsid w:val="004419FB"/>
    <w:rsid w:val="004432D0"/>
    <w:rsid w:val="00443D7D"/>
    <w:rsid w:val="00445451"/>
    <w:rsid w:val="00446D95"/>
    <w:rsid w:val="00451215"/>
    <w:rsid w:val="00452DBD"/>
    <w:rsid w:val="00453D1D"/>
    <w:rsid w:val="004542A1"/>
    <w:rsid w:val="004549DF"/>
    <w:rsid w:val="00454D30"/>
    <w:rsid w:val="00457352"/>
    <w:rsid w:val="0046082E"/>
    <w:rsid w:val="00462135"/>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87C6F"/>
    <w:rsid w:val="004906C4"/>
    <w:rsid w:val="00494FA6"/>
    <w:rsid w:val="00496B25"/>
    <w:rsid w:val="00496D82"/>
    <w:rsid w:val="004A07AB"/>
    <w:rsid w:val="004A65D7"/>
    <w:rsid w:val="004B388E"/>
    <w:rsid w:val="004B62CB"/>
    <w:rsid w:val="004B6544"/>
    <w:rsid w:val="004C0D5A"/>
    <w:rsid w:val="004C1A15"/>
    <w:rsid w:val="004C27F1"/>
    <w:rsid w:val="004C3C4A"/>
    <w:rsid w:val="004C4A0F"/>
    <w:rsid w:val="004C6542"/>
    <w:rsid w:val="004D0579"/>
    <w:rsid w:val="004D0F65"/>
    <w:rsid w:val="004D2D86"/>
    <w:rsid w:val="004D3208"/>
    <w:rsid w:val="004D73CA"/>
    <w:rsid w:val="004D7A1C"/>
    <w:rsid w:val="004E08FD"/>
    <w:rsid w:val="004E131A"/>
    <w:rsid w:val="004E231D"/>
    <w:rsid w:val="004E3ABE"/>
    <w:rsid w:val="004E3FD5"/>
    <w:rsid w:val="004E4528"/>
    <w:rsid w:val="004E5BE5"/>
    <w:rsid w:val="004F02E3"/>
    <w:rsid w:val="004F1743"/>
    <w:rsid w:val="004F2140"/>
    <w:rsid w:val="004F2ED3"/>
    <w:rsid w:val="004F458A"/>
    <w:rsid w:val="004F4E5A"/>
    <w:rsid w:val="004F7007"/>
    <w:rsid w:val="005030B1"/>
    <w:rsid w:val="00503979"/>
    <w:rsid w:val="005043F9"/>
    <w:rsid w:val="00506A9D"/>
    <w:rsid w:val="005113A3"/>
    <w:rsid w:val="00514CF8"/>
    <w:rsid w:val="00517167"/>
    <w:rsid w:val="00520016"/>
    <w:rsid w:val="005213D4"/>
    <w:rsid w:val="005215B8"/>
    <w:rsid w:val="005221B4"/>
    <w:rsid w:val="005222B6"/>
    <w:rsid w:val="005248CC"/>
    <w:rsid w:val="005266D4"/>
    <w:rsid w:val="00526E92"/>
    <w:rsid w:val="005303D1"/>
    <w:rsid w:val="00530E6A"/>
    <w:rsid w:val="0053159D"/>
    <w:rsid w:val="005378A4"/>
    <w:rsid w:val="00540285"/>
    <w:rsid w:val="00540709"/>
    <w:rsid w:val="005435FB"/>
    <w:rsid w:val="00546AE8"/>
    <w:rsid w:val="00550995"/>
    <w:rsid w:val="00550B96"/>
    <w:rsid w:val="00552750"/>
    <w:rsid w:val="0055353E"/>
    <w:rsid w:val="00553FA0"/>
    <w:rsid w:val="00554FBF"/>
    <w:rsid w:val="005559B3"/>
    <w:rsid w:val="00555BA2"/>
    <w:rsid w:val="00555E69"/>
    <w:rsid w:val="00556041"/>
    <w:rsid w:val="00556925"/>
    <w:rsid w:val="00556D92"/>
    <w:rsid w:val="0055734F"/>
    <w:rsid w:val="00561B52"/>
    <w:rsid w:val="005622B6"/>
    <w:rsid w:val="00562DCF"/>
    <w:rsid w:val="00565596"/>
    <w:rsid w:val="00566616"/>
    <w:rsid w:val="00566BEE"/>
    <w:rsid w:val="005677AD"/>
    <w:rsid w:val="00571308"/>
    <w:rsid w:val="005730A9"/>
    <w:rsid w:val="0057704C"/>
    <w:rsid w:val="005803F4"/>
    <w:rsid w:val="00581FB9"/>
    <w:rsid w:val="005847BA"/>
    <w:rsid w:val="00585A88"/>
    <w:rsid w:val="0059053F"/>
    <w:rsid w:val="0059102D"/>
    <w:rsid w:val="005916C4"/>
    <w:rsid w:val="00591CD5"/>
    <w:rsid w:val="0059486A"/>
    <w:rsid w:val="00595C87"/>
    <w:rsid w:val="00597B85"/>
    <w:rsid w:val="005A098B"/>
    <w:rsid w:val="005A3605"/>
    <w:rsid w:val="005A373E"/>
    <w:rsid w:val="005A4328"/>
    <w:rsid w:val="005A7A85"/>
    <w:rsid w:val="005B04E6"/>
    <w:rsid w:val="005B2034"/>
    <w:rsid w:val="005B2081"/>
    <w:rsid w:val="005B2727"/>
    <w:rsid w:val="005B7208"/>
    <w:rsid w:val="005B766D"/>
    <w:rsid w:val="005C5145"/>
    <w:rsid w:val="005C689C"/>
    <w:rsid w:val="005D2142"/>
    <w:rsid w:val="005D2220"/>
    <w:rsid w:val="005D3D69"/>
    <w:rsid w:val="005D5CC3"/>
    <w:rsid w:val="005E1405"/>
    <w:rsid w:val="005E4F62"/>
    <w:rsid w:val="005E5653"/>
    <w:rsid w:val="005F02EA"/>
    <w:rsid w:val="005F39AA"/>
    <w:rsid w:val="005F3AD5"/>
    <w:rsid w:val="005F62D9"/>
    <w:rsid w:val="005F6C53"/>
    <w:rsid w:val="00601DA1"/>
    <w:rsid w:val="00601E16"/>
    <w:rsid w:val="00602B88"/>
    <w:rsid w:val="006038C3"/>
    <w:rsid w:val="00604E3F"/>
    <w:rsid w:val="00605B0C"/>
    <w:rsid w:val="00606C72"/>
    <w:rsid w:val="00607B97"/>
    <w:rsid w:val="00607CA9"/>
    <w:rsid w:val="00611423"/>
    <w:rsid w:val="00611677"/>
    <w:rsid w:val="00611CEA"/>
    <w:rsid w:val="006132D5"/>
    <w:rsid w:val="0061396F"/>
    <w:rsid w:val="006140CC"/>
    <w:rsid w:val="0061438B"/>
    <w:rsid w:val="00614DDD"/>
    <w:rsid w:val="006212EC"/>
    <w:rsid w:val="00621934"/>
    <w:rsid w:val="006224D2"/>
    <w:rsid w:val="00624228"/>
    <w:rsid w:val="006259CB"/>
    <w:rsid w:val="00626425"/>
    <w:rsid w:val="00627DBF"/>
    <w:rsid w:val="006305AC"/>
    <w:rsid w:val="00632249"/>
    <w:rsid w:val="00634488"/>
    <w:rsid w:val="00635709"/>
    <w:rsid w:val="006367A1"/>
    <w:rsid w:val="00637A2B"/>
    <w:rsid w:val="006411E7"/>
    <w:rsid w:val="00641FA1"/>
    <w:rsid w:val="006424F1"/>
    <w:rsid w:val="00646484"/>
    <w:rsid w:val="0064649E"/>
    <w:rsid w:val="00646DF1"/>
    <w:rsid w:val="00647036"/>
    <w:rsid w:val="006504A9"/>
    <w:rsid w:val="00656429"/>
    <w:rsid w:val="00656F9A"/>
    <w:rsid w:val="00660F8B"/>
    <w:rsid w:val="006620BA"/>
    <w:rsid w:val="00662717"/>
    <w:rsid w:val="00662A0F"/>
    <w:rsid w:val="00664560"/>
    <w:rsid w:val="0066529D"/>
    <w:rsid w:val="006662A1"/>
    <w:rsid w:val="00667665"/>
    <w:rsid w:val="00673644"/>
    <w:rsid w:val="00673746"/>
    <w:rsid w:val="00673BD7"/>
    <w:rsid w:val="0067414F"/>
    <w:rsid w:val="00674566"/>
    <w:rsid w:val="006748D6"/>
    <w:rsid w:val="00675885"/>
    <w:rsid w:val="0068156F"/>
    <w:rsid w:val="006827D6"/>
    <w:rsid w:val="006837BA"/>
    <w:rsid w:val="006845DD"/>
    <w:rsid w:val="006857D6"/>
    <w:rsid w:val="00695707"/>
    <w:rsid w:val="00695780"/>
    <w:rsid w:val="006958B8"/>
    <w:rsid w:val="00695E91"/>
    <w:rsid w:val="006A2263"/>
    <w:rsid w:val="006A3AEA"/>
    <w:rsid w:val="006A609D"/>
    <w:rsid w:val="006A62A6"/>
    <w:rsid w:val="006A7859"/>
    <w:rsid w:val="006B1357"/>
    <w:rsid w:val="006B324A"/>
    <w:rsid w:val="006B4060"/>
    <w:rsid w:val="006B5E4E"/>
    <w:rsid w:val="006B6E2A"/>
    <w:rsid w:val="006B788D"/>
    <w:rsid w:val="006C082D"/>
    <w:rsid w:val="006C19EA"/>
    <w:rsid w:val="006C1C6C"/>
    <w:rsid w:val="006C27D1"/>
    <w:rsid w:val="006C2816"/>
    <w:rsid w:val="006C4485"/>
    <w:rsid w:val="006C51E4"/>
    <w:rsid w:val="006C632A"/>
    <w:rsid w:val="006D0194"/>
    <w:rsid w:val="006D0CE5"/>
    <w:rsid w:val="006D11CD"/>
    <w:rsid w:val="006D1F47"/>
    <w:rsid w:val="006D2BE4"/>
    <w:rsid w:val="006D4512"/>
    <w:rsid w:val="006D6E03"/>
    <w:rsid w:val="006E1102"/>
    <w:rsid w:val="006E55E8"/>
    <w:rsid w:val="006F1B08"/>
    <w:rsid w:val="006F36D3"/>
    <w:rsid w:val="006F4638"/>
    <w:rsid w:val="006F6F4F"/>
    <w:rsid w:val="006F774D"/>
    <w:rsid w:val="00702DD7"/>
    <w:rsid w:val="00703A67"/>
    <w:rsid w:val="00703F25"/>
    <w:rsid w:val="00704D7F"/>
    <w:rsid w:val="007066B5"/>
    <w:rsid w:val="00710D35"/>
    <w:rsid w:val="00713346"/>
    <w:rsid w:val="00716D3B"/>
    <w:rsid w:val="00722704"/>
    <w:rsid w:val="00723B1D"/>
    <w:rsid w:val="00731F99"/>
    <w:rsid w:val="00732DA2"/>
    <w:rsid w:val="00736572"/>
    <w:rsid w:val="00736608"/>
    <w:rsid w:val="00736E3E"/>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246F"/>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8A"/>
    <w:rsid w:val="00822AB2"/>
    <w:rsid w:val="00822B2B"/>
    <w:rsid w:val="00824FDE"/>
    <w:rsid w:val="008253FA"/>
    <w:rsid w:val="0082588A"/>
    <w:rsid w:val="00826E64"/>
    <w:rsid w:val="00827565"/>
    <w:rsid w:val="008276B4"/>
    <w:rsid w:val="00827F46"/>
    <w:rsid w:val="00831A98"/>
    <w:rsid w:val="00835495"/>
    <w:rsid w:val="008436D1"/>
    <w:rsid w:val="00844951"/>
    <w:rsid w:val="00847C44"/>
    <w:rsid w:val="00847C56"/>
    <w:rsid w:val="008524D9"/>
    <w:rsid w:val="00853093"/>
    <w:rsid w:val="00861559"/>
    <w:rsid w:val="00864D27"/>
    <w:rsid w:val="0086578E"/>
    <w:rsid w:val="00865A22"/>
    <w:rsid w:val="00865F42"/>
    <w:rsid w:val="008663FA"/>
    <w:rsid w:val="008667D3"/>
    <w:rsid w:val="00866D71"/>
    <w:rsid w:val="00872D8F"/>
    <w:rsid w:val="00872EAF"/>
    <w:rsid w:val="00875A9F"/>
    <w:rsid w:val="00881FEF"/>
    <w:rsid w:val="00884B02"/>
    <w:rsid w:val="00886530"/>
    <w:rsid w:val="0088667C"/>
    <w:rsid w:val="00886917"/>
    <w:rsid w:val="00886EAA"/>
    <w:rsid w:val="00890371"/>
    <w:rsid w:val="00890E0F"/>
    <w:rsid w:val="0089172A"/>
    <w:rsid w:val="008929A7"/>
    <w:rsid w:val="0089384B"/>
    <w:rsid w:val="00897455"/>
    <w:rsid w:val="008A35AA"/>
    <w:rsid w:val="008A3777"/>
    <w:rsid w:val="008A4553"/>
    <w:rsid w:val="008B2070"/>
    <w:rsid w:val="008B23EF"/>
    <w:rsid w:val="008B2FEF"/>
    <w:rsid w:val="008B3CDD"/>
    <w:rsid w:val="008B50EA"/>
    <w:rsid w:val="008C0C03"/>
    <w:rsid w:val="008C71A7"/>
    <w:rsid w:val="008C72FF"/>
    <w:rsid w:val="008D0810"/>
    <w:rsid w:val="008D2EA1"/>
    <w:rsid w:val="008D4429"/>
    <w:rsid w:val="008D682A"/>
    <w:rsid w:val="008D696E"/>
    <w:rsid w:val="008D769B"/>
    <w:rsid w:val="008E00A7"/>
    <w:rsid w:val="008E0352"/>
    <w:rsid w:val="008E3E70"/>
    <w:rsid w:val="008E6BDD"/>
    <w:rsid w:val="008E6F35"/>
    <w:rsid w:val="008E7FA1"/>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05E8"/>
    <w:rsid w:val="00913D49"/>
    <w:rsid w:val="0091567A"/>
    <w:rsid w:val="00916A1B"/>
    <w:rsid w:val="00917135"/>
    <w:rsid w:val="009202B7"/>
    <w:rsid w:val="009230E5"/>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8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2800"/>
    <w:rsid w:val="009A30DA"/>
    <w:rsid w:val="009A5496"/>
    <w:rsid w:val="009A5870"/>
    <w:rsid w:val="009A5C6A"/>
    <w:rsid w:val="009A72FF"/>
    <w:rsid w:val="009B15A5"/>
    <w:rsid w:val="009B2161"/>
    <w:rsid w:val="009B261B"/>
    <w:rsid w:val="009B33F0"/>
    <w:rsid w:val="009B5534"/>
    <w:rsid w:val="009B5614"/>
    <w:rsid w:val="009B76D2"/>
    <w:rsid w:val="009C148D"/>
    <w:rsid w:val="009C4184"/>
    <w:rsid w:val="009C4CCC"/>
    <w:rsid w:val="009C4D5D"/>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3DB0"/>
    <w:rsid w:val="009F5200"/>
    <w:rsid w:val="009F527B"/>
    <w:rsid w:val="009F54F9"/>
    <w:rsid w:val="00A037E1"/>
    <w:rsid w:val="00A039CD"/>
    <w:rsid w:val="00A0497F"/>
    <w:rsid w:val="00A04FD9"/>
    <w:rsid w:val="00A06405"/>
    <w:rsid w:val="00A10026"/>
    <w:rsid w:val="00A10B82"/>
    <w:rsid w:val="00A13228"/>
    <w:rsid w:val="00A13DCC"/>
    <w:rsid w:val="00A161D3"/>
    <w:rsid w:val="00A20267"/>
    <w:rsid w:val="00A21518"/>
    <w:rsid w:val="00A233EB"/>
    <w:rsid w:val="00A25549"/>
    <w:rsid w:val="00A25F53"/>
    <w:rsid w:val="00A268F2"/>
    <w:rsid w:val="00A27A58"/>
    <w:rsid w:val="00A303E5"/>
    <w:rsid w:val="00A32C0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0BA7"/>
    <w:rsid w:val="00A83261"/>
    <w:rsid w:val="00A83AE2"/>
    <w:rsid w:val="00A85BF2"/>
    <w:rsid w:val="00A86555"/>
    <w:rsid w:val="00A87854"/>
    <w:rsid w:val="00A901FF"/>
    <w:rsid w:val="00A902FD"/>
    <w:rsid w:val="00A90C15"/>
    <w:rsid w:val="00A92336"/>
    <w:rsid w:val="00A94934"/>
    <w:rsid w:val="00A94EE3"/>
    <w:rsid w:val="00A963C4"/>
    <w:rsid w:val="00A96EC4"/>
    <w:rsid w:val="00A9733E"/>
    <w:rsid w:val="00AA00C1"/>
    <w:rsid w:val="00AA06B3"/>
    <w:rsid w:val="00AA23F2"/>
    <w:rsid w:val="00AA5252"/>
    <w:rsid w:val="00AB0858"/>
    <w:rsid w:val="00AB2A46"/>
    <w:rsid w:val="00AB38E7"/>
    <w:rsid w:val="00AB7A62"/>
    <w:rsid w:val="00AC0802"/>
    <w:rsid w:val="00AC160A"/>
    <w:rsid w:val="00AC48B9"/>
    <w:rsid w:val="00AC4A47"/>
    <w:rsid w:val="00AC5048"/>
    <w:rsid w:val="00AC6648"/>
    <w:rsid w:val="00AC6ACB"/>
    <w:rsid w:val="00AC6FDC"/>
    <w:rsid w:val="00AC76DE"/>
    <w:rsid w:val="00AC7FFA"/>
    <w:rsid w:val="00AD2515"/>
    <w:rsid w:val="00AD352B"/>
    <w:rsid w:val="00AD4A06"/>
    <w:rsid w:val="00AD5119"/>
    <w:rsid w:val="00AD6A1A"/>
    <w:rsid w:val="00AE3BBE"/>
    <w:rsid w:val="00AE5186"/>
    <w:rsid w:val="00AE51A0"/>
    <w:rsid w:val="00AE58E1"/>
    <w:rsid w:val="00AF0459"/>
    <w:rsid w:val="00AF2BE9"/>
    <w:rsid w:val="00AF2EDB"/>
    <w:rsid w:val="00AF42DA"/>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5517"/>
    <w:rsid w:val="00B362A4"/>
    <w:rsid w:val="00B378E1"/>
    <w:rsid w:val="00B4667C"/>
    <w:rsid w:val="00B508BC"/>
    <w:rsid w:val="00B51F1F"/>
    <w:rsid w:val="00B52A6F"/>
    <w:rsid w:val="00B53466"/>
    <w:rsid w:val="00B57460"/>
    <w:rsid w:val="00B57A86"/>
    <w:rsid w:val="00B57EA4"/>
    <w:rsid w:val="00B60CAE"/>
    <w:rsid w:val="00B64BBB"/>
    <w:rsid w:val="00B6572D"/>
    <w:rsid w:val="00B6627B"/>
    <w:rsid w:val="00B67EAC"/>
    <w:rsid w:val="00B713F9"/>
    <w:rsid w:val="00B725B9"/>
    <w:rsid w:val="00B72E29"/>
    <w:rsid w:val="00B7394E"/>
    <w:rsid w:val="00B76A24"/>
    <w:rsid w:val="00B8145F"/>
    <w:rsid w:val="00B8243F"/>
    <w:rsid w:val="00B841A9"/>
    <w:rsid w:val="00B84C0E"/>
    <w:rsid w:val="00B86DF9"/>
    <w:rsid w:val="00B94476"/>
    <w:rsid w:val="00B961F4"/>
    <w:rsid w:val="00B97216"/>
    <w:rsid w:val="00BA46F3"/>
    <w:rsid w:val="00BA6526"/>
    <w:rsid w:val="00BB1BFC"/>
    <w:rsid w:val="00BB21E7"/>
    <w:rsid w:val="00BB329F"/>
    <w:rsid w:val="00BC6CE3"/>
    <w:rsid w:val="00BD0931"/>
    <w:rsid w:val="00BD5195"/>
    <w:rsid w:val="00BD5B5F"/>
    <w:rsid w:val="00BE059D"/>
    <w:rsid w:val="00BE3049"/>
    <w:rsid w:val="00BE31E8"/>
    <w:rsid w:val="00BE41B3"/>
    <w:rsid w:val="00BE52BC"/>
    <w:rsid w:val="00BE5CE3"/>
    <w:rsid w:val="00BF2EB5"/>
    <w:rsid w:val="00BF303E"/>
    <w:rsid w:val="00BF439A"/>
    <w:rsid w:val="00BF5CAD"/>
    <w:rsid w:val="00BF7B8F"/>
    <w:rsid w:val="00C002BD"/>
    <w:rsid w:val="00C0132B"/>
    <w:rsid w:val="00C01DB3"/>
    <w:rsid w:val="00C02B65"/>
    <w:rsid w:val="00C0377D"/>
    <w:rsid w:val="00C04E7F"/>
    <w:rsid w:val="00C0539C"/>
    <w:rsid w:val="00C05960"/>
    <w:rsid w:val="00C13C8B"/>
    <w:rsid w:val="00C169CD"/>
    <w:rsid w:val="00C17620"/>
    <w:rsid w:val="00C273CC"/>
    <w:rsid w:val="00C315E9"/>
    <w:rsid w:val="00C3180D"/>
    <w:rsid w:val="00C325B9"/>
    <w:rsid w:val="00C33B54"/>
    <w:rsid w:val="00C348D2"/>
    <w:rsid w:val="00C3564E"/>
    <w:rsid w:val="00C3703F"/>
    <w:rsid w:val="00C427B6"/>
    <w:rsid w:val="00C43018"/>
    <w:rsid w:val="00C4420B"/>
    <w:rsid w:val="00C4544F"/>
    <w:rsid w:val="00C45E81"/>
    <w:rsid w:val="00C46747"/>
    <w:rsid w:val="00C46A1B"/>
    <w:rsid w:val="00C47A65"/>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33E4"/>
    <w:rsid w:val="00C83E86"/>
    <w:rsid w:val="00C86C23"/>
    <w:rsid w:val="00C8745B"/>
    <w:rsid w:val="00C879BA"/>
    <w:rsid w:val="00C87F34"/>
    <w:rsid w:val="00C9344D"/>
    <w:rsid w:val="00CA184C"/>
    <w:rsid w:val="00CA200C"/>
    <w:rsid w:val="00CA3D1C"/>
    <w:rsid w:val="00CA4149"/>
    <w:rsid w:val="00CA4831"/>
    <w:rsid w:val="00CA4E43"/>
    <w:rsid w:val="00CA6AB3"/>
    <w:rsid w:val="00CA6AE2"/>
    <w:rsid w:val="00CB25B8"/>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3F60"/>
    <w:rsid w:val="00CD585F"/>
    <w:rsid w:val="00CD6407"/>
    <w:rsid w:val="00CD680A"/>
    <w:rsid w:val="00CE0FC7"/>
    <w:rsid w:val="00CE2DE5"/>
    <w:rsid w:val="00CE433D"/>
    <w:rsid w:val="00CE50FA"/>
    <w:rsid w:val="00CE64A8"/>
    <w:rsid w:val="00CF1707"/>
    <w:rsid w:val="00CF2220"/>
    <w:rsid w:val="00CF242D"/>
    <w:rsid w:val="00CF2DF7"/>
    <w:rsid w:val="00CF48EF"/>
    <w:rsid w:val="00CF6984"/>
    <w:rsid w:val="00D02716"/>
    <w:rsid w:val="00D0390E"/>
    <w:rsid w:val="00D071FF"/>
    <w:rsid w:val="00D076A0"/>
    <w:rsid w:val="00D12C1D"/>
    <w:rsid w:val="00D153A1"/>
    <w:rsid w:val="00D15D01"/>
    <w:rsid w:val="00D201F4"/>
    <w:rsid w:val="00D20D5E"/>
    <w:rsid w:val="00D21C3E"/>
    <w:rsid w:val="00D24C41"/>
    <w:rsid w:val="00D250D0"/>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476FA"/>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1E6B"/>
    <w:rsid w:val="00D72B9B"/>
    <w:rsid w:val="00D72D13"/>
    <w:rsid w:val="00D72F9D"/>
    <w:rsid w:val="00D73195"/>
    <w:rsid w:val="00D73D18"/>
    <w:rsid w:val="00D74935"/>
    <w:rsid w:val="00D74B31"/>
    <w:rsid w:val="00D81268"/>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2F5F"/>
    <w:rsid w:val="00DB36A1"/>
    <w:rsid w:val="00DB371C"/>
    <w:rsid w:val="00DB6A8E"/>
    <w:rsid w:val="00DC09FD"/>
    <w:rsid w:val="00DC1499"/>
    <w:rsid w:val="00DC18B9"/>
    <w:rsid w:val="00DC18DB"/>
    <w:rsid w:val="00DC29D9"/>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5FCF"/>
    <w:rsid w:val="00DE633F"/>
    <w:rsid w:val="00DE702B"/>
    <w:rsid w:val="00DF1293"/>
    <w:rsid w:val="00DF2A40"/>
    <w:rsid w:val="00DF304F"/>
    <w:rsid w:val="00DF38F8"/>
    <w:rsid w:val="00DF45B1"/>
    <w:rsid w:val="00DF5641"/>
    <w:rsid w:val="00DF7BE4"/>
    <w:rsid w:val="00E009F7"/>
    <w:rsid w:val="00E01803"/>
    <w:rsid w:val="00E02857"/>
    <w:rsid w:val="00E07A0D"/>
    <w:rsid w:val="00E102A0"/>
    <w:rsid w:val="00E10FD6"/>
    <w:rsid w:val="00E12766"/>
    <w:rsid w:val="00E14466"/>
    <w:rsid w:val="00E14B36"/>
    <w:rsid w:val="00E15CB2"/>
    <w:rsid w:val="00E16212"/>
    <w:rsid w:val="00E174CD"/>
    <w:rsid w:val="00E22407"/>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51B"/>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86CD1"/>
    <w:rsid w:val="00E94FCE"/>
    <w:rsid w:val="00E953B4"/>
    <w:rsid w:val="00E9733B"/>
    <w:rsid w:val="00EA478E"/>
    <w:rsid w:val="00EA5748"/>
    <w:rsid w:val="00EA71F7"/>
    <w:rsid w:val="00EB12C5"/>
    <w:rsid w:val="00EB13D2"/>
    <w:rsid w:val="00EB1C04"/>
    <w:rsid w:val="00EB38E8"/>
    <w:rsid w:val="00EB41A1"/>
    <w:rsid w:val="00EB5346"/>
    <w:rsid w:val="00EB7500"/>
    <w:rsid w:val="00EC02DA"/>
    <w:rsid w:val="00EC0806"/>
    <w:rsid w:val="00EC0E9A"/>
    <w:rsid w:val="00EC35C2"/>
    <w:rsid w:val="00EC3DA3"/>
    <w:rsid w:val="00EC5CCC"/>
    <w:rsid w:val="00ED00EB"/>
    <w:rsid w:val="00ED0C88"/>
    <w:rsid w:val="00ED161A"/>
    <w:rsid w:val="00ED60A1"/>
    <w:rsid w:val="00ED6B62"/>
    <w:rsid w:val="00ED759A"/>
    <w:rsid w:val="00ED7A4A"/>
    <w:rsid w:val="00EE0269"/>
    <w:rsid w:val="00EE211E"/>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276A7"/>
    <w:rsid w:val="00F32B8F"/>
    <w:rsid w:val="00F3334E"/>
    <w:rsid w:val="00F35928"/>
    <w:rsid w:val="00F37574"/>
    <w:rsid w:val="00F42802"/>
    <w:rsid w:val="00F45010"/>
    <w:rsid w:val="00F46BD2"/>
    <w:rsid w:val="00F47904"/>
    <w:rsid w:val="00F52598"/>
    <w:rsid w:val="00F53671"/>
    <w:rsid w:val="00F554A3"/>
    <w:rsid w:val="00F559B1"/>
    <w:rsid w:val="00F562CC"/>
    <w:rsid w:val="00F56458"/>
    <w:rsid w:val="00F5696E"/>
    <w:rsid w:val="00F5736C"/>
    <w:rsid w:val="00F57BAE"/>
    <w:rsid w:val="00F61C4E"/>
    <w:rsid w:val="00F61F55"/>
    <w:rsid w:val="00F6295C"/>
    <w:rsid w:val="00F655F5"/>
    <w:rsid w:val="00F677AE"/>
    <w:rsid w:val="00F71129"/>
    <w:rsid w:val="00F76506"/>
    <w:rsid w:val="00F77AB2"/>
    <w:rsid w:val="00F80437"/>
    <w:rsid w:val="00F808D9"/>
    <w:rsid w:val="00F80BE3"/>
    <w:rsid w:val="00F8118C"/>
    <w:rsid w:val="00F8348C"/>
    <w:rsid w:val="00F86EA6"/>
    <w:rsid w:val="00F87422"/>
    <w:rsid w:val="00F90D8B"/>
    <w:rsid w:val="00F919AC"/>
    <w:rsid w:val="00F92807"/>
    <w:rsid w:val="00F92CCB"/>
    <w:rsid w:val="00F92D34"/>
    <w:rsid w:val="00F93644"/>
    <w:rsid w:val="00F93F13"/>
    <w:rsid w:val="00F94719"/>
    <w:rsid w:val="00F961CD"/>
    <w:rsid w:val="00F974D6"/>
    <w:rsid w:val="00F97F5F"/>
    <w:rsid w:val="00FA20E0"/>
    <w:rsid w:val="00FA371A"/>
    <w:rsid w:val="00FA588E"/>
    <w:rsid w:val="00FA6603"/>
    <w:rsid w:val="00FA67CF"/>
    <w:rsid w:val="00FA6943"/>
    <w:rsid w:val="00FA759F"/>
    <w:rsid w:val="00FB360B"/>
    <w:rsid w:val="00FB389B"/>
    <w:rsid w:val="00FB433A"/>
    <w:rsid w:val="00FB44D3"/>
    <w:rsid w:val="00FB5917"/>
    <w:rsid w:val="00FC105B"/>
    <w:rsid w:val="00FC761C"/>
    <w:rsid w:val="00FD0BDF"/>
    <w:rsid w:val="00FD13AE"/>
    <w:rsid w:val="00FD3125"/>
    <w:rsid w:val="00FD40A6"/>
    <w:rsid w:val="00FD654D"/>
    <w:rsid w:val="00FD7847"/>
    <w:rsid w:val="00FE09BA"/>
    <w:rsid w:val="00FE1EBD"/>
    <w:rsid w:val="00FE2DA6"/>
    <w:rsid w:val="00FE4DB0"/>
    <w:rsid w:val="00FE6303"/>
    <w:rsid w:val="00FE71D4"/>
    <w:rsid w:val="00FF171F"/>
    <w:rsid w:val="00FF1AC9"/>
    <w:rsid w:val="00FF3265"/>
    <w:rsid w:val="00FF4029"/>
    <w:rsid w:val="00FF5B67"/>
    <w:rsid w:val="050F59D2"/>
    <w:rsid w:val="0C672BC6"/>
    <w:rsid w:val="193105E3"/>
    <w:rsid w:val="642A6C2E"/>
    <w:rsid w:val="6A9242F2"/>
    <w:rsid w:val="7E235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F0C663"/>
  <w15:docId w15:val="{D7554510-709C-4BE4-93C9-2F7F75E85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4">
    <w:name w:val="未处理的提及2"/>
    <w:basedOn w:val="a0"/>
    <w:uiPriority w:val="99"/>
    <w:semiHidden/>
    <w:unhideWhenUsed/>
    <w:qFormat/>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styleId="aff0">
    <w:name w:val="Revision"/>
    <w:hidden/>
    <w:uiPriority w:val="99"/>
    <w:unhideWhenUsed/>
    <w:rsid w:val="00F276A7"/>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5.xml"/><Relationship Id="rId26" Type="http://schemas.openxmlformats.org/officeDocument/2006/relationships/footer" Target="footer11.xml"/><Relationship Id="rId39" Type="http://schemas.openxmlformats.org/officeDocument/2006/relationships/fontTable" Target="fontTable.xml"/><Relationship Id="rId21" Type="http://schemas.openxmlformats.org/officeDocument/2006/relationships/footer" Target="footer8.xml"/><Relationship Id="rId34" Type="http://schemas.openxmlformats.org/officeDocument/2006/relationships/footer" Target="footer19.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footer" Target="footer10.xml"/><Relationship Id="rId33" Type="http://schemas.openxmlformats.org/officeDocument/2006/relationships/footer" Target="footer18.xml"/><Relationship Id="rId38" Type="http://schemas.openxmlformats.org/officeDocument/2006/relationships/footer" Target="footer23.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2.jpeg"/><Relationship Id="rId32" Type="http://schemas.openxmlformats.org/officeDocument/2006/relationships/footer" Target="footer17.xml"/><Relationship Id="rId37" Type="http://schemas.openxmlformats.org/officeDocument/2006/relationships/footer" Target="footer22.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1.jpeg"/><Relationship Id="rId28" Type="http://schemas.openxmlformats.org/officeDocument/2006/relationships/footer" Target="footer13.xml"/><Relationship Id="rId36" Type="http://schemas.openxmlformats.org/officeDocument/2006/relationships/footer" Target="footer2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9.xml"/><Relationship Id="rId27" Type="http://schemas.openxmlformats.org/officeDocument/2006/relationships/footer" Target="footer12.xml"/><Relationship Id="rId30" Type="http://schemas.openxmlformats.org/officeDocument/2006/relationships/footer" Target="footer15.xml"/><Relationship Id="rId35" Type="http://schemas.openxmlformats.org/officeDocument/2006/relationships/footer" Target="footer20.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2FDB0-6857-4596-8CA9-AB84D1869760}">
  <ds:schemaRefs>
    <ds:schemaRef ds:uri="http://schemas.openxmlformats.org/officeDocument/2006/bibliography"/>
  </ds:schemaRefs>
</ds:datastoreItem>
</file>

<file path=customXml/itemProps2.xml><?xml version="1.0" encoding="utf-8"?>
<ds:datastoreItem xmlns:ds="http://schemas.openxmlformats.org/officeDocument/2006/customXml" ds:itemID="{1E237120-3286-4DA3-8A29-FD9643C99384}">
  <ds:schemaRefs>
    <ds:schemaRef ds:uri="http://schemas.openxmlformats.org/officeDocument/2006/bibliography"/>
  </ds:schemaRefs>
</ds:datastoreItem>
</file>

<file path=customXml/itemProps3.xml><?xml version="1.0" encoding="utf-8"?>
<ds:datastoreItem xmlns:ds="http://schemas.openxmlformats.org/officeDocument/2006/customXml" ds:itemID="{8963A8B6-4070-4CEE-93EC-E8E49522EABC}">
  <ds:schemaRefs>
    <ds:schemaRef ds:uri="http://schemas.openxmlformats.org/officeDocument/2006/bibliography"/>
  </ds:schemaRefs>
</ds:datastoreItem>
</file>

<file path=customXml/itemProps4.xml><?xml version="1.0" encoding="utf-8"?>
<ds:datastoreItem xmlns:ds="http://schemas.openxmlformats.org/officeDocument/2006/customXml" ds:itemID="{08A26453-B680-48DA-8C5B-E46AC4D84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116</Pages>
  <Words>39322</Words>
  <Characters>40503</Characters>
  <Application>Microsoft Office Word</Application>
  <DocSecurity>0</DocSecurity>
  <Lines>2025</Lines>
  <Paragraphs>1900</Paragraphs>
  <ScaleCrop>false</ScaleCrop>
  <Company/>
  <LinksUpToDate>false</LinksUpToDate>
  <CharactersWithSpaces>77925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166</cp:revision>
  <cp:lastPrinted>2019-03-01T06:01:00Z</cp:lastPrinted>
  <dcterms:created xsi:type="dcterms:W3CDTF">2023-03-08T04:38:00Z</dcterms:created>
  <dcterms:modified xsi:type="dcterms:W3CDTF">2025-09-19T06:00:00Z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eyJoZGlkIjoiOTJiNGIxMWYyMGQxMGUwNzEzNjg5OWFkODNmZmRmYWEiLCJ1c2VySWQiOiIzNTU5Mzk0MTIifQ==</vt:lpwstr>
  </property>
  <property fmtid="{D5CDD505-2E9C-101B-9397-08002B2CF9AE}" pid="4" name="ICV">
    <vt:lpwstr>BF8FE752C92B45919BA5B87A0007E17F_13</vt:lpwstr>
  </property>
</Properties>
</file>