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6FAA7C" w14:textId="77777777" w:rsidR="009D10D8" w:rsidRDefault="009D10D8">
      <w:pPr>
        <w:tabs>
          <w:tab w:val="left" w:pos="6660"/>
        </w:tabs>
        <w:spacing w:line="360" w:lineRule="auto"/>
        <w:jc w:val="center"/>
        <w:rPr>
          <w:rFonts w:asciiTheme="minorEastAsia" w:hAnsiTheme="minorEastAsia" w:cs="Times New Roman" w:hint="eastAsia"/>
          <w:bCs/>
          <w:sz w:val="48"/>
          <w:szCs w:val="48"/>
        </w:rPr>
      </w:pPr>
    </w:p>
    <w:p w14:paraId="2AEC3B14" w14:textId="77777777" w:rsidR="009D10D8" w:rsidRDefault="009D10D8">
      <w:pPr>
        <w:spacing w:line="360" w:lineRule="auto"/>
        <w:jc w:val="center"/>
        <w:rPr>
          <w:rFonts w:asciiTheme="minorEastAsia" w:hAnsiTheme="minorEastAsia" w:cs="Times New Roman" w:hint="eastAsia"/>
          <w:b/>
          <w:sz w:val="48"/>
          <w:szCs w:val="48"/>
        </w:rPr>
      </w:pPr>
    </w:p>
    <w:p w14:paraId="43A3348C" w14:textId="77777777" w:rsidR="009D10D8" w:rsidRDefault="009D10D8">
      <w:pPr>
        <w:adjustRightInd w:val="0"/>
        <w:snapToGrid w:val="0"/>
        <w:spacing w:line="360" w:lineRule="auto"/>
        <w:jc w:val="center"/>
        <w:rPr>
          <w:rFonts w:asciiTheme="minorEastAsia" w:hAnsiTheme="minorEastAsia" w:cs="Arial" w:hint="eastAsia"/>
          <w:sz w:val="48"/>
          <w:szCs w:val="48"/>
        </w:rPr>
      </w:pPr>
      <w:bookmarkStart w:id="0" w:name="_Toc123701386"/>
      <w:bookmarkStart w:id="1" w:name="_Toc123112227"/>
      <w:bookmarkStart w:id="2" w:name="_Toc139991729"/>
      <w:bookmarkStart w:id="3" w:name="_Toc123112266"/>
    </w:p>
    <w:p w14:paraId="2F73B249" w14:textId="77777777" w:rsidR="00171AF9" w:rsidRDefault="009E4577">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富荣研究优选混合型证券投资基金</w:t>
      </w:r>
    </w:p>
    <w:p w14:paraId="0C0E874B" w14:textId="45044735" w:rsidR="00171AF9" w:rsidRDefault="00171AF9">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更新的</w:t>
      </w:r>
      <w:r w:rsidR="009E4577">
        <w:rPr>
          <w:rFonts w:ascii="Arial" w:eastAsia="宋体" w:hAnsi="宋体" w:cs="Arial" w:hint="eastAsia"/>
          <w:b/>
          <w:sz w:val="48"/>
          <w:szCs w:val="48"/>
        </w:rPr>
        <w:t>招募说明书</w:t>
      </w:r>
    </w:p>
    <w:p w14:paraId="629F239C" w14:textId="79073A97" w:rsidR="009D10D8" w:rsidRDefault="00171AF9">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w:t>
      </w:r>
      <w:r w:rsidR="000901D4">
        <w:rPr>
          <w:rFonts w:ascii="Arial" w:eastAsia="宋体" w:hAnsi="宋体" w:cs="Arial" w:hint="eastAsia"/>
          <w:b/>
          <w:sz w:val="48"/>
          <w:szCs w:val="48"/>
        </w:rPr>
        <w:t>2025</w:t>
      </w:r>
      <w:r w:rsidR="000901D4">
        <w:rPr>
          <w:rFonts w:ascii="Arial" w:eastAsia="宋体" w:hAnsi="宋体" w:cs="Arial" w:hint="eastAsia"/>
          <w:b/>
          <w:sz w:val="48"/>
          <w:szCs w:val="48"/>
        </w:rPr>
        <w:t>年第</w:t>
      </w:r>
      <w:r w:rsidR="000901D4">
        <w:rPr>
          <w:rFonts w:ascii="Arial" w:eastAsia="宋体" w:hAnsi="宋体" w:cs="Arial" w:hint="eastAsia"/>
          <w:b/>
          <w:sz w:val="48"/>
          <w:szCs w:val="48"/>
        </w:rPr>
        <w:t>2</w:t>
      </w:r>
      <w:r w:rsidR="000901D4">
        <w:rPr>
          <w:rFonts w:ascii="Arial" w:eastAsia="宋体" w:hAnsi="宋体" w:cs="Arial" w:hint="eastAsia"/>
          <w:b/>
          <w:sz w:val="48"/>
          <w:szCs w:val="48"/>
        </w:rPr>
        <w:t>号</w:t>
      </w:r>
      <w:r>
        <w:rPr>
          <w:rFonts w:ascii="Arial" w:eastAsia="宋体" w:hAnsi="宋体" w:cs="Arial" w:hint="eastAsia"/>
          <w:b/>
          <w:sz w:val="48"/>
          <w:szCs w:val="48"/>
        </w:rPr>
        <w:t>）</w:t>
      </w:r>
    </w:p>
    <w:p w14:paraId="0E25F735" w14:textId="77777777" w:rsidR="009D10D8" w:rsidRDefault="009D10D8">
      <w:pPr>
        <w:adjustRightInd w:val="0"/>
        <w:snapToGrid w:val="0"/>
        <w:spacing w:line="360" w:lineRule="auto"/>
        <w:jc w:val="center"/>
        <w:rPr>
          <w:rFonts w:asciiTheme="minorEastAsia" w:hAnsiTheme="minorEastAsia" w:cs="Times New Roman" w:hint="eastAsia"/>
          <w:b/>
          <w:sz w:val="36"/>
          <w:szCs w:val="36"/>
        </w:rPr>
      </w:pPr>
    </w:p>
    <w:p w14:paraId="6189766E" w14:textId="77777777" w:rsidR="009D10D8" w:rsidRDefault="009D10D8">
      <w:pPr>
        <w:adjustRightInd w:val="0"/>
        <w:snapToGrid w:val="0"/>
        <w:spacing w:line="360" w:lineRule="auto"/>
        <w:jc w:val="center"/>
        <w:rPr>
          <w:rFonts w:asciiTheme="minorEastAsia" w:hAnsiTheme="minorEastAsia" w:cs="Arial" w:hint="eastAsia"/>
          <w:sz w:val="36"/>
          <w:szCs w:val="36"/>
        </w:rPr>
      </w:pPr>
    </w:p>
    <w:p w14:paraId="7191536B" w14:textId="77777777" w:rsidR="009D10D8" w:rsidRDefault="009D10D8">
      <w:pPr>
        <w:adjustRightInd w:val="0"/>
        <w:snapToGrid w:val="0"/>
        <w:spacing w:line="360" w:lineRule="auto"/>
        <w:jc w:val="center"/>
        <w:rPr>
          <w:rFonts w:asciiTheme="minorEastAsia" w:hAnsiTheme="minorEastAsia" w:cs="Arial" w:hint="eastAsia"/>
          <w:sz w:val="36"/>
          <w:szCs w:val="36"/>
        </w:rPr>
      </w:pPr>
    </w:p>
    <w:p w14:paraId="6F3A1A91" w14:textId="77777777" w:rsidR="009D10D8" w:rsidRDefault="009D10D8">
      <w:pPr>
        <w:adjustRightInd w:val="0"/>
        <w:snapToGrid w:val="0"/>
        <w:spacing w:line="360" w:lineRule="auto"/>
        <w:jc w:val="center"/>
        <w:rPr>
          <w:rFonts w:asciiTheme="minorEastAsia" w:hAnsiTheme="minorEastAsia" w:cs="Arial" w:hint="eastAsia"/>
          <w:sz w:val="36"/>
          <w:szCs w:val="36"/>
        </w:rPr>
      </w:pPr>
    </w:p>
    <w:p w14:paraId="231A1FB1" w14:textId="77777777" w:rsidR="009D10D8" w:rsidRDefault="009D10D8">
      <w:pPr>
        <w:adjustRightInd w:val="0"/>
        <w:snapToGrid w:val="0"/>
        <w:spacing w:line="360" w:lineRule="auto"/>
        <w:jc w:val="center"/>
        <w:rPr>
          <w:rFonts w:asciiTheme="minorEastAsia" w:hAnsiTheme="minorEastAsia" w:cs="Arial" w:hint="eastAsia"/>
          <w:sz w:val="36"/>
          <w:szCs w:val="36"/>
        </w:rPr>
      </w:pPr>
    </w:p>
    <w:p w14:paraId="3C3E9C3F" w14:textId="77777777" w:rsidR="009D10D8" w:rsidRDefault="009D10D8">
      <w:pPr>
        <w:adjustRightInd w:val="0"/>
        <w:snapToGrid w:val="0"/>
        <w:spacing w:line="360" w:lineRule="auto"/>
        <w:jc w:val="center"/>
        <w:rPr>
          <w:rFonts w:asciiTheme="minorEastAsia" w:hAnsiTheme="minorEastAsia" w:cs="Arial" w:hint="eastAsia"/>
          <w:sz w:val="36"/>
          <w:szCs w:val="36"/>
        </w:rPr>
      </w:pPr>
    </w:p>
    <w:p w14:paraId="48FCF9A6" w14:textId="77777777" w:rsidR="009D10D8" w:rsidRDefault="009D10D8">
      <w:pPr>
        <w:adjustRightInd w:val="0"/>
        <w:snapToGrid w:val="0"/>
        <w:spacing w:line="360" w:lineRule="auto"/>
        <w:jc w:val="center"/>
        <w:rPr>
          <w:rFonts w:asciiTheme="minorEastAsia" w:hAnsiTheme="minorEastAsia" w:cs="Arial" w:hint="eastAsia"/>
          <w:sz w:val="36"/>
          <w:szCs w:val="36"/>
        </w:rPr>
      </w:pPr>
    </w:p>
    <w:p w14:paraId="2C022A33" w14:textId="77777777" w:rsidR="009D10D8" w:rsidRDefault="009E4577">
      <w:pPr>
        <w:snapToGrid w:val="0"/>
        <w:spacing w:line="360" w:lineRule="auto"/>
        <w:jc w:val="center"/>
        <w:rPr>
          <w:rFonts w:ascii="Arial" w:eastAsia="宋体" w:hAnsi="Arial" w:cs="Times New Roman"/>
          <w:b/>
          <w:sz w:val="36"/>
          <w:szCs w:val="36"/>
        </w:rPr>
      </w:pPr>
      <w:bookmarkStart w:id="4" w:name="_Toc139992301"/>
      <w:bookmarkStart w:id="5" w:name="_Toc123701383"/>
      <w:bookmarkStart w:id="6" w:name="_Toc139991726"/>
      <w:bookmarkStart w:id="7" w:name="_Toc123112224"/>
      <w:bookmarkStart w:id="8" w:name="_Toc123112263"/>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6A19B8A6" w14:textId="77777777" w:rsidR="009D10D8" w:rsidRDefault="009E4577">
      <w:pPr>
        <w:autoSpaceDE w:val="0"/>
        <w:autoSpaceDN w:val="0"/>
        <w:adjustRightInd w:val="0"/>
        <w:snapToGrid w:val="0"/>
        <w:spacing w:line="360" w:lineRule="auto"/>
        <w:jc w:val="center"/>
        <w:rPr>
          <w:rFonts w:ascii="Arial" w:eastAsia="宋体" w:hAnsi="Arial" w:cs="Arial"/>
          <w:b/>
          <w:bCs/>
          <w:sz w:val="36"/>
          <w:szCs w:val="36"/>
        </w:rPr>
      </w:pPr>
      <w:bookmarkStart w:id="9" w:name="_Toc139991727"/>
      <w:bookmarkStart w:id="10" w:name="_Toc123112225"/>
      <w:bookmarkStart w:id="11" w:name="_Toc123112264"/>
      <w:bookmarkStart w:id="12" w:name="_Toc139992302"/>
      <w:bookmarkStart w:id="13" w:name="_Toc123701384"/>
      <w:r>
        <w:rPr>
          <w:rFonts w:ascii="Arial" w:eastAsia="宋体" w:hAnsi="Arial" w:cs="Times New Roman" w:hint="eastAsia"/>
          <w:b/>
          <w:sz w:val="36"/>
          <w:szCs w:val="36"/>
        </w:rPr>
        <w:t>基金托管人：</w:t>
      </w:r>
      <w:bookmarkStart w:id="14" w:name="_Hlk172620031"/>
      <w:bookmarkEnd w:id="9"/>
      <w:bookmarkEnd w:id="10"/>
      <w:bookmarkEnd w:id="11"/>
      <w:bookmarkEnd w:id="12"/>
      <w:bookmarkEnd w:id="13"/>
      <w:proofErr w:type="gramStart"/>
      <w:r>
        <w:rPr>
          <w:rFonts w:ascii="Arial" w:eastAsia="宋体" w:hAnsi="Arial" w:cs="Times New Roman" w:hint="eastAsia"/>
          <w:b/>
          <w:sz w:val="36"/>
          <w:szCs w:val="36"/>
        </w:rPr>
        <w:t>浙商银行</w:t>
      </w:r>
      <w:proofErr w:type="gramEnd"/>
      <w:r>
        <w:rPr>
          <w:rFonts w:ascii="Arial" w:eastAsia="宋体" w:hAnsi="Arial" w:cs="Times New Roman" w:hint="eastAsia"/>
          <w:b/>
          <w:sz w:val="36"/>
          <w:szCs w:val="36"/>
        </w:rPr>
        <w:t>股份有限公司</w:t>
      </w:r>
      <w:bookmarkEnd w:id="14"/>
    </w:p>
    <w:p w14:paraId="77CD9523" w14:textId="77777777" w:rsidR="009D10D8" w:rsidRDefault="009D10D8">
      <w:pPr>
        <w:autoSpaceDE w:val="0"/>
        <w:autoSpaceDN w:val="0"/>
        <w:adjustRightInd w:val="0"/>
        <w:snapToGrid w:val="0"/>
        <w:spacing w:line="360" w:lineRule="auto"/>
        <w:jc w:val="center"/>
        <w:rPr>
          <w:rFonts w:asciiTheme="minorEastAsia" w:hAnsiTheme="minorEastAsia" w:cs="Arial" w:hint="eastAsia"/>
          <w:b/>
          <w:bCs/>
          <w:sz w:val="28"/>
          <w:szCs w:val="28"/>
        </w:rPr>
      </w:pPr>
    </w:p>
    <w:p w14:paraId="24DF61F1" w14:textId="77777777" w:rsidR="009D10D8" w:rsidRDefault="009D10D8">
      <w:pPr>
        <w:autoSpaceDE w:val="0"/>
        <w:autoSpaceDN w:val="0"/>
        <w:adjustRightInd w:val="0"/>
        <w:snapToGrid w:val="0"/>
        <w:spacing w:line="360" w:lineRule="auto"/>
        <w:jc w:val="center"/>
        <w:rPr>
          <w:rFonts w:asciiTheme="minorEastAsia" w:hAnsiTheme="minorEastAsia" w:cs="Arial" w:hint="eastAsia"/>
          <w:b/>
          <w:bCs/>
          <w:sz w:val="28"/>
          <w:szCs w:val="28"/>
        </w:rPr>
      </w:pPr>
    </w:p>
    <w:p w14:paraId="2D567251" w14:textId="77777777" w:rsidR="009D10D8" w:rsidRDefault="009D10D8">
      <w:pPr>
        <w:widowControl/>
        <w:spacing w:line="360" w:lineRule="auto"/>
        <w:jc w:val="center"/>
        <w:rPr>
          <w:rFonts w:ascii="Arial" w:eastAsia="宋体" w:hAnsi="Arial" w:cs="Arial"/>
          <w:b/>
          <w:bCs/>
          <w:kern w:val="0"/>
          <w:sz w:val="28"/>
          <w:szCs w:val="28"/>
        </w:rPr>
        <w:sectPr w:rsidR="009D10D8">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pgNumType w:start="1"/>
          <w:cols w:space="720"/>
          <w:titlePg/>
          <w:docGrid w:type="lines" w:linePitch="312"/>
        </w:sectPr>
      </w:pPr>
    </w:p>
    <w:p w14:paraId="686C6949" w14:textId="77777777" w:rsidR="009D10D8" w:rsidRDefault="009E4577">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221009E3" w14:textId="77777777" w:rsidR="009D10D8" w:rsidRDefault="009D10D8">
      <w:pPr>
        <w:autoSpaceDE w:val="0"/>
        <w:autoSpaceDN w:val="0"/>
        <w:adjustRightInd w:val="0"/>
        <w:snapToGrid w:val="0"/>
        <w:spacing w:line="360" w:lineRule="auto"/>
        <w:jc w:val="center"/>
        <w:rPr>
          <w:rFonts w:ascii="Arial" w:eastAsia="宋体" w:hAnsi="Arial" w:cs="Arial"/>
          <w:b/>
          <w:bCs/>
          <w:szCs w:val="21"/>
        </w:rPr>
      </w:pPr>
    </w:p>
    <w:p w14:paraId="5C580050" w14:textId="2BAB5573"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1、本基金根据</w:t>
      </w:r>
      <w:r w:rsidR="00F4197A">
        <w:rPr>
          <w:rFonts w:asciiTheme="minorEastAsia" w:hAnsiTheme="minorEastAsia" w:cs="Arial"/>
          <w:bCs/>
          <w:color w:val="000000"/>
          <w:sz w:val="24"/>
          <w:szCs w:val="24"/>
        </w:rPr>
        <w:t>2022</w:t>
      </w:r>
      <w:r>
        <w:rPr>
          <w:rFonts w:asciiTheme="minorEastAsia" w:hAnsiTheme="minorEastAsia" w:cs="Arial" w:hint="eastAsia"/>
          <w:bCs/>
          <w:color w:val="000000"/>
          <w:sz w:val="24"/>
          <w:szCs w:val="24"/>
        </w:rPr>
        <w:t>年</w:t>
      </w:r>
      <w:r w:rsidR="00F4197A">
        <w:rPr>
          <w:rFonts w:asciiTheme="minorEastAsia" w:hAnsiTheme="minorEastAsia" w:cs="Arial" w:hint="eastAsia"/>
          <w:bCs/>
          <w:color w:val="000000"/>
          <w:sz w:val="24"/>
          <w:szCs w:val="24"/>
        </w:rPr>
        <w:t>4</w:t>
      </w:r>
      <w:r>
        <w:rPr>
          <w:rFonts w:asciiTheme="minorEastAsia" w:hAnsiTheme="minorEastAsia" w:cs="Arial" w:hint="eastAsia"/>
          <w:bCs/>
          <w:color w:val="000000"/>
          <w:sz w:val="24"/>
          <w:szCs w:val="24"/>
        </w:rPr>
        <w:t>月</w:t>
      </w:r>
      <w:r w:rsidR="00F4197A">
        <w:rPr>
          <w:rFonts w:asciiTheme="minorEastAsia" w:hAnsiTheme="minorEastAsia" w:cs="Arial"/>
          <w:bCs/>
          <w:color w:val="000000"/>
          <w:sz w:val="24"/>
          <w:szCs w:val="24"/>
        </w:rPr>
        <w:t>14</w:t>
      </w:r>
      <w:r>
        <w:rPr>
          <w:rFonts w:asciiTheme="minorEastAsia" w:hAnsiTheme="minorEastAsia" w:cs="Arial" w:hint="eastAsia"/>
          <w:bCs/>
          <w:color w:val="000000"/>
          <w:sz w:val="24"/>
          <w:szCs w:val="24"/>
        </w:rPr>
        <w:t>日</w:t>
      </w:r>
      <w:r>
        <w:rPr>
          <w:rFonts w:asciiTheme="minorEastAsia" w:hAnsiTheme="minorEastAsia" w:cs="Arial" w:hint="eastAsia"/>
          <w:kern w:val="0"/>
          <w:sz w:val="24"/>
          <w:szCs w:val="24"/>
        </w:rPr>
        <w:t>中国证券监督管理委员会（以下简称“中国证监会”）《关于准予富荣研究优选混合型证券投资基金注册的批复》（</w:t>
      </w:r>
      <w:r>
        <w:rPr>
          <w:rFonts w:asciiTheme="minorEastAsia" w:hAnsiTheme="minorEastAsia" w:cs="Arial" w:hint="eastAsia"/>
          <w:bCs/>
          <w:color w:val="000000"/>
          <w:kern w:val="0"/>
          <w:sz w:val="24"/>
          <w:szCs w:val="24"/>
        </w:rPr>
        <w:t>证监许可</w:t>
      </w:r>
      <w:r w:rsidR="00381810">
        <w:rPr>
          <w:rFonts w:asciiTheme="minorEastAsia" w:hAnsiTheme="minorEastAsia" w:cs="Arial" w:hint="eastAsia"/>
          <w:bCs/>
          <w:color w:val="000000"/>
          <w:kern w:val="0"/>
          <w:sz w:val="24"/>
          <w:szCs w:val="24"/>
        </w:rPr>
        <w:t>【2</w:t>
      </w:r>
      <w:r w:rsidR="00381810">
        <w:rPr>
          <w:rFonts w:asciiTheme="minorEastAsia" w:hAnsiTheme="minorEastAsia" w:cs="Arial"/>
          <w:bCs/>
          <w:color w:val="000000"/>
          <w:kern w:val="0"/>
          <w:sz w:val="24"/>
          <w:szCs w:val="24"/>
        </w:rPr>
        <w:t>022</w:t>
      </w:r>
      <w:r w:rsidR="00381810">
        <w:rPr>
          <w:rFonts w:asciiTheme="minorEastAsia" w:hAnsiTheme="minorEastAsia" w:cs="Arial" w:hint="eastAsia"/>
          <w:bCs/>
          <w:color w:val="000000"/>
          <w:kern w:val="0"/>
          <w:sz w:val="24"/>
          <w:szCs w:val="24"/>
        </w:rPr>
        <w:t>】</w:t>
      </w:r>
      <w:r w:rsidR="0039785F">
        <w:rPr>
          <w:rFonts w:asciiTheme="minorEastAsia" w:hAnsiTheme="minorEastAsia" w:cs="Arial" w:hint="eastAsia"/>
          <w:bCs/>
          <w:color w:val="000000"/>
          <w:sz w:val="24"/>
          <w:szCs w:val="24"/>
        </w:rPr>
        <w:t>7</w:t>
      </w:r>
      <w:r w:rsidR="0039785F">
        <w:rPr>
          <w:rFonts w:asciiTheme="minorEastAsia" w:hAnsiTheme="minorEastAsia" w:cs="Arial"/>
          <w:bCs/>
          <w:color w:val="000000"/>
          <w:sz w:val="24"/>
          <w:szCs w:val="24"/>
        </w:rPr>
        <w:t>62</w:t>
      </w:r>
      <w:r>
        <w:rPr>
          <w:rFonts w:asciiTheme="minorEastAsia" w:hAnsiTheme="minorEastAsia" w:cs="Arial" w:hint="eastAsia"/>
          <w:bCs/>
          <w:color w:val="000000"/>
          <w:sz w:val="24"/>
          <w:szCs w:val="24"/>
        </w:rPr>
        <w:t>号</w:t>
      </w:r>
      <w:r>
        <w:rPr>
          <w:rFonts w:asciiTheme="minorEastAsia" w:hAnsiTheme="minorEastAsia" w:cs="Arial" w:hint="eastAsia"/>
          <w:bCs/>
          <w:color w:val="000000"/>
          <w:kern w:val="0"/>
          <w:sz w:val="24"/>
          <w:szCs w:val="24"/>
        </w:rPr>
        <w:t>）</w:t>
      </w:r>
      <w:r w:rsidR="00C55A70" w:rsidRPr="00C55A70">
        <w:rPr>
          <w:rFonts w:asciiTheme="minorEastAsia" w:hAnsiTheme="minorEastAsia" w:cs="Arial" w:hint="eastAsia"/>
          <w:bCs/>
          <w:color w:val="000000"/>
          <w:kern w:val="0"/>
          <w:sz w:val="24"/>
          <w:szCs w:val="24"/>
        </w:rPr>
        <w:t>，以及2023年3月8日中国证监会《关于富荣研究优选混合型</w:t>
      </w:r>
      <w:r w:rsidR="00C55A70">
        <w:rPr>
          <w:rFonts w:asciiTheme="minorEastAsia" w:hAnsiTheme="minorEastAsia" w:cs="Arial" w:hint="eastAsia"/>
          <w:bCs/>
          <w:color w:val="000000"/>
          <w:kern w:val="0"/>
          <w:sz w:val="24"/>
          <w:szCs w:val="24"/>
        </w:rPr>
        <w:t>证券投资基金延期募集备案的回函</w:t>
      </w:r>
      <w:r w:rsidR="00C55A70" w:rsidRPr="00C55A70">
        <w:rPr>
          <w:rFonts w:asciiTheme="minorEastAsia" w:hAnsiTheme="minorEastAsia" w:cs="Arial" w:hint="eastAsia"/>
          <w:bCs/>
          <w:color w:val="000000"/>
          <w:kern w:val="0"/>
          <w:sz w:val="24"/>
          <w:szCs w:val="24"/>
        </w:rPr>
        <w:t>》</w:t>
      </w:r>
      <w:r w:rsidR="009816B8">
        <w:rPr>
          <w:rFonts w:asciiTheme="minorEastAsia" w:hAnsiTheme="minorEastAsia" w:cs="Arial" w:hint="eastAsia"/>
          <w:bCs/>
          <w:color w:val="000000"/>
          <w:kern w:val="0"/>
          <w:sz w:val="24"/>
          <w:szCs w:val="24"/>
        </w:rPr>
        <w:t>（</w:t>
      </w:r>
      <w:proofErr w:type="gramStart"/>
      <w:r w:rsidR="009816B8">
        <w:rPr>
          <w:rFonts w:asciiTheme="minorEastAsia" w:hAnsiTheme="minorEastAsia" w:cs="Arial" w:hint="eastAsia"/>
          <w:bCs/>
          <w:color w:val="000000"/>
          <w:kern w:val="0"/>
          <w:sz w:val="24"/>
          <w:szCs w:val="24"/>
        </w:rPr>
        <w:t>机构部函【2</w:t>
      </w:r>
      <w:r w:rsidR="009816B8">
        <w:rPr>
          <w:rFonts w:asciiTheme="minorEastAsia" w:hAnsiTheme="minorEastAsia" w:cs="Arial"/>
          <w:bCs/>
          <w:color w:val="000000"/>
          <w:kern w:val="0"/>
          <w:sz w:val="24"/>
          <w:szCs w:val="24"/>
        </w:rPr>
        <w:t>023</w:t>
      </w:r>
      <w:r w:rsidR="009816B8">
        <w:rPr>
          <w:rFonts w:asciiTheme="minorEastAsia" w:hAnsiTheme="minorEastAsia" w:cs="Arial" w:hint="eastAsia"/>
          <w:bCs/>
          <w:color w:val="000000"/>
          <w:kern w:val="0"/>
          <w:sz w:val="24"/>
          <w:szCs w:val="24"/>
        </w:rPr>
        <w:t>】</w:t>
      </w:r>
      <w:proofErr w:type="gramEnd"/>
      <w:r w:rsidR="009816B8">
        <w:rPr>
          <w:rFonts w:asciiTheme="minorEastAsia" w:hAnsiTheme="minorEastAsia" w:cs="Arial" w:hint="eastAsia"/>
          <w:bCs/>
          <w:color w:val="000000"/>
          <w:kern w:val="0"/>
          <w:sz w:val="24"/>
          <w:szCs w:val="24"/>
        </w:rPr>
        <w:t>2</w:t>
      </w:r>
      <w:r w:rsidR="009816B8">
        <w:rPr>
          <w:rFonts w:asciiTheme="minorEastAsia" w:hAnsiTheme="minorEastAsia" w:cs="Arial"/>
          <w:bCs/>
          <w:color w:val="000000"/>
          <w:kern w:val="0"/>
          <w:sz w:val="24"/>
          <w:szCs w:val="24"/>
        </w:rPr>
        <w:t>80</w:t>
      </w:r>
      <w:r w:rsidR="009816B8">
        <w:rPr>
          <w:rFonts w:asciiTheme="minorEastAsia" w:hAnsiTheme="minorEastAsia" w:cs="Arial" w:hint="eastAsia"/>
          <w:bCs/>
          <w:color w:val="000000"/>
          <w:kern w:val="0"/>
          <w:sz w:val="24"/>
          <w:szCs w:val="24"/>
        </w:rPr>
        <w:t>号）</w:t>
      </w:r>
      <w:r>
        <w:rPr>
          <w:rFonts w:asciiTheme="minorEastAsia" w:hAnsiTheme="minorEastAsia" w:cs="Arial" w:hint="eastAsia"/>
          <w:bCs/>
          <w:color w:val="000000"/>
          <w:kern w:val="0"/>
          <w:sz w:val="24"/>
          <w:szCs w:val="24"/>
        </w:rPr>
        <w:t>进行募集。</w:t>
      </w:r>
    </w:p>
    <w:p w14:paraId="3710D567"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2、本基金管理人保证招募说明书的内容真实、准确、完整。本招募说明书经中国证监会注册，但中国证监会对本基金募集的注册，并不表明其对本基金的投资价值、市场前景和收益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1BD7B02E"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本基金投资于证券市场，基金净值会因为证券市场波动等因素产生波动，投资者根据所持有的基金份额享受基金收益，同时承担相应的投资风险。本基金投资中的风险包括：市场风险、信用风险、管理风险、操作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风险、投资于本基金的特有风险及其他风险等。本基金为混合型证券投资基金，其预期风险收益水平高于</w:t>
      </w:r>
      <w:r>
        <w:rPr>
          <w:rFonts w:asciiTheme="minorEastAsia" w:hAnsiTheme="minorEastAsia" w:cs="Arial" w:hint="eastAsia"/>
          <w:bCs/>
          <w:sz w:val="24"/>
          <w:szCs w:val="24"/>
        </w:rPr>
        <w:t>债券型基金及货币市场基金，低于股票型基金</w:t>
      </w:r>
      <w:r>
        <w:rPr>
          <w:rFonts w:asciiTheme="minorEastAsia" w:hAnsiTheme="minorEastAsia" w:cs="Arial" w:hint="eastAsia"/>
          <w:sz w:val="24"/>
          <w:szCs w:val="24"/>
        </w:rPr>
        <w:t>。</w:t>
      </w:r>
    </w:p>
    <w:p w14:paraId="3C8E8D6F"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w:t>
      </w:r>
      <w:proofErr w:type="gramStart"/>
      <w:r>
        <w:rPr>
          <w:rFonts w:asciiTheme="minorEastAsia" w:hAnsiTheme="minorEastAsia" w:cs="Arial" w:hint="eastAsia"/>
          <w:sz w:val="24"/>
          <w:szCs w:val="24"/>
        </w:rPr>
        <w:t>流预测</w:t>
      </w:r>
      <w:proofErr w:type="gramEnd"/>
      <w:r>
        <w:rPr>
          <w:rFonts w:asciiTheme="minorEastAsia" w:hAnsiTheme="minorEastAsia" w:cs="Arial" w:hint="eastAsia"/>
          <w:sz w:val="24"/>
          <w:szCs w:val="24"/>
        </w:rPr>
        <w:t>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43D4A20E"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4F59DEE8"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本基金的投资范围包括股指期货、国债期货、股票期权，可能面临市场风险、流动性风险、</w:t>
      </w:r>
      <w:proofErr w:type="gramStart"/>
      <w:r>
        <w:rPr>
          <w:rFonts w:asciiTheme="minorEastAsia" w:hAnsiTheme="minorEastAsia" w:cs="Arial" w:hint="eastAsia"/>
          <w:sz w:val="24"/>
          <w:szCs w:val="24"/>
        </w:rPr>
        <w:t>基差风险</w:t>
      </w:r>
      <w:proofErr w:type="gramEnd"/>
      <w:r>
        <w:rPr>
          <w:rFonts w:asciiTheme="minorEastAsia" w:hAnsiTheme="minorEastAsia" w:cs="Arial" w:hint="eastAsia"/>
          <w:sz w:val="24"/>
          <w:szCs w:val="24"/>
        </w:rPr>
        <w:t>、保证金风险、信用风险和操作风险等。</w:t>
      </w:r>
    </w:p>
    <w:p w14:paraId="45C952BB" w14:textId="0FE14DE2"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为对冲信用风险，本基金可能投资于信用衍生品。信用衍生品的投资可能面临流动性风险、偿付风险以及价格波动风险等。具体风险烦请查阅本基金招募说明书的“风险揭示”章节的具体内容。</w:t>
      </w:r>
    </w:p>
    <w:p w14:paraId="517585A2" w14:textId="5A7B0532" w:rsidR="0085407A" w:rsidRPr="0085407A" w:rsidRDefault="0085407A">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85407A">
        <w:rPr>
          <w:rFonts w:asciiTheme="minorEastAsia" w:hAnsiTheme="minorEastAsia" w:cs="Arial" w:hint="eastAsia"/>
          <w:sz w:val="24"/>
          <w:szCs w:val="24"/>
        </w:rPr>
        <w:t>当本基金持有特定资产且存在或潜在大额赎回申请时，基金管理人履行相应程序后，可以</w:t>
      </w:r>
      <w:proofErr w:type="gramStart"/>
      <w:r w:rsidRPr="0085407A">
        <w:rPr>
          <w:rFonts w:asciiTheme="minorEastAsia" w:hAnsiTheme="minorEastAsia" w:cs="Arial" w:hint="eastAsia"/>
          <w:sz w:val="24"/>
          <w:szCs w:val="24"/>
        </w:rPr>
        <w:t>启用侧袋机制</w:t>
      </w:r>
      <w:proofErr w:type="gramEnd"/>
      <w:r w:rsidRPr="0085407A">
        <w:rPr>
          <w:rFonts w:asciiTheme="minorEastAsia" w:hAnsiTheme="minorEastAsia" w:cs="Arial" w:hint="eastAsia"/>
          <w:sz w:val="24"/>
          <w:szCs w:val="24"/>
        </w:rPr>
        <w:t>，具体详见基金合同和本招募说明书的有关章节。</w:t>
      </w:r>
      <w:proofErr w:type="gramStart"/>
      <w:r w:rsidRPr="0085407A">
        <w:rPr>
          <w:rFonts w:asciiTheme="minorEastAsia" w:hAnsiTheme="minorEastAsia" w:cs="Arial" w:hint="eastAsia"/>
          <w:sz w:val="24"/>
          <w:szCs w:val="24"/>
        </w:rPr>
        <w:t>侧</w:t>
      </w:r>
      <w:r w:rsidRPr="0085407A">
        <w:rPr>
          <w:rFonts w:asciiTheme="minorEastAsia" w:hAnsiTheme="minorEastAsia" w:cs="Arial" w:hint="eastAsia"/>
          <w:sz w:val="24"/>
          <w:szCs w:val="24"/>
        </w:rPr>
        <w:lastRenderedPageBreak/>
        <w:t>袋机制</w:t>
      </w:r>
      <w:proofErr w:type="gramEnd"/>
      <w:r w:rsidRPr="0085407A">
        <w:rPr>
          <w:rFonts w:asciiTheme="minorEastAsia" w:hAnsiTheme="minorEastAsia" w:cs="Arial" w:hint="eastAsia"/>
          <w:sz w:val="24"/>
          <w:szCs w:val="24"/>
        </w:rPr>
        <w:t>实施期间，基金管理人将对基金简称进行特殊标识，并不</w:t>
      </w:r>
      <w:proofErr w:type="gramStart"/>
      <w:r w:rsidRPr="0085407A">
        <w:rPr>
          <w:rFonts w:asciiTheme="minorEastAsia" w:hAnsiTheme="minorEastAsia" w:cs="Arial" w:hint="eastAsia"/>
          <w:sz w:val="24"/>
          <w:szCs w:val="24"/>
        </w:rPr>
        <w:t>办理侧袋账户</w:t>
      </w:r>
      <w:proofErr w:type="gramEnd"/>
      <w:r w:rsidRPr="0085407A">
        <w:rPr>
          <w:rFonts w:asciiTheme="minorEastAsia" w:hAnsiTheme="minorEastAsia" w:cs="Arial" w:hint="eastAsia"/>
          <w:sz w:val="24"/>
          <w:szCs w:val="24"/>
        </w:rPr>
        <w:t>的申购赎回。</w:t>
      </w:r>
      <w:proofErr w:type="gramStart"/>
      <w:r w:rsidRPr="0085407A">
        <w:rPr>
          <w:rFonts w:asciiTheme="minorEastAsia" w:hAnsiTheme="minorEastAsia" w:cs="Arial" w:hint="eastAsia"/>
          <w:sz w:val="24"/>
          <w:szCs w:val="24"/>
        </w:rPr>
        <w:t>请基金</w:t>
      </w:r>
      <w:proofErr w:type="gramEnd"/>
      <w:r w:rsidRPr="0085407A">
        <w:rPr>
          <w:rFonts w:asciiTheme="minorEastAsia" w:hAnsiTheme="minorEastAsia" w:cs="Arial" w:hint="eastAsia"/>
          <w:sz w:val="24"/>
          <w:szCs w:val="24"/>
        </w:rPr>
        <w:t>份额持有人仔细阅读相关内容并关注本基金启用</w:t>
      </w:r>
      <w:proofErr w:type="gramStart"/>
      <w:r w:rsidRPr="0085407A">
        <w:rPr>
          <w:rFonts w:asciiTheme="minorEastAsia" w:hAnsiTheme="minorEastAsia" w:cs="Arial" w:hint="eastAsia"/>
          <w:sz w:val="24"/>
          <w:szCs w:val="24"/>
        </w:rPr>
        <w:t>侧袋机制</w:t>
      </w:r>
      <w:proofErr w:type="gramEnd"/>
      <w:r w:rsidRPr="0085407A">
        <w:rPr>
          <w:rFonts w:asciiTheme="minorEastAsia" w:hAnsiTheme="minorEastAsia" w:cs="Arial" w:hint="eastAsia"/>
          <w:sz w:val="24"/>
          <w:szCs w:val="24"/>
        </w:rPr>
        <w:t>时的特定风险。</w:t>
      </w:r>
    </w:p>
    <w:p w14:paraId="5777B1B7"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元发售面值募集基金份额，在市场波动等因素的影响下，基金投资有可能出现亏损或基金份额净值低于初始面值。</w:t>
      </w:r>
    </w:p>
    <w:p w14:paraId="25E994E5"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投资有风险，投资人认购（或申购）基金时应认真阅读基金合同、本招募说明书、基金产品资料概要等信息披露文件，自主判断基金的投资价值，自主做出投资决策，自行承担投资风险。基金的过往业绩并不预示其未来表现。基金管理人管理的其他基金的业绩并不构成新基金业绩表现的保证。</w:t>
      </w:r>
    </w:p>
    <w:p w14:paraId="0D01DFC0"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投资决策后，基金运营状况与基金净值变化引致的投资风险，由投资者自行承担。</w:t>
      </w:r>
    </w:p>
    <w:p w14:paraId="1B3335CD" w14:textId="4BC932C0" w:rsidR="00171AF9" w:rsidRDefault="00866153" w:rsidP="00171AF9">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866153">
        <w:rPr>
          <w:rFonts w:asciiTheme="minorEastAsia" w:hAnsiTheme="minorEastAsia" w:cs="Arial" w:hint="eastAsia"/>
          <w:sz w:val="24"/>
          <w:szCs w:val="24"/>
        </w:rPr>
        <w:t>本招募说明书</w:t>
      </w:r>
      <w:r w:rsidR="00171AF9" w:rsidRPr="00171AF9">
        <w:rPr>
          <w:rFonts w:asciiTheme="minorEastAsia" w:hAnsiTheme="minorEastAsia" w:cs="Arial" w:hint="eastAsia"/>
          <w:sz w:val="24"/>
          <w:szCs w:val="24"/>
        </w:rPr>
        <w:t>所载内容（含财务数据及净值表现）截止日为</w:t>
      </w:r>
      <w:r w:rsidR="00CE2C42" w:rsidRPr="00171AF9">
        <w:rPr>
          <w:rFonts w:asciiTheme="minorEastAsia" w:hAnsiTheme="minorEastAsia" w:cs="Arial" w:hint="eastAsia"/>
          <w:sz w:val="24"/>
          <w:szCs w:val="24"/>
        </w:rPr>
        <w:t>202</w:t>
      </w:r>
      <w:r w:rsidR="00CE2C42">
        <w:rPr>
          <w:rFonts w:asciiTheme="minorEastAsia" w:hAnsiTheme="minorEastAsia" w:cs="Arial" w:hint="eastAsia"/>
          <w:sz w:val="24"/>
          <w:szCs w:val="24"/>
        </w:rPr>
        <w:t>5</w:t>
      </w:r>
      <w:r w:rsidR="00171AF9" w:rsidRPr="00171AF9">
        <w:rPr>
          <w:rFonts w:asciiTheme="minorEastAsia" w:hAnsiTheme="minorEastAsia" w:cs="Arial" w:hint="eastAsia"/>
          <w:sz w:val="24"/>
          <w:szCs w:val="24"/>
        </w:rPr>
        <w:t>年6月30日，本报告中所列财务数据未经审计。</w:t>
      </w:r>
    </w:p>
    <w:p w14:paraId="3B031D38" w14:textId="421F1BAE" w:rsidR="00CE2C42" w:rsidRPr="00CE2C42" w:rsidRDefault="00CE2C42" w:rsidP="00171AF9">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CE2C42">
        <w:rPr>
          <w:rFonts w:asciiTheme="minorEastAsia" w:hAnsiTheme="minorEastAsia" w:cs="Arial" w:hint="eastAsia"/>
          <w:sz w:val="24"/>
          <w:szCs w:val="24"/>
        </w:rPr>
        <w:t>本基金托管</w:t>
      </w:r>
      <w:proofErr w:type="gramStart"/>
      <w:r w:rsidRPr="00CE2C42">
        <w:rPr>
          <w:rFonts w:asciiTheme="minorEastAsia" w:hAnsiTheme="minorEastAsia" w:cs="Arial" w:hint="eastAsia"/>
          <w:sz w:val="24"/>
          <w:szCs w:val="24"/>
        </w:rPr>
        <w:t>人</w:t>
      </w:r>
      <w:r>
        <w:rPr>
          <w:rFonts w:asciiTheme="minorEastAsia" w:hAnsiTheme="minorEastAsia" w:cs="Arial" w:hint="eastAsia"/>
          <w:sz w:val="24"/>
          <w:szCs w:val="24"/>
        </w:rPr>
        <w:t>浙商</w:t>
      </w:r>
      <w:proofErr w:type="gramEnd"/>
      <w:r w:rsidRPr="00CE2C42">
        <w:rPr>
          <w:rFonts w:asciiTheme="minorEastAsia" w:hAnsiTheme="minorEastAsia" w:cs="Arial" w:hint="eastAsia"/>
          <w:sz w:val="24"/>
          <w:szCs w:val="24"/>
        </w:rPr>
        <w:t>银行股份有限公司已复核了本次更新的招募说明书。</w:t>
      </w:r>
    </w:p>
    <w:bookmarkEnd w:id="0"/>
    <w:bookmarkEnd w:id="1"/>
    <w:bookmarkEnd w:id="2"/>
    <w:bookmarkEnd w:id="3"/>
    <w:p w14:paraId="18ADC076" w14:textId="77777777" w:rsidR="009D10D8" w:rsidRDefault="009D10D8">
      <w:pPr>
        <w:autoSpaceDE w:val="0"/>
        <w:autoSpaceDN w:val="0"/>
        <w:adjustRightInd w:val="0"/>
        <w:snapToGrid w:val="0"/>
        <w:spacing w:line="360" w:lineRule="auto"/>
        <w:jc w:val="center"/>
        <w:rPr>
          <w:rFonts w:ascii="Arial" w:eastAsia="宋体" w:hAnsi="Arial" w:cs="Arial"/>
          <w:b/>
          <w:bCs/>
          <w:sz w:val="28"/>
          <w:szCs w:val="28"/>
        </w:rPr>
      </w:pPr>
    </w:p>
    <w:p w14:paraId="5CBD3D64" w14:textId="77777777" w:rsidR="009D10D8" w:rsidRDefault="009D10D8">
      <w:pPr>
        <w:widowControl/>
        <w:spacing w:line="360" w:lineRule="auto"/>
        <w:jc w:val="left"/>
        <w:rPr>
          <w:rFonts w:ascii="Times New Roman" w:eastAsia="宋体" w:hAnsi="Times New Roman" w:cs="Times New Roman"/>
          <w:b/>
          <w:kern w:val="0"/>
          <w:sz w:val="30"/>
          <w:szCs w:val="30"/>
        </w:rPr>
        <w:sectPr w:rsidR="009D10D8">
          <w:pgSz w:w="11906" w:h="16838"/>
          <w:pgMar w:top="1440" w:right="1800" w:bottom="1440" w:left="1800" w:header="851" w:footer="992" w:gutter="0"/>
          <w:pgNumType w:start="1"/>
          <w:cols w:space="720"/>
          <w:docGrid w:type="lines" w:linePitch="312"/>
        </w:sectPr>
      </w:pPr>
      <w:bookmarkStart w:id="15" w:name="_Toc11660"/>
      <w:bookmarkStart w:id="16" w:name="_Toc4867"/>
      <w:bookmarkStart w:id="17" w:name="_Toc23386"/>
      <w:bookmarkStart w:id="18" w:name="_Toc123112268"/>
      <w:bookmarkStart w:id="19" w:name="_Toc123112229"/>
      <w:bookmarkStart w:id="20" w:name="_Toc123701389"/>
      <w:bookmarkStart w:id="21" w:name="_Toc30935"/>
      <w:bookmarkStart w:id="22" w:name="_Toc8727"/>
      <w:bookmarkStart w:id="23" w:name="_Toc139991730"/>
      <w:bookmarkStart w:id="24" w:name="_Toc6306"/>
      <w:bookmarkStart w:id="25" w:name="_Toc29629"/>
      <w:bookmarkStart w:id="26" w:name="_Toc352229746"/>
      <w:bookmarkStart w:id="27" w:name="_Toc15517"/>
      <w:bookmarkStart w:id="28" w:name="_Toc141703880"/>
      <w:bookmarkStart w:id="29" w:name="_Toc26897"/>
      <w:bookmarkStart w:id="30" w:name="_Toc4966"/>
      <w:bookmarkStart w:id="31" w:name="_Toc32639"/>
      <w:bookmarkStart w:id="32" w:name="_Toc233456271"/>
    </w:p>
    <w:p w14:paraId="62E90CF4" w14:textId="77777777" w:rsidR="009D10D8" w:rsidRDefault="009E4577">
      <w:pPr>
        <w:jc w:val="center"/>
        <w:rPr>
          <w:b/>
          <w:bCs/>
          <w:sz w:val="24"/>
        </w:rPr>
      </w:pPr>
      <w:r>
        <w:rPr>
          <w:b/>
          <w:bCs/>
          <w:sz w:val="24"/>
        </w:rPr>
        <w:lastRenderedPageBreak/>
        <w:t>目</w:t>
      </w:r>
      <w:r>
        <w:rPr>
          <w:b/>
          <w:bCs/>
          <w:sz w:val="24"/>
        </w:rPr>
        <w:t xml:space="preserve">    </w:t>
      </w:r>
      <w:r>
        <w:rPr>
          <w:b/>
          <w:bCs/>
          <w:sz w:val="24"/>
        </w:rPr>
        <w:t>录</w:t>
      </w:r>
    </w:p>
    <w:p w14:paraId="3308B477" w14:textId="106C3AE9" w:rsidR="00342432" w:rsidRDefault="009E4577">
      <w:pPr>
        <w:pStyle w:val="TOC1"/>
        <w:rPr>
          <w:rFonts w:asciiTheme="minorHAnsi" w:eastAsiaTheme="minorEastAsia" w:hAnsiTheme="minorHAnsi" w:cstheme="minorBidi"/>
          <w:noProof/>
          <w:szCs w:val="22"/>
          <w14:ligatures w14:val="standardContextual"/>
        </w:rPr>
      </w:pPr>
      <w:r>
        <w:rPr>
          <w:bCs/>
        </w:rPr>
        <w:fldChar w:fldCharType="begin"/>
      </w:r>
      <w:r>
        <w:rPr>
          <w:bCs/>
        </w:rPr>
        <w:instrText xml:space="preserve"> TOC \o "1-1" \h \z \u </w:instrText>
      </w:r>
      <w:r>
        <w:rPr>
          <w:bCs/>
        </w:rPr>
        <w:fldChar w:fldCharType="separate"/>
      </w:r>
      <w:hyperlink w:anchor="_Toc173322777" w:history="1">
        <w:r w:rsidR="00342432" w:rsidRPr="003874E1">
          <w:rPr>
            <w:rStyle w:val="afb"/>
            <w:rFonts w:hint="eastAsia"/>
            <w:noProof/>
          </w:rPr>
          <w:t>第一部分</w:t>
        </w:r>
        <w:r w:rsidR="00342432" w:rsidRPr="003874E1">
          <w:rPr>
            <w:rStyle w:val="afb"/>
            <w:rFonts w:hint="eastAsia"/>
            <w:noProof/>
          </w:rPr>
          <w:t xml:space="preserve">  </w:t>
        </w:r>
        <w:r w:rsidR="00342432" w:rsidRPr="003874E1">
          <w:rPr>
            <w:rStyle w:val="afb"/>
            <w:rFonts w:hint="eastAsia"/>
            <w:noProof/>
          </w:rPr>
          <w:t>绪言</w:t>
        </w:r>
        <w:r w:rsidR="00342432">
          <w:rPr>
            <w:rFonts w:hint="eastAsia"/>
            <w:noProof/>
            <w:webHidden/>
          </w:rPr>
          <w:tab/>
        </w:r>
        <w:r w:rsidR="00342432">
          <w:rPr>
            <w:rFonts w:hint="eastAsia"/>
            <w:noProof/>
            <w:webHidden/>
          </w:rPr>
          <w:fldChar w:fldCharType="begin"/>
        </w:r>
        <w:r w:rsidR="00342432">
          <w:rPr>
            <w:rFonts w:hint="eastAsia"/>
            <w:noProof/>
            <w:webHidden/>
          </w:rPr>
          <w:instrText xml:space="preserve"> </w:instrText>
        </w:r>
        <w:r w:rsidR="00342432">
          <w:rPr>
            <w:noProof/>
            <w:webHidden/>
          </w:rPr>
          <w:instrText>PAGEREF _Toc173322777 \h</w:instrText>
        </w:r>
        <w:r w:rsidR="00342432">
          <w:rPr>
            <w:rFonts w:hint="eastAsia"/>
            <w:noProof/>
            <w:webHidden/>
          </w:rPr>
          <w:instrText xml:space="preserve"> </w:instrText>
        </w:r>
        <w:r w:rsidR="00342432">
          <w:rPr>
            <w:rFonts w:hint="eastAsia"/>
            <w:noProof/>
            <w:webHidden/>
          </w:rPr>
        </w:r>
        <w:r w:rsidR="00342432">
          <w:rPr>
            <w:rFonts w:hint="eastAsia"/>
            <w:noProof/>
            <w:webHidden/>
          </w:rPr>
          <w:fldChar w:fldCharType="separate"/>
        </w:r>
        <w:r w:rsidR="00231927">
          <w:rPr>
            <w:noProof/>
            <w:webHidden/>
          </w:rPr>
          <w:t>4</w:t>
        </w:r>
        <w:r w:rsidR="00342432">
          <w:rPr>
            <w:rFonts w:hint="eastAsia"/>
            <w:noProof/>
            <w:webHidden/>
          </w:rPr>
          <w:fldChar w:fldCharType="end"/>
        </w:r>
      </w:hyperlink>
    </w:p>
    <w:p w14:paraId="6FFFF805" w14:textId="21E7A10B" w:rsidR="00342432" w:rsidRDefault="00342432">
      <w:pPr>
        <w:pStyle w:val="TOC1"/>
        <w:rPr>
          <w:rFonts w:asciiTheme="minorHAnsi" w:eastAsiaTheme="minorEastAsia" w:hAnsiTheme="minorHAnsi" w:cstheme="minorBidi"/>
          <w:noProof/>
          <w:szCs w:val="22"/>
          <w14:ligatures w14:val="standardContextual"/>
        </w:rPr>
      </w:pPr>
      <w:hyperlink w:anchor="_Toc173322778" w:history="1">
        <w:r w:rsidRPr="003874E1">
          <w:rPr>
            <w:rStyle w:val="afb"/>
            <w:rFonts w:hint="eastAsia"/>
            <w:noProof/>
          </w:rPr>
          <w:t>第二部分</w:t>
        </w:r>
        <w:r w:rsidRPr="003874E1">
          <w:rPr>
            <w:rStyle w:val="afb"/>
            <w:rFonts w:hint="eastAsia"/>
            <w:noProof/>
          </w:rPr>
          <w:t xml:space="preserve">  </w:t>
        </w:r>
        <w:r w:rsidRPr="003874E1">
          <w:rPr>
            <w:rStyle w:val="afb"/>
            <w:rFonts w:hint="eastAsia"/>
            <w:noProof/>
          </w:rPr>
          <w:t>释义</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_Toc173322778 \h</w:instrText>
        </w:r>
        <w:r>
          <w:rPr>
            <w:rFonts w:hint="eastAsia"/>
            <w:noProof/>
            <w:webHidden/>
          </w:rPr>
          <w:instrText xml:space="preserve"> </w:instrText>
        </w:r>
        <w:r>
          <w:rPr>
            <w:rFonts w:hint="eastAsia"/>
            <w:noProof/>
            <w:webHidden/>
          </w:rPr>
        </w:r>
        <w:r>
          <w:rPr>
            <w:rFonts w:hint="eastAsia"/>
            <w:noProof/>
            <w:webHidden/>
          </w:rPr>
          <w:fldChar w:fldCharType="separate"/>
        </w:r>
        <w:r w:rsidR="00231927">
          <w:rPr>
            <w:noProof/>
            <w:webHidden/>
          </w:rPr>
          <w:t>5</w:t>
        </w:r>
        <w:r>
          <w:rPr>
            <w:rFonts w:hint="eastAsia"/>
            <w:noProof/>
            <w:webHidden/>
          </w:rPr>
          <w:fldChar w:fldCharType="end"/>
        </w:r>
      </w:hyperlink>
    </w:p>
    <w:p w14:paraId="49DAB9E6" w14:textId="5339AF9E" w:rsidR="00342432" w:rsidRDefault="00342432">
      <w:pPr>
        <w:pStyle w:val="TOC1"/>
        <w:rPr>
          <w:rFonts w:asciiTheme="minorHAnsi" w:eastAsiaTheme="minorEastAsia" w:hAnsiTheme="minorHAnsi" w:cstheme="minorBidi"/>
          <w:noProof/>
          <w:szCs w:val="22"/>
          <w14:ligatures w14:val="standardContextual"/>
        </w:rPr>
      </w:pPr>
      <w:hyperlink w:anchor="_Toc173322779" w:history="1">
        <w:r w:rsidRPr="003874E1">
          <w:rPr>
            <w:rStyle w:val="afb"/>
            <w:rFonts w:hint="eastAsia"/>
            <w:noProof/>
          </w:rPr>
          <w:t>第三部分</w:t>
        </w:r>
        <w:r w:rsidRPr="003874E1">
          <w:rPr>
            <w:rStyle w:val="afb"/>
            <w:rFonts w:hint="eastAsia"/>
            <w:noProof/>
          </w:rPr>
          <w:t xml:space="preserve">  </w:t>
        </w:r>
        <w:r w:rsidRPr="003874E1">
          <w:rPr>
            <w:rStyle w:val="afb"/>
            <w:rFonts w:hint="eastAsia"/>
            <w:noProof/>
          </w:rPr>
          <w:t>基金管理人</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_Toc173322779 \h</w:instrText>
        </w:r>
        <w:r>
          <w:rPr>
            <w:rFonts w:hint="eastAsia"/>
            <w:noProof/>
            <w:webHidden/>
          </w:rPr>
          <w:instrText xml:space="preserve"> </w:instrText>
        </w:r>
        <w:r>
          <w:rPr>
            <w:rFonts w:hint="eastAsia"/>
            <w:noProof/>
            <w:webHidden/>
          </w:rPr>
        </w:r>
        <w:r>
          <w:rPr>
            <w:rFonts w:hint="eastAsia"/>
            <w:noProof/>
            <w:webHidden/>
          </w:rPr>
          <w:fldChar w:fldCharType="separate"/>
        </w:r>
        <w:r w:rsidR="00231927">
          <w:rPr>
            <w:noProof/>
            <w:webHidden/>
          </w:rPr>
          <w:t>11</w:t>
        </w:r>
        <w:r>
          <w:rPr>
            <w:rFonts w:hint="eastAsia"/>
            <w:noProof/>
            <w:webHidden/>
          </w:rPr>
          <w:fldChar w:fldCharType="end"/>
        </w:r>
      </w:hyperlink>
    </w:p>
    <w:p w14:paraId="671A7D8D" w14:textId="615E594A" w:rsidR="00342432" w:rsidRDefault="00342432">
      <w:pPr>
        <w:pStyle w:val="TOC1"/>
        <w:rPr>
          <w:rFonts w:asciiTheme="minorHAnsi" w:eastAsiaTheme="minorEastAsia" w:hAnsiTheme="minorHAnsi" w:cstheme="minorBidi"/>
          <w:noProof/>
          <w:szCs w:val="22"/>
          <w14:ligatures w14:val="standardContextual"/>
        </w:rPr>
      </w:pPr>
      <w:hyperlink w:anchor="_Toc173322780" w:history="1">
        <w:r w:rsidRPr="003874E1">
          <w:rPr>
            <w:rStyle w:val="afb"/>
            <w:rFonts w:hint="eastAsia"/>
            <w:noProof/>
          </w:rPr>
          <w:t>第四部分</w:t>
        </w:r>
        <w:r w:rsidRPr="003874E1">
          <w:rPr>
            <w:rStyle w:val="afb"/>
            <w:rFonts w:hint="eastAsia"/>
            <w:noProof/>
          </w:rPr>
          <w:t xml:space="preserve">  </w:t>
        </w:r>
        <w:r w:rsidRPr="003874E1">
          <w:rPr>
            <w:rStyle w:val="afb"/>
            <w:rFonts w:hint="eastAsia"/>
            <w:noProof/>
          </w:rPr>
          <w:t>基金托管人</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_Toc173322780 \h</w:instrText>
        </w:r>
        <w:r>
          <w:rPr>
            <w:rFonts w:hint="eastAsia"/>
            <w:noProof/>
            <w:webHidden/>
          </w:rPr>
          <w:instrText xml:space="preserve"> </w:instrText>
        </w:r>
        <w:r>
          <w:rPr>
            <w:rFonts w:hint="eastAsia"/>
            <w:noProof/>
            <w:webHidden/>
          </w:rPr>
        </w:r>
        <w:r>
          <w:rPr>
            <w:rFonts w:hint="eastAsia"/>
            <w:noProof/>
            <w:webHidden/>
          </w:rPr>
          <w:fldChar w:fldCharType="separate"/>
        </w:r>
        <w:r w:rsidR="00231927">
          <w:rPr>
            <w:noProof/>
            <w:webHidden/>
          </w:rPr>
          <w:t>23</w:t>
        </w:r>
        <w:r>
          <w:rPr>
            <w:rFonts w:hint="eastAsia"/>
            <w:noProof/>
            <w:webHidden/>
          </w:rPr>
          <w:fldChar w:fldCharType="end"/>
        </w:r>
      </w:hyperlink>
    </w:p>
    <w:p w14:paraId="7E4F719F" w14:textId="05151B6C" w:rsidR="00342432" w:rsidRDefault="00342432">
      <w:pPr>
        <w:pStyle w:val="TOC1"/>
        <w:rPr>
          <w:rFonts w:asciiTheme="minorHAnsi" w:eastAsiaTheme="minorEastAsia" w:hAnsiTheme="minorHAnsi" w:cstheme="minorBidi"/>
          <w:noProof/>
          <w:szCs w:val="22"/>
          <w14:ligatures w14:val="standardContextual"/>
        </w:rPr>
      </w:pPr>
      <w:hyperlink w:anchor="_Toc173322781" w:history="1">
        <w:r w:rsidRPr="003874E1">
          <w:rPr>
            <w:rStyle w:val="afb"/>
            <w:rFonts w:hint="eastAsia"/>
            <w:noProof/>
          </w:rPr>
          <w:t>第五部分</w:t>
        </w:r>
        <w:r w:rsidRPr="003874E1">
          <w:rPr>
            <w:rStyle w:val="afb"/>
            <w:rFonts w:hint="eastAsia"/>
            <w:noProof/>
          </w:rPr>
          <w:t xml:space="preserve">  </w:t>
        </w:r>
        <w:r w:rsidRPr="003874E1">
          <w:rPr>
            <w:rStyle w:val="afb"/>
            <w:rFonts w:hint="eastAsia"/>
            <w:noProof/>
          </w:rPr>
          <w:t>相关服务机构</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_Toc173322781 \h</w:instrText>
        </w:r>
        <w:r>
          <w:rPr>
            <w:rFonts w:hint="eastAsia"/>
            <w:noProof/>
            <w:webHidden/>
          </w:rPr>
          <w:instrText xml:space="preserve"> </w:instrText>
        </w:r>
        <w:r>
          <w:rPr>
            <w:rFonts w:hint="eastAsia"/>
            <w:noProof/>
            <w:webHidden/>
          </w:rPr>
        </w:r>
        <w:r>
          <w:rPr>
            <w:rFonts w:hint="eastAsia"/>
            <w:noProof/>
            <w:webHidden/>
          </w:rPr>
          <w:fldChar w:fldCharType="separate"/>
        </w:r>
        <w:r w:rsidR="00231927">
          <w:rPr>
            <w:noProof/>
            <w:webHidden/>
          </w:rPr>
          <w:t>27</w:t>
        </w:r>
        <w:r>
          <w:rPr>
            <w:rFonts w:hint="eastAsia"/>
            <w:noProof/>
            <w:webHidden/>
          </w:rPr>
          <w:fldChar w:fldCharType="end"/>
        </w:r>
      </w:hyperlink>
    </w:p>
    <w:p w14:paraId="48C6D413" w14:textId="75DBA2FA" w:rsidR="00342432" w:rsidRDefault="00342432">
      <w:pPr>
        <w:pStyle w:val="TOC1"/>
        <w:rPr>
          <w:rFonts w:asciiTheme="minorHAnsi" w:eastAsiaTheme="minorEastAsia" w:hAnsiTheme="minorHAnsi" w:cstheme="minorBidi"/>
          <w:noProof/>
          <w:szCs w:val="22"/>
          <w14:ligatures w14:val="standardContextual"/>
        </w:rPr>
      </w:pPr>
      <w:hyperlink w:anchor="_Toc173322782" w:history="1">
        <w:r w:rsidRPr="003874E1">
          <w:rPr>
            <w:rStyle w:val="afb"/>
            <w:rFonts w:hint="eastAsia"/>
            <w:noProof/>
          </w:rPr>
          <w:t>第六部分</w:t>
        </w:r>
        <w:r w:rsidRPr="003874E1">
          <w:rPr>
            <w:rStyle w:val="afb"/>
            <w:rFonts w:hint="eastAsia"/>
            <w:noProof/>
          </w:rPr>
          <w:t xml:space="preserve">  </w:t>
        </w:r>
        <w:r w:rsidRPr="003874E1">
          <w:rPr>
            <w:rStyle w:val="afb"/>
            <w:rFonts w:hint="eastAsia"/>
            <w:noProof/>
          </w:rPr>
          <w:t>基金的募集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_Toc173322782 \h</w:instrText>
        </w:r>
        <w:r>
          <w:rPr>
            <w:rFonts w:hint="eastAsia"/>
            <w:noProof/>
            <w:webHidden/>
          </w:rPr>
          <w:instrText xml:space="preserve"> </w:instrText>
        </w:r>
        <w:r>
          <w:rPr>
            <w:rFonts w:hint="eastAsia"/>
            <w:noProof/>
            <w:webHidden/>
          </w:rPr>
        </w:r>
        <w:r>
          <w:rPr>
            <w:rFonts w:hint="eastAsia"/>
            <w:noProof/>
            <w:webHidden/>
          </w:rPr>
          <w:fldChar w:fldCharType="separate"/>
        </w:r>
        <w:r w:rsidR="00231927">
          <w:rPr>
            <w:noProof/>
            <w:webHidden/>
          </w:rPr>
          <w:t>29</w:t>
        </w:r>
        <w:r>
          <w:rPr>
            <w:rFonts w:hint="eastAsia"/>
            <w:noProof/>
            <w:webHidden/>
          </w:rPr>
          <w:fldChar w:fldCharType="end"/>
        </w:r>
      </w:hyperlink>
    </w:p>
    <w:p w14:paraId="0EC2CBBA" w14:textId="05224713" w:rsidR="00342432" w:rsidRDefault="00342432">
      <w:pPr>
        <w:pStyle w:val="TOC1"/>
        <w:rPr>
          <w:rFonts w:asciiTheme="minorHAnsi" w:eastAsiaTheme="minorEastAsia" w:hAnsiTheme="minorHAnsi" w:cstheme="minorBidi"/>
          <w:noProof/>
          <w:szCs w:val="22"/>
          <w14:ligatures w14:val="standardContextual"/>
        </w:rPr>
      </w:pPr>
      <w:hyperlink w:anchor="_Toc173322783" w:history="1">
        <w:r w:rsidRPr="003874E1">
          <w:rPr>
            <w:rStyle w:val="afb"/>
            <w:rFonts w:hint="eastAsia"/>
            <w:noProof/>
          </w:rPr>
          <w:t>第七部分</w:t>
        </w:r>
        <w:r w:rsidRPr="003874E1">
          <w:rPr>
            <w:rStyle w:val="afb"/>
            <w:rFonts w:hint="eastAsia"/>
            <w:noProof/>
          </w:rPr>
          <w:t xml:space="preserve">  </w:t>
        </w:r>
        <w:r w:rsidRPr="003874E1">
          <w:rPr>
            <w:rStyle w:val="afb"/>
            <w:rFonts w:hint="eastAsia"/>
            <w:noProof/>
          </w:rPr>
          <w:t>基金合同的生效</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_Toc173322783 \h</w:instrText>
        </w:r>
        <w:r>
          <w:rPr>
            <w:rFonts w:hint="eastAsia"/>
            <w:noProof/>
            <w:webHidden/>
          </w:rPr>
          <w:instrText xml:space="preserve"> </w:instrText>
        </w:r>
        <w:r>
          <w:rPr>
            <w:rFonts w:hint="eastAsia"/>
            <w:noProof/>
            <w:webHidden/>
          </w:rPr>
        </w:r>
        <w:r>
          <w:rPr>
            <w:rFonts w:hint="eastAsia"/>
            <w:noProof/>
            <w:webHidden/>
          </w:rPr>
          <w:fldChar w:fldCharType="separate"/>
        </w:r>
        <w:r w:rsidR="00231927">
          <w:rPr>
            <w:noProof/>
            <w:webHidden/>
          </w:rPr>
          <w:t>30</w:t>
        </w:r>
        <w:r>
          <w:rPr>
            <w:rFonts w:hint="eastAsia"/>
            <w:noProof/>
            <w:webHidden/>
          </w:rPr>
          <w:fldChar w:fldCharType="end"/>
        </w:r>
      </w:hyperlink>
    </w:p>
    <w:p w14:paraId="620E447B" w14:textId="0B293515" w:rsidR="00342432" w:rsidRDefault="00342432">
      <w:pPr>
        <w:pStyle w:val="TOC1"/>
        <w:rPr>
          <w:rFonts w:asciiTheme="minorHAnsi" w:eastAsiaTheme="minorEastAsia" w:hAnsiTheme="minorHAnsi" w:cstheme="minorBidi"/>
          <w:noProof/>
          <w:szCs w:val="22"/>
          <w14:ligatures w14:val="standardContextual"/>
        </w:rPr>
      </w:pPr>
      <w:hyperlink w:anchor="_Toc173322784" w:history="1">
        <w:r w:rsidRPr="003874E1">
          <w:rPr>
            <w:rStyle w:val="afb"/>
            <w:rFonts w:hint="eastAsia"/>
            <w:noProof/>
          </w:rPr>
          <w:t>第八部分</w:t>
        </w:r>
        <w:r w:rsidRPr="003874E1">
          <w:rPr>
            <w:rStyle w:val="afb"/>
            <w:rFonts w:hint="eastAsia"/>
            <w:noProof/>
          </w:rPr>
          <w:t xml:space="preserve">  </w:t>
        </w:r>
        <w:r w:rsidRPr="003874E1">
          <w:rPr>
            <w:rStyle w:val="afb"/>
            <w:rFonts w:hint="eastAsia"/>
            <w:noProof/>
          </w:rPr>
          <w:t>基金份额的申购与赎回</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_Toc173322784 \h</w:instrText>
        </w:r>
        <w:r>
          <w:rPr>
            <w:rFonts w:hint="eastAsia"/>
            <w:noProof/>
            <w:webHidden/>
          </w:rPr>
          <w:instrText xml:space="preserve"> </w:instrText>
        </w:r>
        <w:r>
          <w:rPr>
            <w:rFonts w:hint="eastAsia"/>
            <w:noProof/>
            <w:webHidden/>
          </w:rPr>
        </w:r>
        <w:r>
          <w:rPr>
            <w:rFonts w:hint="eastAsia"/>
            <w:noProof/>
            <w:webHidden/>
          </w:rPr>
          <w:fldChar w:fldCharType="separate"/>
        </w:r>
        <w:r w:rsidR="00231927">
          <w:rPr>
            <w:noProof/>
            <w:webHidden/>
          </w:rPr>
          <w:t>31</w:t>
        </w:r>
        <w:r>
          <w:rPr>
            <w:rFonts w:hint="eastAsia"/>
            <w:noProof/>
            <w:webHidden/>
          </w:rPr>
          <w:fldChar w:fldCharType="end"/>
        </w:r>
      </w:hyperlink>
    </w:p>
    <w:p w14:paraId="58661F70" w14:textId="03CF37A2" w:rsidR="00342432" w:rsidRDefault="00342432">
      <w:pPr>
        <w:pStyle w:val="TOC1"/>
        <w:rPr>
          <w:rFonts w:asciiTheme="minorHAnsi" w:eastAsiaTheme="minorEastAsia" w:hAnsiTheme="minorHAnsi" w:cstheme="minorBidi"/>
          <w:noProof/>
          <w:szCs w:val="22"/>
          <w14:ligatures w14:val="standardContextual"/>
        </w:rPr>
      </w:pPr>
      <w:hyperlink w:anchor="_Toc173322785" w:history="1">
        <w:r w:rsidRPr="003874E1">
          <w:rPr>
            <w:rStyle w:val="afb"/>
            <w:rFonts w:hint="eastAsia"/>
            <w:noProof/>
          </w:rPr>
          <w:t>第九部分</w:t>
        </w:r>
        <w:r w:rsidRPr="003874E1">
          <w:rPr>
            <w:rStyle w:val="afb"/>
            <w:rFonts w:hint="eastAsia"/>
            <w:noProof/>
          </w:rPr>
          <w:t xml:space="preserve">  </w:t>
        </w:r>
        <w:r w:rsidRPr="003874E1">
          <w:rPr>
            <w:rStyle w:val="afb"/>
            <w:rFonts w:hint="eastAsia"/>
            <w:noProof/>
          </w:rPr>
          <w:t>基金的投资</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_Toc173322785 \h</w:instrText>
        </w:r>
        <w:r>
          <w:rPr>
            <w:rFonts w:hint="eastAsia"/>
            <w:noProof/>
            <w:webHidden/>
          </w:rPr>
          <w:instrText xml:space="preserve"> </w:instrText>
        </w:r>
        <w:r>
          <w:rPr>
            <w:rFonts w:hint="eastAsia"/>
            <w:noProof/>
            <w:webHidden/>
          </w:rPr>
        </w:r>
        <w:r>
          <w:rPr>
            <w:rFonts w:hint="eastAsia"/>
            <w:noProof/>
            <w:webHidden/>
          </w:rPr>
          <w:fldChar w:fldCharType="separate"/>
        </w:r>
        <w:r w:rsidR="00231927">
          <w:rPr>
            <w:noProof/>
            <w:webHidden/>
          </w:rPr>
          <w:t>42</w:t>
        </w:r>
        <w:r>
          <w:rPr>
            <w:rFonts w:hint="eastAsia"/>
            <w:noProof/>
            <w:webHidden/>
          </w:rPr>
          <w:fldChar w:fldCharType="end"/>
        </w:r>
      </w:hyperlink>
    </w:p>
    <w:p w14:paraId="60D0F616" w14:textId="758A195A" w:rsidR="00342432" w:rsidRDefault="00342432">
      <w:pPr>
        <w:pStyle w:val="TOC1"/>
        <w:rPr>
          <w:rFonts w:asciiTheme="minorHAnsi" w:eastAsiaTheme="minorEastAsia" w:hAnsiTheme="minorHAnsi" w:cstheme="minorBidi"/>
          <w:noProof/>
          <w:szCs w:val="22"/>
          <w14:ligatures w14:val="standardContextual"/>
        </w:rPr>
      </w:pPr>
      <w:hyperlink w:anchor="_Toc173322786" w:history="1">
        <w:r w:rsidRPr="003874E1">
          <w:rPr>
            <w:rStyle w:val="afb"/>
            <w:rFonts w:hint="eastAsia"/>
            <w:noProof/>
          </w:rPr>
          <w:t>第十部分</w:t>
        </w:r>
        <w:r w:rsidRPr="003874E1">
          <w:rPr>
            <w:rStyle w:val="afb"/>
            <w:rFonts w:hint="eastAsia"/>
            <w:noProof/>
          </w:rPr>
          <w:t xml:space="preserve">  </w:t>
        </w:r>
        <w:r w:rsidRPr="003874E1">
          <w:rPr>
            <w:rStyle w:val="afb"/>
            <w:rFonts w:hint="eastAsia"/>
            <w:noProof/>
          </w:rPr>
          <w:t>基金的</w:t>
        </w:r>
        <w:r w:rsidRPr="003874E1">
          <w:rPr>
            <w:rStyle w:val="afb"/>
            <w:rFonts w:hint="eastAsia"/>
            <w:noProof/>
          </w:rPr>
          <w:t>财</w:t>
        </w:r>
        <w:r w:rsidRPr="003874E1">
          <w:rPr>
            <w:rStyle w:val="afb"/>
            <w:rFonts w:hint="eastAsia"/>
            <w:noProof/>
          </w:rPr>
          <w:t>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_Toc173322786 \h</w:instrText>
        </w:r>
        <w:r>
          <w:rPr>
            <w:rFonts w:hint="eastAsia"/>
            <w:noProof/>
            <w:webHidden/>
          </w:rPr>
          <w:instrText xml:space="preserve"> </w:instrText>
        </w:r>
        <w:r>
          <w:rPr>
            <w:rFonts w:hint="eastAsia"/>
            <w:noProof/>
            <w:webHidden/>
          </w:rPr>
        </w:r>
        <w:r>
          <w:rPr>
            <w:rFonts w:hint="eastAsia"/>
            <w:noProof/>
            <w:webHidden/>
          </w:rPr>
          <w:fldChar w:fldCharType="separate"/>
        </w:r>
        <w:r w:rsidR="00231927">
          <w:rPr>
            <w:noProof/>
            <w:webHidden/>
          </w:rPr>
          <w:t>59</w:t>
        </w:r>
        <w:r>
          <w:rPr>
            <w:rFonts w:hint="eastAsia"/>
            <w:noProof/>
            <w:webHidden/>
          </w:rPr>
          <w:fldChar w:fldCharType="end"/>
        </w:r>
      </w:hyperlink>
    </w:p>
    <w:p w14:paraId="4B7D8122" w14:textId="43BD7CE5" w:rsidR="00342432" w:rsidRDefault="00342432">
      <w:pPr>
        <w:pStyle w:val="TOC1"/>
        <w:rPr>
          <w:rFonts w:asciiTheme="minorHAnsi" w:eastAsiaTheme="minorEastAsia" w:hAnsiTheme="minorHAnsi" w:cstheme="minorBidi"/>
          <w:noProof/>
          <w:szCs w:val="22"/>
          <w14:ligatures w14:val="standardContextual"/>
        </w:rPr>
      </w:pPr>
      <w:hyperlink w:anchor="_Toc173322787" w:history="1">
        <w:r w:rsidRPr="003874E1">
          <w:rPr>
            <w:rStyle w:val="afb"/>
            <w:rFonts w:hint="eastAsia"/>
            <w:noProof/>
          </w:rPr>
          <w:t>第十一部分</w:t>
        </w:r>
        <w:r w:rsidRPr="003874E1">
          <w:rPr>
            <w:rStyle w:val="afb"/>
            <w:rFonts w:hint="eastAsia"/>
            <w:noProof/>
          </w:rPr>
          <w:t xml:space="preserve">  </w:t>
        </w:r>
        <w:r w:rsidRPr="003874E1">
          <w:rPr>
            <w:rStyle w:val="afb"/>
            <w:rFonts w:hint="eastAsia"/>
            <w:noProof/>
          </w:rPr>
          <w:t>基金资产的估值</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_Toc173322787 \h</w:instrText>
        </w:r>
        <w:r>
          <w:rPr>
            <w:rFonts w:hint="eastAsia"/>
            <w:noProof/>
            <w:webHidden/>
          </w:rPr>
          <w:instrText xml:space="preserve"> </w:instrText>
        </w:r>
        <w:r>
          <w:rPr>
            <w:rFonts w:hint="eastAsia"/>
            <w:noProof/>
            <w:webHidden/>
          </w:rPr>
        </w:r>
        <w:r>
          <w:rPr>
            <w:rFonts w:hint="eastAsia"/>
            <w:noProof/>
            <w:webHidden/>
          </w:rPr>
          <w:fldChar w:fldCharType="separate"/>
        </w:r>
        <w:r w:rsidR="00231927">
          <w:rPr>
            <w:noProof/>
            <w:webHidden/>
          </w:rPr>
          <w:t>60</w:t>
        </w:r>
        <w:r>
          <w:rPr>
            <w:rFonts w:hint="eastAsia"/>
            <w:noProof/>
            <w:webHidden/>
          </w:rPr>
          <w:fldChar w:fldCharType="end"/>
        </w:r>
      </w:hyperlink>
    </w:p>
    <w:p w14:paraId="28CFD8B5" w14:textId="14831878" w:rsidR="00342432" w:rsidRDefault="00342432">
      <w:pPr>
        <w:pStyle w:val="TOC1"/>
        <w:rPr>
          <w:rFonts w:asciiTheme="minorHAnsi" w:eastAsiaTheme="minorEastAsia" w:hAnsiTheme="minorHAnsi" w:cstheme="minorBidi"/>
          <w:noProof/>
          <w:szCs w:val="22"/>
          <w14:ligatures w14:val="standardContextual"/>
        </w:rPr>
      </w:pPr>
      <w:hyperlink w:anchor="_Toc173322788" w:history="1">
        <w:r w:rsidRPr="003874E1">
          <w:rPr>
            <w:rStyle w:val="afb"/>
            <w:rFonts w:hint="eastAsia"/>
            <w:noProof/>
          </w:rPr>
          <w:t>第十二部分</w:t>
        </w:r>
        <w:r w:rsidRPr="003874E1">
          <w:rPr>
            <w:rStyle w:val="afb"/>
            <w:rFonts w:hint="eastAsia"/>
            <w:noProof/>
          </w:rPr>
          <w:t xml:space="preserve">  </w:t>
        </w:r>
        <w:r w:rsidRPr="003874E1">
          <w:rPr>
            <w:rStyle w:val="afb"/>
            <w:rFonts w:hint="eastAsia"/>
            <w:noProof/>
          </w:rPr>
          <w:t>基金的收益分配</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_Toc173322788 \h</w:instrText>
        </w:r>
        <w:r>
          <w:rPr>
            <w:rFonts w:hint="eastAsia"/>
            <w:noProof/>
            <w:webHidden/>
          </w:rPr>
          <w:instrText xml:space="preserve"> </w:instrText>
        </w:r>
        <w:r>
          <w:rPr>
            <w:rFonts w:hint="eastAsia"/>
            <w:noProof/>
            <w:webHidden/>
          </w:rPr>
        </w:r>
        <w:r>
          <w:rPr>
            <w:rFonts w:hint="eastAsia"/>
            <w:noProof/>
            <w:webHidden/>
          </w:rPr>
          <w:fldChar w:fldCharType="separate"/>
        </w:r>
        <w:r w:rsidR="00231927">
          <w:rPr>
            <w:noProof/>
            <w:webHidden/>
          </w:rPr>
          <w:t>66</w:t>
        </w:r>
        <w:r>
          <w:rPr>
            <w:rFonts w:hint="eastAsia"/>
            <w:noProof/>
            <w:webHidden/>
          </w:rPr>
          <w:fldChar w:fldCharType="end"/>
        </w:r>
      </w:hyperlink>
    </w:p>
    <w:p w14:paraId="48B96C0C" w14:textId="4F4AC9E8" w:rsidR="00342432" w:rsidRDefault="00342432">
      <w:pPr>
        <w:pStyle w:val="TOC1"/>
        <w:rPr>
          <w:rFonts w:asciiTheme="minorHAnsi" w:eastAsiaTheme="minorEastAsia" w:hAnsiTheme="minorHAnsi" w:cstheme="minorBidi"/>
          <w:noProof/>
          <w:szCs w:val="22"/>
          <w14:ligatures w14:val="standardContextual"/>
        </w:rPr>
      </w:pPr>
      <w:hyperlink w:anchor="_Toc173322789" w:history="1">
        <w:r w:rsidRPr="003874E1">
          <w:rPr>
            <w:rStyle w:val="afb"/>
            <w:rFonts w:hint="eastAsia"/>
            <w:noProof/>
          </w:rPr>
          <w:t>第十三部分</w:t>
        </w:r>
        <w:r w:rsidRPr="003874E1">
          <w:rPr>
            <w:rStyle w:val="afb"/>
            <w:rFonts w:hint="eastAsia"/>
            <w:noProof/>
          </w:rPr>
          <w:t xml:space="preserve">  </w:t>
        </w:r>
        <w:r w:rsidRPr="003874E1">
          <w:rPr>
            <w:rStyle w:val="afb"/>
            <w:rFonts w:hint="eastAsia"/>
            <w:noProof/>
          </w:rPr>
          <w:t>基金费用与税收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_Toc173322789 \h</w:instrText>
        </w:r>
        <w:r>
          <w:rPr>
            <w:rFonts w:hint="eastAsia"/>
            <w:noProof/>
            <w:webHidden/>
          </w:rPr>
          <w:instrText xml:space="preserve"> </w:instrText>
        </w:r>
        <w:r>
          <w:rPr>
            <w:rFonts w:hint="eastAsia"/>
            <w:noProof/>
            <w:webHidden/>
          </w:rPr>
        </w:r>
        <w:r>
          <w:rPr>
            <w:rFonts w:hint="eastAsia"/>
            <w:noProof/>
            <w:webHidden/>
          </w:rPr>
          <w:fldChar w:fldCharType="separate"/>
        </w:r>
        <w:r w:rsidR="00231927">
          <w:rPr>
            <w:noProof/>
            <w:webHidden/>
          </w:rPr>
          <w:t>68</w:t>
        </w:r>
        <w:r>
          <w:rPr>
            <w:rFonts w:hint="eastAsia"/>
            <w:noProof/>
            <w:webHidden/>
          </w:rPr>
          <w:fldChar w:fldCharType="end"/>
        </w:r>
      </w:hyperlink>
    </w:p>
    <w:p w14:paraId="0C72EF77" w14:textId="7F4A2743" w:rsidR="00342432" w:rsidRDefault="00342432">
      <w:pPr>
        <w:pStyle w:val="TOC1"/>
        <w:rPr>
          <w:rFonts w:asciiTheme="minorHAnsi" w:eastAsiaTheme="minorEastAsia" w:hAnsiTheme="minorHAnsi" w:cstheme="minorBidi"/>
          <w:noProof/>
          <w:szCs w:val="22"/>
          <w14:ligatures w14:val="standardContextual"/>
        </w:rPr>
      </w:pPr>
      <w:hyperlink w:anchor="_Toc173322790" w:history="1">
        <w:r w:rsidRPr="003874E1">
          <w:rPr>
            <w:rStyle w:val="afb"/>
            <w:rFonts w:hint="eastAsia"/>
            <w:noProof/>
          </w:rPr>
          <w:t>第十四部分</w:t>
        </w:r>
        <w:r w:rsidRPr="003874E1">
          <w:rPr>
            <w:rStyle w:val="afb"/>
            <w:rFonts w:hint="eastAsia"/>
            <w:noProof/>
          </w:rPr>
          <w:t xml:space="preserve">  </w:t>
        </w:r>
        <w:r w:rsidRPr="003874E1">
          <w:rPr>
            <w:rStyle w:val="afb"/>
            <w:rFonts w:hint="eastAsia"/>
            <w:noProof/>
          </w:rPr>
          <w:t>基金的会计与审计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_Toc173322790 \h</w:instrText>
        </w:r>
        <w:r>
          <w:rPr>
            <w:rFonts w:hint="eastAsia"/>
            <w:noProof/>
            <w:webHidden/>
          </w:rPr>
          <w:instrText xml:space="preserve"> </w:instrText>
        </w:r>
        <w:r>
          <w:rPr>
            <w:rFonts w:hint="eastAsia"/>
            <w:noProof/>
            <w:webHidden/>
          </w:rPr>
        </w:r>
        <w:r>
          <w:rPr>
            <w:rFonts w:hint="eastAsia"/>
            <w:noProof/>
            <w:webHidden/>
          </w:rPr>
          <w:fldChar w:fldCharType="separate"/>
        </w:r>
        <w:r w:rsidR="00231927">
          <w:rPr>
            <w:noProof/>
            <w:webHidden/>
          </w:rPr>
          <w:t>71</w:t>
        </w:r>
        <w:r>
          <w:rPr>
            <w:rFonts w:hint="eastAsia"/>
            <w:noProof/>
            <w:webHidden/>
          </w:rPr>
          <w:fldChar w:fldCharType="end"/>
        </w:r>
      </w:hyperlink>
    </w:p>
    <w:p w14:paraId="3059594F" w14:textId="263F66EA" w:rsidR="00342432" w:rsidRDefault="00342432">
      <w:pPr>
        <w:pStyle w:val="TOC1"/>
        <w:rPr>
          <w:rFonts w:asciiTheme="minorHAnsi" w:eastAsiaTheme="minorEastAsia" w:hAnsiTheme="minorHAnsi" w:cstheme="minorBidi"/>
          <w:noProof/>
          <w:szCs w:val="22"/>
          <w14:ligatures w14:val="standardContextual"/>
        </w:rPr>
      </w:pPr>
      <w:hyperlink w:anchor="_Toc173322791" w:history="1">
        <w:r w:rsidRPr="003874E1">
          <w:rPr>
            <w:rStyle w:val="afb"/>
            <w:rFonts w:hint="eastAsia"/>
            <w:noProof/>
          </w:rPr>
          <w:t>第十五部分</w:t>
        </w:r>
        <w:r w:rsidRPr="003874E1">
          <w:rPr>
            <w:rStyle w:val="afb"/>
            <w:rFonts w:hint="eastAsia"/>
            <w:noProof/>
          </w:rPr>
          <w:t xml:space="preserve">  </w:t>
        </w:r>
        <w:r w:rsidRPr="003874E1">
          <w:rPr>
            <w:rStyle w:val="afb"/>
            <w:rFonts w:hint="eastAsia"/>
            <w:noProof/>
          </w:rPr>
          <w:t>基金的信息披露</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_Toc173322791 \h</w:instrText>
        </w:r>
        <w:r>
          <w:rPr>
            <w:rFonts w:hint="eastAsia"/>
            <w:noProof/>
            <w:webHidden/>
          </w:rPr>
          <w:instrText xml:space="preserve"> </w:instrText>
        </w:r>
        <w:r>
          <w:rPr>
            <w:rFonts w:hint="eastAsia"/>
            <w:noProof/>
            <w:webHidden/>
          </w:rPr>
        </w:r>
        <w:r>
          <w:rPr>
            <w:rFonts w:hint="eastAsia"/>
            <w:noProof/>
            <w:webHidden/>
          </w:rPr>
          <w:fldChar w:fldCharType="separate"/>
        </w:r>
        <w:r w:rsidR="00231927">
          <w:rPr>
            <w:noProof/>
            <w:webHidden/>
          </w:rPr>
          <w:t>72</w:t>
        </w:r>
        <w:r>
          <w:rPr>
            <w:rFonts w:hint="eastAsia"/>
            <w:noProof/>
            <w:webHidden/>
          </w:rPr>
          <w:fldChar w:fldCharType="end"/>
        </w:r>
      </w:hyperlink>
    </w:p>
    <w:p w14:paraId="6EC40490" w14:textId="0367480F" w:rsidR="00342432" w:rsidRDefault="00342432">
      <w:pPr>
        <w:pStyle w:val="TOC1"/>
        <w:rPr>
          <w:rFonts w:asciiTheme="minorHAnsi" w:eastAsiaTheme="minorEastAsia" w:hAnsiTheme="minorHAnsi" w:cstheme="minorBidi"/>
          <w:noProof/>
          <w:szCs w:val="22"/>
          <w14:ligatures w14:val="standardContextual"/>
        </w:rPr>
      </w:pPr>
      <w:hyperlink w:anchor="_Toc173322792" w:history="1">
        <w:r w:rsidRPr="003874E1">
          <w:rPr>
            <w:rStyle w:val="afb"/>
            <w:rFonts w:hint="eastAsia"/>
            <w:noProof/>
          </w:rPr>
          <w:t>第十六部分</w:t>
        </w:r>
        <w:r w:rsidRPr="003874E1">
          <w:rPr>
            <w:rStyle w:val="afb"/>
            <w:rFonts w:hint="eastAsia"/>
            <w:noProof/>
          </w:rPr>
          <w:t xml:space="preserve">  </w:t>
        </w:r>
        <w:r w:rsidRPr="003874E1">
          <w:rPr>
            <w:rStyle w:val="afb"/>
            <w:rFonts w:hint="eastAsia"/>
            <w:noProof/>
          </w:rPr>
          <w:t>侧袋机制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_Toc173322792 \h</w:instrText>
        </w:r>
        <w:r>
          <w:rPr>
            <w:rFonts w:hint="eastAsia"/>
            <w:noProof/>
            <w:webHidden/>
          </w:rPr>
          <w:instrText xml:space="preserve"> </w:instrText>
        </w:r>
        <w:r>
          <w:rPr>
            <w:rFonts w:hint="eastAsia"/>
            <w:noProof/>
            <w:webHidden/>
          </w:rPr>
        </w:r>
        <w:r>
          <w:rPr>
            <w:rFonts w:hint="eastAsia"/>
            <w:noProof/>
            <w:webHidden/>
          </w:rPr>
          <w:fldChar w:fldCharType="separate"/>
        </w:r>
        <w:r w:rsidR="00231927">
          <w:rPr>
            <w:noProof/>
            <w:webHidden/>
          </w:rPr>
          <w:t>80</w:t>
        </w:r>
        <w:r>
          <w:rPr>
            <w:rFonts w:hint="eastAsia"/>
            <w:noProof/>
            <w:webHidden/>
          </w:rPr>
          <w:fldChar w:fldCharType="end"/>
        </w:r>
      </w:hyperlink>
    </w:p>
    <w:p w14:paraId="70EFF27C" w14:textId="4A96359B" w:rsidR="00342432" w:rsidRDefault="00342432">
      <w:pPr>
        <w:pStyle w:val="TOC1"/>
        <w:rPr>
          <w:rFonts w:asciiTheme="minorHAnsi" w:eastAsiaTheme="minorEastAsia" w:hAnsiTheme="minorHAnsi" w:cstheme="minorBidi"/>
          <w:noProof/>
          <w:szCs w:val="22"/>
          <w14:ligatures w14:val="standardContextual"/>
        </w:rPr>
      </w:pPr>
      <w:hyperlink w:anchor="_Toc173322793" w:history="1">
        <w:r w:rsidRPr="003874E1">
          <w:rPr>
            <w:rStyle w:val="afb"/>
            <w:rFonts w:hint="eastAsia"/>
            <w:noProof/>
          </w:rPr>
          <w:t>第十七部分</w:t>
        </w:r>
        <w:r w:rsidRPr="003874E1">
          <w:rPr>
            <w:rStyle w:val="afb"/>
            <w:rFonts w:hint="eastAsia"/>
            <w:noProof/>
          </w:rPr>
          <w:t xml:space="preserve">  </w:t>
        </w:r>
        <w:r w:rsidRPr="003874E1">
          <w:rPr>
            <w:rStyle w:val="afb"/>
            <w:rFonts w:hint="eastAsia"/>
            <w:noProof/>
          </w:rPr>
          <w:t>风险揭示</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_Toc173322793 \h</w:instrText>
        </w:r>
        <w:r>
          <w:rPr>
            <w:rFonts w:hint="eastAsia"/>
            <w:noProof/>
            <w:webHidden/>
          </w:rPr>
          <w:instrText xml:space="preserve"> </w:instrText>
        </w:r>
        <w:r>
          <w:rPr>
            <w:rFonts w:hint="eastAsia"/>
            <w:noProof/>
            <w:webHidden/>
          </w:rPr>
        </w:r>
        <w:r>
          <w:rPr>
            <w:rFonts w:hint="eastAsia"/>
            <w:noProof/>
            <w:webHidden/>
          </w:rPr>
          <w:fldChar w:fldCharType="separate"/>
        </w:r>
        <w:r w:rsidR="00231927">
          <w:rPr>
            <w:noProof/>
            <w:webHidden/>
          </w:rPr>
          <w:t>83</w:t>
        </w:r>
        <w:r>
          <w:rPr>
            <w:rFonts w:hint="eastAsia"/>
            <w:noProof/>
            <w:webHidden/>
          </w:rPr>
          <w:fldChar w:fldCharType="end"/>
        </w:r>
      </w:hyperlink>
    </w:p>
    <w:p w14:paraId="403667B9" w14:textId="54FC6488" w:rsidR="00342432" w:rsidRDefault="00342432">
      <w:pPr>
        <w:pStyle w:val="TOC1"/>
        <w:rPr>
          <w:rFonts w:asciiTheme="minorHAnsi" w:eastAsiaTheme="minorEastAsia" w:hAnsiTheme="minorHAnsi" w:cstheme="minorBidi"/>
          <w:noProof/>
          <w:szCs w:val="22"/>
          <w14:ligatures w14:val="standardContextual"/>
        </w:rPr>
      </w:pPr>
      <w:hyperlink w:anchor="_Toc173322794" w:history="1">
        <w:r w:rsidRPr="003874E1">
          <w:rPr>
            <w:rStyle w:val="afb"/>
            <w:rFonts w:hint="eastAsia"/>
            <w:noProof/>
          </w:rPr>
          <w:t>第十八部分</w:t>
        </w:r>
        <w:r w:rsidRPr="003874E1">
          <w:rPr>
            <w:rStyle w:val="afb"/>
            <w:rFonts w:hint="eastAsia"/>
            <w:noProof/>
          </w:rPr>
          <w:t xml:space="preserve">  </w:t>
        </w:r>
        <w:r w:rsidRPr="003874E1">
          <w:rPr>
            <w:rStyle w:val="afb"/>
            <w:rFonts w:hint="eastAsia"/>
            <w:noProof/>
          </w:rPr>
          <w:t>基金合同的变更、终止与基金财产的清算</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_Toc173322794 \h</w:instrText>
        </w:r>
        <w:r>
          <w:rPr>
            <w:rFonts w:hint="eastAsia"/>
            <w:noProof/>
            <w:webHidden/>
          </w:rPr>
          <w:instrText xml:space="preserve"> </w:instrText>
        </w:r>
        <w:r>
          <w:rPr>
            <w:rFonts w:hint="eastAsia"/>
            <w:noProof/>
            <w:webHidden/>
          </w:rPr>
        </w:r>
        <w:r>
          <w:rPr>
            <w:rFonts w:hint="eastAsia"/>
            <w:noProof/>
            <w:webHidden/>
          </w:rPr>
          <w:fldChar w:fldCharType="separate"/>
        </w:r>
        <w:r w:rsidR="00231927">
          <w:rPr>
            <w:noProof/>
            <w:webHidden/>
          </w:rPr>
          <w:t>88</w:t>
        </w:r>
        <w:r>
          <w:rPr>
            <w:rFonts w:hint="eastAsia"/>
            <w:noProof/>
            <w:webHidden/>
          </w:rPr>
          <w:fldChar w:fldCharType="end"/>
        </w:r>
      </w:hyperlink>
    </w:p>
    <w:p w14:paraId="0235F49C" w14:textId="1389D74D" w:rsidR="00342432" w:rsidRDefault="00342432">
      <w:pPr>
        <w:pStyle w:val="TOC1"/>
        <w:rPr>
          <w:rFonts w:asciiTheme="minorHAnsi" w:eastAsiaTheme="minorEastAsia" w:hAnsiTheme="minorHAnsi" w:cstheme="minorBidi"/>
          <w:noProof/>
          <w:szCs w:val="22"/>
          <w14:ligatures w14:val="standardContextual"/>
        </w:rPr>
      </w:pPr>
      <w:hyperlink w:anchor="_Toc173322795" w:history="1">
        <w:r w:rsidRPr="003874E1">
          <w:rPr>
            <w:rStyle w:val="afb"/>
            <w:rFonts w:hint="eastAsia"/>
            <w:noProof/>
          </w:rPr>
          <w:t>第十九部分</w:t>
        </w:r>
        <w:r w:rsidRPr="003874E1">
          <w:rPr>
            <w:rStyle w:val="afb"/>
            <w:rFonts w:hint="eastAsia"/>
            <w:noProof/>
          </w:rPr>
          <w:t xml:space="preserve">  </w:t>
        </w:r>
        <w:r w:rsidRPr="003874E1">
          <w:rPr>
            <w:rStyle w:val="afb"/>
            <w:rFonts w:hint="eastAsia"/>
            <w:noProof/>
          </w:rPr>
          <w:t>基金合同的内容摘要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_Toc173322795 \h</w:instrText>
        </w:r>
        <w:r>
          <w:rPr>
            <w:rFonts w:hint="eastAsia"/>
            <w:noProof/>
            <w:webHidden/>
          </w:rPr>
          <w:instrText xml:space="preserve"> </w:instrText>
        </w:r>
        <w:r>
          <w:rPr>
            <w:rFonts w:hint="eastAsia"/>
            <w:noProof/>
            <w:webHidden/>
          </w:rPr>
        </w:r>
        <w:r>
          <w:rPr>
            <w:rFonts w:hint="eastAsia"/>
            <w:noProof/>
            <w:webHidden/>
          </w:rPr>
          <w:fldChar w:fldCharType="separate"/>
        </w:r>
        <w:r w:rsidR="00231927">
          <w:rPr>
            <w:noProof/>
            <w:webHidden/>
          </w:rPr>
          <w:t>90</w:t>
        </w:r>
        <w:r>
          <w:rPr>
            <w:rFonts w:hint="eastAsia"/>
            <w:noProof/>
            <w:webHidden/>
          </w:rPr>
          <w:fldChar w:fldCharType="end"/>
        </w:r>
      </w:hyperlink>
    </w:p>
    <w:p w14:paraId="6AF5B453" w14:textId="0F148F48" w:rsidR="00342432" w:rsidRDefault="00342432">
      <w:pPr>
        <w:pStyle w:val="TOC1"/>
        <w:rPr>
          <w:rFonts w:asciiTheme="minorHAnsi" w:eastAsiaTheme="minorEastAsia" w:hAnsiTheme="minorHAnsi" w:cstheme="minorBidi"/>
          <w:noProof/>
          <w:szCs w:val="22"/>
          <w14:ligatures w14:val="standardContextual"/>
        </w:rPr>
      </w:pPr>
      <w:hyperlink w:anchor="_Toc173322796" w:history="1">
        <w:r w:rsidRPr="003874E1">
          <w:rPr>
            <w:rStyle w:val="afb"/>
            <w:rFonts w:hint="eastAsia"/>
            <w:noProof/>
          </w:rPr>
          <w:t>第二十部分</w:t>
        </w:r>
        <w:r w:rsidRPr="003874E1">
          <w:rPr>
            <w:rStyle w:val="afb"/>
            <w:rFonts w:hint="eastAsia"/>
            <w:noProof/>
          </w:rPr>
          <w:t xml:space="preserve">  </w:t>
        </w:r>
        <w:r w:rsidRPr="003874E1">
          <w:rPr>
            <w:rStyle w:val="afb"/>
            <w:rFonts w:hint="eastAsia"/>
            <w:noProof/>
          </w:rPr>
          <w:t>基金托管协议的内容摘要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_Toc173322796 \h</w:instrText>
        </w:r>
        <w:r>
          <w:rPr>
            <w:rFonts w:hint="eastAsia"/>
            <w:noProof/>
            <w:webHidden/>
          </w:rPr>
          <w:instrText xml:space="preserve"> </w:instrText>
        </w:r>
        <w:r>
          <w:rPr>
            <w:rFonts w:hint="eastAsia"/>
            <w:noProof/>
            <w:webHidden/>
          </w:rPr>
        </w:r>
        <w:r>
          <w:rPr>
            <w:rFonts w:hint="eastAsia"/>
            <w:noProof/>
            <w:webHidden/>
          </w:rPr>
          <w:fldChar w:fldCharType="separate"/>
        </w:r>
        <w:r w:rsidR="00231927">
          <w:rPr>
            <w:noProof/>
            <w:webHidden/>
          </w:rPr>
          <w:t>107</w:t>
        </w:r>
        <w:r>
          <w:rPr>
            <w:rFonts w:hint="eastAsia"/>
            <w:noProof/>
            <w:webHidden/>
          </w:rPr>
          <w:fldChar w:fldCharType="end"/>
        </w:r>
      </w:hyperlink>
    </w:p>
    <w:p w14:paraId="6F13C212" w14:textId="25D2FE70" w:rsidR="00342432" w:rsidRDefault="00342432">
      <w:pPr>
        <w:pStyle w:val="TOC1"/>
        <w:rPr>
          <w:rFonts w:asciiTheme="minorHAnsi" w:eastAsiaTheme="minorEastAsia" w:hAnsiTheme="minorHAnsi" w:cstheme="minorBidi"/>
          <w:noProof/>
          <w:szCs w:val="22"/>
          <w14:ligatures w14:val="standardContextual"/>
        </w:rPr>
      </w:pPr>
      <w:hyperlink w:anchor="_Toc173322797" w:history="1">
        <w:r w:rsidRPr="003874E1">
          <w:rPr>
            <w:rStyle w:val="afb"/>
            <w:rFonts w:hint="eastAsia"/>
            <w:noProof/>
          </w:rPr>
          <w:t>第二十一部分</w:t>
        </w:r>
        <w:r w:rsidRPr="003874E1">
          <w:rPr>
            <w:rStyle w:val="afb"/>
            <w:rFonts w:hint="eastAsia"/>
            <w:noProof/>
          </w:rPr>
          <w:t xml:space="preserve">  </w:t>
        </w:r>
        <w:r w:rsidRPr="003874E1">
          <w:rPr>
            <w:rStyle w:val="afb"/>
            <w:rFonts w:hint="eastAsia"/>
            <w:noProof/>
          </w:rPr>
          <w:t>对基金份额持有人的服务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_Toc173322797 \h</w:instrText>
        </w:r>
        <w:r>
          <w:rPr>
            <w:rFonts w:hint="eastAsia"/>
            <w:noProof/>
            <w:webHidden/>
          </w:rPr>
          <w:instrText xml:space="preserve"> </w:instrText>
        </w:r>
        <w:r>
          <w:rPr>
            <w:rFonts w:hint="eastAsia"/>
            <w:noProof/>
            <w:webHidden/>
          </w:rPr>
        </w:r>
        <w:r>
          <w:rPr>
            <w:rFonts w:hint="eastAsia"/>
            <w:noProof/>
            <w:webHidden/>
          </w:rPr>
          <w:fldChar w:fldCharType="separate"/>
        </w:r>
        <w:r w:rsidR="00231927">
          <w:rPr>
            <w:noProof/>
            <w:webHidden/>
          </w:rPr>
          <w:t>129</w:t>
        </w:r>
        <w:r>
          <w:rPr>
            <w:rFonts w:hint="eastAsia"/>
            <w:noProof/>
            <w:webHidden/>
          </w:rPr>
          <w:fldChar w:fldCharType="end"/>
        </w:r>
      </w:hyperlink>
    </w:p>
    <w:p w14:paraId="64092F49" w14:textId="52E16E94" w:rsidR="00342432" w:rsidRDefault="00342432">
      <w:pPr>
        <w:pStyle w:val="TOC1"/>
        <w:rPr>
          <w:rFonts w:asciiTheme="minorHAnsi" w:eastAsiaTheme="minorEastAsia" w:hAnsiTheme="minorHAnsi" w:cstheme="minorBidi"/>
          <w:noProof/>
          <w:szCs w:val="22"/>
          <w14:ligatures w14:val="standardContextual"/>
        </w:rPr>
      </w:pPr>
      <w:hyperlink w:anchor="_Toc173322798" w:history="1">
        <w:r w:rsidRPr="003874E1">
          <w:rPr>
            <w:rStyle w:val="afb"/>
            <w:rFonts w:hint="eastAsia"/>
            <w:noProof/>
          </w:rPr>
          <w:t>第二十二部分</w:t>
        </w:r>
        <w:r w:rsidRPr="003874E1">
          <w:rPr>
            <w:rStyle w:val="afb"/>
            <w:rFonts w:hint="eastAsia"/>
            <w:noProof/>
          </w:rPr>
          <w:t xml:space="preserve">  </w:t>
        </w:r>
        <w:r w:rsidRPr="003874E1">
          <w:rPr>
            <w:rStyle w:val="afb"/>
            <w:rFonts w:hint="eastAsia"/>
            <w:noProof/>
          </w:rPr>
          <w:t>其他应披露事项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_Toc173322798 \h</w:instrText>
        </w:r>
        <w:r>
          <w:rPr>
            <w:rFonts w:hint="eastAsia"/>
            <w:noProof/>
            <w:webHidden/>
          </w:rPr>
          <w:instrText xml:space="preserve"> </w:instrText>
        </w:r>
        <w:r>
          <w:rPr>
            <w:rFonts w:hint="eastAsia"/>
            <w:noProof/>
            <w:webHidden/>
          </w:rPr>
        </w:r>
        <w:r>
          <w:rPr>
            <w:rFonts w:hint="eastAsia"/>
            <w:noProof/>
            <w:webHidden/>
          </w:rPr>
          <w:fldChar w:fldCharType="separate"/>
        </w:r>
        <w:r w:rsidR="00231927">
          <w:rPr>
            <w:noProof/>
            <w:webHidden/>
          </w:rPr>
          <w:t>131</w:t>
        </w:r>
        <w:r>
          <w:rPr>
            <w:rFonts w:hint="eastAsia"/>
            <w:noProof/>
            <w:webHidden/>
          </w:rPr>
          <w:fldChar w:fldCharType="end"/>
        </w:r>
      </w:hyperlink>
    </w:p>
    <w:p w14:paraId="4F68025F" w14:textId="3FD495AF" w:rsidR="00342432" w:rsidRDefault="00342432">
      <w:pPr>
        <w:pStyle w:val="TOC1"/>
        <w:rPr>
          <w:rFonts w:asciiTheme="minorHAnsi" w:eastAsiaTheme="minorEastAsia" w:hAnsiTheme="minorHAnsi" w:cstheme="minorBidi"/>
          <w:noProof/>
          <w:szCs w:val="22"/>
          <w14:ligatures w14:val="standardContextual"/>
        </w:rPr>
      </w:pPr>
      <w:hyperlink w:anchor="_Toc173322799" w:history="1">
        <w:r w:rsidRPr="003874E1">
          <w:rPr>
            <w:rStyle w:val="afb"/>
            <w:rFonts w:hint="eastAsia"/>
            <w:noProof/>
          </w:rPr>
          <w:t>第二十三部分</w:t>
        </w:r>
        <w:r w:rsidRPr="003874E1">
          <w:rPr>
            <w:rStyle w:val="afb"/>
            <w:rFonts w:hint="eastAsia"/>
            <w:noProof/>
          </w:rPr>
          <w:t xml:space="preserve">  </w:t>
        </w:r>
        <w:r w:rsidRPr="003874E1">
          <w:rPr>
            <w:rStyle w:val="afb"/>
            <w:rFonts w:hint="eastAsia"/>
            <w:noProof/>
          </w:rPr>
          <w:t>招募说明书存放</w:t>
        </w:r>
        <w:r w:rsidRPr="003874E1">
          <w:rPr>
            <w:rStyle w:val="afb"/>
            <w:rFonts w:hint="eastAsia"/>
            <w:noProof/>
          </w:rPr>
          <w:t>及</w:t>
        </w:r>
        <w:r w:rsidRPr="003874E1">
          <w:rPr>
            <w:rStyle w:val="afb"/>
            <w:rFonts w:hint="eastAsia"/>
            <w:noProof/>
          </w:rPr>
          <w:t>查阅方式</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_Toc173322799 \h</w:instrText>
        </w:r>
        <w:r>
          <w:rPr>
            <w:rFonts w:hint="eastAsia"/>
            <w:noProof/>
            <w:webHidden/>
          </w:rPr>
          <w:instrText xml:space="preserve"> </w:instrText>
        </w:r>
        <w:r>
          <w:rPr>
            <w:rFonts w:hint="eastAsia"/>
            <w:noProof/>
            <w:webHidden/>
          </w:rPr>
        </w:r>
        <w:r>
          <w:rPr>
            <w:rFonts w:hint="eastAsia"/>
            <w:noProof/>
            <w:webHidden/>
          </w:rPr>
          <w:fldChar w:fldCharType="separate"/>
        </w:r>
        <w:r w:rsidR="00231927">
          <w:rPr>
            <w:noProof/>
            <w:webHidden/>
          </w:rPr>
          <w:t>133</w:t>
        </w:r>
        <w:r>
          <w:rPr>
            <w:rFonts w:hint="eastAsia"/>
            <w:noProof/>
            <w:webHidden/>
          </w:rPr>
          <w:fldChar w:fldCharType="end"/>
        </w:r>
      </w:hyperlink>
    </w:p>
    <w:p w14:paraId="642FE434" w14:textId="7FFF18B2" w:rsidR="00342432" w:rsidRDefault="00342432">
      <w:pPr>
        <w:pStyle w:val="TOC1"/>
        <w:rPr>
          <w:rFonts w:asciiTheme="minorHAnsi" w:eastAsiaTheme="minorEastAsia" w:hAnsiTheme="minorHAnsi" w:cstheme="minorBidi"/>
          <w:noProof/>
          <w:szCs w:val="22"/>
          <w14:ligatures w14:val="standardContextual"/>
        </w:rPr>
      </w:pPr>
      <w:hyperlink w:anchor="_Toc173322800" w:history="1">
        <w:r w:rsidRPr="003874E1">
          <w:rPr>
            <w:rStyle w:val="afb"/>
            <w:rFonts w:hint="eastAsia"/>
            <w:noProof/>
          </w:rPr>
          <w:t>第二十四部分</w:t>
        </w:r>
        <w:r w:rsidRPr="003874E1">
          <w:rPr>
            <w:rStyle w:val="afb"/>
            <w:rFonts w:hint="eastAsia"/>
            <w:noProof/>
          </w:rPr>
          <w:t xml:space="preserve">  </w:t>
        </w:r>
        <w:r w:rsidRPr="003874E1">
          <w:rPr>
            <w:rStyle w:val="afb"/>
            <w:rFonts w:hint="eastAsia"/>
            <w:noProof/>
          </w:rPr>
          <w:t>备查文件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_Toc173322800 \h</w:instrText>
        </w:r>
        <w:r>
          <w:rPr>
            <w:rFonts w:hint="eastAsia"/>
            <w:noProof/>
            <w:webHidden/>
          </w:rPr>
          <w:instrText xml:space="preserve"> </w:instrText>
        </w:r>
        <w:r>
          <w:rPr>
            <w:rFonts w:hint="eastAsia"/>
            <w:noProof/>
            <w:webHidden/>
          </w:rPr>
        </w:r>
        <w:r>
          <w:rPr>
            <w:rFonts w:hint="eastAsia"/>
            <w:noProof/>
            <w:webHidden/>
          </w:rPr>
          <w:fldChar w:fldCharType="separate"/>
        </w:r>
        <w:r w:rsidR="00231927">
          <w:rPr>
            <w:noProof/>
            <w:webHidden/>
          </w:rPr>
          <w:t>134</w:t>
        </w:r>
        <w:r>
          <w:rPr>
            <w:rFonts w:hint="eastAsia"/>
            <w:noProof/>
            <w:webHidden/>
          </w:rPr>
          <w:fldChar w:fldCharType="end"/>
        </w:r>
      </w:hyperlink>
    </w:p>
    <w:p w14:paraId="5211AC7B" w14:textId="77777777" w:rsidR="009D10D8" w:rsidRDefault="009E4577">
      <w:r>
        <w:fldChar w:fldCharType="end"/>
      </w:r>
      <w:bookmarkStart w:id="33" w:name="_Toc263092309"/>
      <w:bookmarkStart w:id="34" w:name="_Toc416264537"/>
      <w:bookmarkStart w:id="35" w:name="_Toc258829399"/>
      <w:bookmarkStart w:id="36" w:name="_Toc2465"/>
      <w:bookmarkStart w:id="37" w:name="_Toc819"/>
      <w:bookmarkStart w:id="38" w:name="_Toc31551"/>
      <w:bookmarkStart w:id="39" w:name="_Toc24860"/>
      <w:bookmarkStart w:id="40" w:name="_Toc13020"/>
      <w:bookmarkStart w:id="41" w:name="_Toc6617"/>
      <w:bookmarkStart w:id="42" w:name="_Toc22864"/>
      <w:bookmarkStart w:id="43" w:name="_Toc3224"/>
      <w:bookmarkStart w:id="44" w:name="_Toc19592"/>
      <w:bookmarkStart w:id="45" w:name="_Toc15067"/>
      <w:bookmarkStart w:id="46" w:name="_Toc21301"/>
      <w:bookmarkStart w:id="47" w:name="_Toc352229747"/>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14:paraId="0B12D47C" w14:textId="77777777" w:rsidR="009D10D8" w:rsidRDefault="009D10D8"/>
    <w:p w14:paraId="6C6E5ECD" w14:textId="77777777" w:rsidR="009D10D8" w:rsidRDefault="009D10D8"/>
    <w:p w14:paraId="6137E2CB" w14:textId="77777777" w:rsidR="009D10D8" w:rsidRDefault="009D10D8"/>
    <w:p w14:paraId="38047D8F" w14:textId="77777777" w:rsidR="009D10D8" w:rsidRDefault="009E4577">
      <w:pPr>
        <w:tabs>
          <w:tab w:val="left" w:pos="5370"/>
        </w:tabs>
      </w:pPr>
      <w:r>
        <w:tab/>
      </w:r>
    </w:p>
    <w:p w14:paraId="1F519B70" w14:textId="77777777" w:rsidR="009D10D8" w:rsidRDefault="009E4577">
      <w:pPr>
        <w:tabs>
          <w:tab w:val="left" w:pos="5370"/>
        </w:tabs>
        <w:sectPr w:rsidR="009D10D8">
          <w:pgSz w:w="11906" w:h="16838"/>
          <w:pgMar w:top="1440" w:right="1800" w:bottom="1440" w:left="1800" w:header="851" w:footer="992" w:gutter="0"/>
          <w:pgNumType w:chapStyle="1"/>
          <w:cols w:space="720"/>
          <w:docGrid w:type="lines" w:linePitch="312"/>
        </w:sectPr>
      </w:pPr>
      <w:r>
        <w:tab/>
      </w:r>
    </w:p>
    <w:p w14:paraId="18C4CBEA" w14:textId="77777777" w:rsidR="009D10D8" w:rsidRDefault="009E4577">
      <w:pPr>
        <w:pStyle w:val="1"/>
        <w:jc w:val="center"/>
        <w:rPr>
          <w:sz w:val="30"/>
          <w:szCs w:val="30"/>
        </w:rPr>
      </w:pPr>
      <w:bookmarkStart w:id="48" w:name="_Toc173322777"/>
      <w:r>
        <w:rPr>
          <w:rFonts w:hint="eastAsia"/>
          <w:sz w:val="30"/>
          <w:szCs w:val="30"/>
        </w:rPr>
        <w:lastRenderedPageBreak/>
        <w:t>第一部分</w:t>
      </w:r>
      <w:r>
        <w:rPr>
          <w:sz w:val="30"/>
          <w:szCs w:val="30"/>
        </w:rPr>
        <w:t xml:space="preserve">  </w:t>
      </w:r>
      <w:r>
        <w:rPr>
          <w:rFonts w:hint="eastAsia"/>
          <w:sz w:val="30"/>
          <w:szCs w:val="30"/>
        </w:rPr>
        <w:t>绪言</w:t>
      </w:r>
      <w:bookmarkEnd w:id="33"/>
      <w:bookmarkEnd w:id="34"/>
      <w:bookmarkEnd w:id="48"/>
    </w:p>
    <w:p w14:paraId="50CF9AA3"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研究优选混合型证券投资基金招募说明书》（以下简称“招募说明书”或“本招募说明书”）依照《中华人民共和国证券投资基金法》（以下简称“《基金法》”）、《公开募集证券投资基金运作管理办法》（以下简称“《运作办法》”）、《公开募集证券投资基金销售机构监督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》（以下简称“《信息披露办法》”）、《公开募集开放式证券投资基金流动性风险管理规定》（以下简称“《管理规定》”）以及《富荣研究优选</w:t>
      </w:r>
      <w:r>
        <w:rPr>
          <w:rFonts w:asciiTheme="minorEastAsia" w:hAnsiTheme="minorEastAsia" w:cs="Arial" w:hint="eastAsia"/>
          <w:kern w:val="0"/>
          <w:sz w:val="24"/>
          <w:szCs w:val="24"/>
        </w:rPr>
        <w:t>混合型</w:t>
      </w:r>
      <w:r>
        <w:rPr>
          <w:rFonts w:asciiTheme="minorEastAsia" w:hAnsiTheme="minorEastAsia" w:cs="Arial" w:hint="eastAsia"/>
          <w:sz w:val="24"/>
          <w:szCs w:val="24"/>
        </w:rPr>
        <w:t>证券投资基金基金合同》（以下简称“基金合同”）编写。</w:t>
      </w:r>
    </w:p>
    <w:p w14:paraId="476C35C2"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572573"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富荣研究优选</w:t>
      </w:r>
      <w:r>
        <w:rPr>
          <w:rFonts w:asciiTheme="minorEastAsia" w:hAnsiTheme="minorEastAsia" w:cs="Arial" w:hint="eastAsia"/>
          <w:kern w:val="0"/>
          <w:sz w:val="24"/>
          <w:szCs w:val="24"/>
        </w:rPr>
        <w:t>混合型</w:t>
      </w:r>
      <w:r>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3447BAE"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bookmarkEnd w:id="32"/>
      <w:bookmarkEnd w:id="35"/>
      <w:bookmarkEnd w:id="36"/>
      <w:bookmarkEnd w:id="37"/>
      <w:bookmarkEnd w:id="38"/>
      <w:bookmarkEnd w:id="39"/>
      <w:bookmarkEnd w:id="40"/>
      <w:bookmarkEnd w:id="41"/>
      <w:bookmarkEnd w:id="42"/>
      <w:bookmarkEnd w:id="43"/>
      <w:bookmarkEnd w:id="44"/>
      <w:bookmarkEnd w:id="45"/>
      <w:bookmarkEnd w:id="46"/>
      <w:bookmarkEnd w:id="47"/>
    </w:p>
    <w:p w14:paraId="3874F3D1" w14:textId="77777777" w:rsidR="009D10D8" w:rsidRDefault="009D10D8">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9D10D8">
          <w:footerReference w:type="default" r:id="rId15"/>
          <w:pgSz w:w="11906" w:h="16838"/>
          <w:pgMar w:top="1440" w:right="1800" w:bottom="1440" w:left="1800" w:header="851" w:footer="992" w:gutter="0"/>
          <w:pgNumType w:chapStyle="1"/>
          <w:cols w:space="720"/>
          <w:docGrid w:type="lines" w:linePitch="312"/>
        </w:sectPr>
      </w:pPr>
      <w:bookmarkStart w:id="49" w:name="_Toc352229748"/>
      <w:bookmarkStart w:id="50" w:name="_Toc733"/>
      <w:bookmarkStart w:id="51" w:name="_Toc20627"/>
      <w:bookmarkStart w:id="52" w:name="_Toc13288"/>
      <w:bookmarkStart w:id="53" w:name="_Toc20318"/>
      <w:bookmarkStart w:id="54" w:name="_Toc24571"/>
      <w:bookmarkStart w:id="55" w:name="_Toc5246"/>
      <w:bookmarkStart w:id="56" w:name="_Toc545"/>
      <w:bookmarkStart w:id="57" w:name="_Toc6683"/>
      <w:bookmarkStart w:id="58" w:name="_Toc18631"/>
      <w:bookmarkStart w:id="59" w:name="_Toc6149"/>
      <w:bookmarkStart w:id="60" w:name="_Toc22708"/>
      <w:bookmarkStart w:id="61" w:name="_Toc258829400"/>
      <w:bookmarkStart w:id="62" w:name="_Toc233456272"/>
    </w:p>
    <w:p w14:paraId="79BA74EF" w14:textId="77777777" w:rsidR="009D10D8" w:rsidRDefault="009E4577">
      <w:pPr>
        <w:pStyle w:val="1"/>
        <w:jc w:val="center"/>
        <w:rPr>
          <w:sz w:val="30"/>
          <w:szCs w:val="30"/>
        </w:rPr>
      </w:pPr>
      <w:bookmarkStart w:id="63" w:name="_Toc173322778"/>
      <w:r>
        <w:rPr>
          <w:rFonts w:hint="eastAsia"/>
          <w:sz w:val="30"/>
          <w:szCs w:val="30"/>
        </w:rPr>
        <w:lastRenderedPageBreak/>
        <w:t>第二部分</w:t>
      </w:r>
      <w:r>
        <w:rPr>
          <w:sz w:val="30"/>
          <w:szCs w:val="30"/>
        </w:rPr>
        <w:t xml:space="preserve">  </w:t>
      </w:r>
      <w:r>
        <w:rPr>
          <w:rFonts w:hint="eastAsia"/>
          <w:sz w:val="30"/>
          <w:szCs w:val="30"/>
        </w:rPr>
        <w:t>释义</w:t>
      </w:r>
      <w:bookmarkEnd w:id="63"/>
    </w:p>
    <w:p w14:paraId="0124F721"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在本招募说明书中，除非文意另有所指，下列词语或简称具有如下含义：</w:t>
      </w:r>
    </w:p>
    <w:p w14:paraId="02295BAC"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、基金或本基金：指富荣研究优选</w:t>
      </w:r>
      <w:r>
        <w:rPr>
          <w:rFonts w:asciiTheme="minorEastAsia" w:hAnsiTheme="minorEastAsia" w:cs="Arial" w:hint="eastAsia"/>
          <w:kern w:val="0"/>
          <w:sz w:val="24"/>
          <w:szCs w:val="24"/>
        </w:rPr>
        <w:t>混合型</w:t>
      </w:r>
      <w:r>
        <w:rPr>
          <w:rFonts w:asciiTheme="minorEastAsia" w:hAnsiTheme="minorEastAsia" w:cs="Times New Roman" w:hint="eastAsia"/>
          <w:sz w:val="24"/>
          <w:szCs w:val="24"/>
        </w:rPr>
        <w:t>证券投资基金</w:t>
      </w:r>
    </w:p>
    <w:p w14:paraId="07AE8F2F"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4EB7B7CE"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w:t>
      </w:r>
      <w:proofErr w:type="gramStart"/>
      <w:r>
        <w:rPr>
          <w:rFonts w:asciiTheme="minorEastAsia" w:hAnsiTheme="minorEastAsia" w:cs="Times New Roman" w:hint="eastAsia"/>
          <w:sz w:val="24"/>
          <w:szCs w:val="24"/>
        </w:rPr>
        <w:t>指浙商</w:t>
      </w:r>
      <w:proofErr w:type="gramEnd"/>
      <w:r>
        <w:rPr>
          <w:rFonts w:asciiTheme="minorEastAsia" w:hAnsiTheme="minorEastAsia" w:cs="Times New Roman" w:hint="eastAsia"/>
          <w:sz w:val="24"/>
          <w:szCs w:val="24"/>
        </w:rPr>
        <w:t>银行股份有限公司</w:t>
      </w:r>
    </w:p>
    <w:p w14:paraId="79132E19" w14:textId="2168368C"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w:t>
      </w:r>
      <w:r w:rsidR="00014A4A">
        <w:rPr>
          <w:rFonts w:asciiTheme="minorEastAsia" w:hAnsiTheme="minorEastAsia" w:cs="Times New Roman" w:hint="eastAsia"/>
          <w:sz w:val="24"/>
          <w:szCs w:val="24"/>
        </w:rPr>
        <w:t>或《基金合同》</w:t>
      </w:r>
      <w:r>
        <w:rPr>
          <w:rFonts w:asciiTheme="minorEastAsia" w:hAnsiTheme="minorEastAsia" w:cs="Times New Roman" w:hint="eastAsia"/>
          <w:sz w:val="24"/>
          <w:szCs w:val="24"/>
        </w:rPr>
        <w:t>：指《富荣研究优选</w:t>
      </w:r>
      <w:r>
        <w:rPr>
          <w:rFonts w:asciiTheme="minorEastAsia" w:hAnsiTheme="minorEastAsia" w:cs="Arial" w:hint="eastAsia"/>
          <w:kern w:val="0"/>
          <w:sz w:val="24"/>
          <w:szCs w:val="24"/>
        </w:rPr>
        <w:t>混合型</w:t>
      </w:r>
      <w:r>
        <w:rPr>
          <w:rFonts w:asciiTheme="minorEastAsia" w:hAnsiTheme="minorEastAsia" w:cs="Times New Roman" w:hint="eastAsia"/>
          <w:sz w:val="24"/>
          <w:szCs w:val="24"/>
        </w:rPr>
        <w:t>证券投资基金基金合同》及对基金合同的任何有效修订和补充</w:t>
      </w:r>
    </w:p>
    <w:p w14:paraId="6FDC7B20"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、托管协议：指基金管理人与基金托管人就本基金签订之《富荣研究优选</w:t>
      </w:r>
      <w:r>
        <w:rPr>
          <w:rFonts w:asciiTheme="minorEastAsia" w:hAnsiTheme="minorEastAsia" w:cs="Arial" w:hint="eastAsia"/>
          <w:kern w:val="0"/>
          <w:sz w:val="24"/>
          <w:szCs w:val="24"/>
        </w:rPr>
        <w:t>混合型</w:t>
      </w:r>
      <w:r>
        <w:rPr>
          <w:rFonts w:asciiTheme="minorEastAsia" w:hAnsiTheme="minorEastAsia" w:cs="Times New Roman" w:hint="eastAsia"/>
          <w:sz w:val="24"/>
          <w:szCs w:val="24"/>
        </w:rPr>
        <w:t>证券投资基金托管协议》及对该托管协议的任何有效修订和补充</w:t>
      </w:r>
    </w:p>
    <w:p w14:paraId="786C792D"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、招募说明书或本招募说明书：指《富荣研究优选</w:t>
      </w:r>
      <w:r>
        <w:rPr>
          <w:rFonts w:asciiTheme="minorEastAsia" w:hAnsiTheme="minorEastAsia" w:cs="Arial" w:hint="eastAsia"/>
          <w:kern w:val="0"/>
          <w:sz w:val="24"/>
          <w:szCs w:val="24"/>
        </w:rPr>
        <w:t>混合型</w:t>
      </w:r>
      <w:r>
        <w:rPr>
          <w:rFonts w:asciiTheme="minorEastAsia" w:hAnsiTheme="minorEastAsia" w:cs="Times New Roman" w:hint="eastAsia"/>
          <w:sz w:val="24"/>
          <w:szCs w:val="24"/>
        </w:rPr>
        <w:t>证券投资基金招募说明书》及其更新</w:t>
      </w:r>
    </w:p>
    <w:p w14:paraId="7471AB9B"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7</w:t>
      </w:r>
      <w:r>
        <w:rPr>
          <w:rFonts w:asciiTheme="minorEastAsia" w:hAnsiTheme="minorEastAsia" w:cs="Times New Roman" w:hint="eastAsia"/>
          <w:sz w:val="24"/>
          <w:szCs w:val="24"/>
        </w:rPr>
        <w:t>、基金份额发售公告：指《富荣研究优选</w:t>
      </w:r>
      <w:r>
        <w:rPr>
          <w:rFonts w:asciiTheme="minorEastAsia" w:hAnsiTheme="minorEastAsia" w:cs="Arial" w:hint="eastAsia"/>
          <w:kern w:val="0"/>
          <w:sz w:val="24"/>
          <w:szCs w:val="24"/>
        </w:rPr>
        <w:t>混合型</w:t>
      </w:r>
      <w:r>
        <w:rPr>
          <w:rFonts w:asciiTheme="minorEastAsia" w:hAnsiTheme="minorEastAsia" w:cs="Times New Roman" w:hint="eastAsia"/>
          <w:sz w:val="24"/>
          <w:szCs w:val="24"/>
        </w:rPr>
        <w:t>证券投资基金基金份额发售公告》</w:t>
      </w:r>
    </w:p>
    <w:p w14:paraId="47D147AE"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42B7A71E"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基金法》：指2003年10月28日经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lt;中华人民共和国港口法&gt;等七部法律的决定》修正的《中华人民共和国证券投资基金法》及颁布机关对其不时做出的修订</w:t>
      </w:r>
    </w:p>
    <w:p w14:paraId="1A92F9A0"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、《销售办法》：指中国证监会2020年8月28日颁布、同年</w:t>
      </w:r>
      <w:r>
        <w:rPr>
          <w:rFonts w:asciiTheme="minorEastAsia" w:hAnsiTheme="minorEastAsia" w:cs="Times New Roman"/>
          <w:sz w:val="24"/>
          <w:szCs w:val="24"/>
        </w:rPr>
        <w:t>10</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日实施的《公开募集证券投资基金销售机构监督管理办法》及颁布机关对其不时做出的修订</w:t>
      </w:r>
    </w:p>
    <w:p w14:paraId="137F2CCB"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、《信息披露办法》：</w:t>
      </w:r>
      <w:r>
        <w:rPr>
          <w:rFonts w:hint="eastAsia"/>
          <w:bCs/>
          <w:kern w:val="0"/>
          <w:sz w:val="24"/>
        </w:rPr>
        <w:t>指中国证监会</w:t>
      </w:r>
      <w:r>
        <w:rPr>
          <w:bCs/>
          <w:kern w:val="0"/>
          <w:sz w:val="24"/>
        </w:rPr>
        <w:t>2019</w:t>
      </w:r>
      <w:r>
        <w:rPr>
          <w:rFonts w:hint="eastAsia"/>
          <w:bCs/>
          <w:kern w:val="0"/>
          <w:sz w:val="24"/>
        </w:rPr>
        <w:t>年</w:t>
      </w:r>
      <w:r>
        <w:rPr>
          <w:bCs/>
          <w:kern w:val="0"/>
          <w:sz w:val="24"/>
        </w:rPr>
        <w:t>7</w:t>
      </w:r>
      <w:r>
        <w:rPr>
          <w:rFonts w:hint="eastAsia"/>
          <w:bCs/>
          <w:kern w:val="0"/>
          <w:sz w:val="24"/>
        </w:rPr>
        <w:t>月</w:t>
      </w:r>
      <w:r>
        <w:rPr>
          <w:bCs/>
          <w:kern w:val="0"/>
          <w:sz w:val="24"/>
        </w:rPr>
        <w:t>26</w:t>
      </w:r>
      <w:r>
        <w:rPr>
          <w:rFonts w:hint="eastAsia"/>
          <w:bCs/>
          <w:kern w:val="0"/>
          <w:sz w:val="24"/>
        </w:rPr>
        <w:t>日颁布、同年</w:t>
      </w:r>
      <w:r>
        <w:rPr>
          <w:bCs/>
          <w:kern w:val="0"/>
          <w:sz w:val="24"/>
        </w:rPr>
        <w:t>9</w:t>
      </w:r>
      <w:r>
        <w:rPr>
          <w:rFonts w:hint="eastAsia"/>
          <w:bCs/>
          <w:kern w:val="0"/>
          <w:sz w:val="24"/>
        </w:rPr>
        <w:t>月</w:t>
      </w:r>
      <w:r>
        <w:rPr>
          <w:bCs/>
          <w:kern w:val="0"/>
          <w:sz w:val="24"/>
        </w:rPr>
        <w:t>1</w:t>
      </w:r>
      <w:r>
        <w:rPr>
          <w:rFonts w:hint="eastAsia"/>
          <w:bCs/>
          <w:kern w:val="0"/>
          <w:sz w:val="24"/>
        </w:rPr>
        <w:t>日实施的，并经中国证监会</w:t>
      </w:r>
      <w:r>
        <w:rPr>
          <w:rFonts w:hint="eastAsia"/>
          <w:bCs/>
          <w:kern w:val="0"/>
          <w:sz w:val="24"/>
        </w:rPr>
        <w:t>2020</w:t>
      </w:r>
      <w:r>
        <w:rPr>
          <w:rFonts w:hint="eastAsia"/>
          <w:bCs/>
          <w:kern w:val="0"/>
          <w:sz w:val="24"/>
        </w:rPr>
        <w:t>年</w:t>
      </w:r>
      <w:r>
        <w:rPr>
          <w:rFonts w:hint="eastAsia"/>
          <w:bCs/>
          <w:kern w:val="0"/>
          <w:sz w:val="24"/>
        </w:rPr>
        <w:t>3</w:t>
      </w:r>
      <w:r>
        <w:rPr>
          <w:rFonts w:hint="eastAsia"/>
          <w:bCs/>
          <w:kern w:val="0"/>
          <w:sz w:val="24"/>
        </w:rPr>
        <w:t>月</w:t>
      </w:r>
      <w:r>
        <w:rPr>
          <w:rFonts w:hint="eastAsia"/>
          <w:bCs/>
          <w:kern w:val="0"/>
          <w:sz w:val="24"/>
        </w:rPr>
        <w:t>20</w:t>
      </w:r>
      <w:r>
        <w:rPr>
          <w:rFonts w:hint="eastAsia"/>
          <w:bCs/>
          <w:kern w:val="0"/>
          <w:sz w:val="24"/>
        </w:rPr>
        <w:t>日发布的《关于修改部分证券期货规章的决定》修正的《公开募集证券投资基金信息披露管理办法》</w:t>
      </w:r>
      <w:r>
        <w:rPr>
          <w:rFonts w:asciiTheme="minorEastAsia" w:hAnsiTheme="minorEastAsia" w:cs="Times New Roman" w:hint="eastAsia"/>
          <w:sz w:val="24"/>
          <w:szCs w:val="24"/>
        </w:rPr>
        <w:t>及颁布机关对其不时做出的修订</w:t>
      </w:r>
    </w:p>
    <w:p w14:paraId="10E62E08"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w:t>
      </w:r>
      <w:r>
        <w:rPr>
          <w:rFonts w:asciiTheme="minorEastAsia" w:hAnsiTheme="minorEastAsia" w:cs="Times New Roman" w:hint="eastAsia"/>
          <w:sz w:val="24"/>
          <w:szCs w:val="24"/>
        </w:rPr>
        <w:lastRenderedPageBreak/>
        <w:t>的《公开募集证券投资基金运作管理办法》及颁布机关对其不时做出的修订</w:t>
      </w:r>
    </w:p>
    <w:p w14:paraId="6980AAEA"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w:t>
      </w:r>
      <w:r>
        <w:rPr>
          <w:rFonts w:asciiTheme="minorEastAsia" w:hAnsiTheme="minorEastAsia" w:cs="Times New Roman"/>
          <w:sz w:val="24"/>
          <w:szCs w:val="24"/>
        </w:rPr>
        <w:t>3</w:t>
      </w:r>
      <w:r>
        <w:rPr>
          <w:rFonts w:asciiTheme="minorEastAsia" w:hAnsiTheme="minorEastAsia" w:cs="Times New Roman" w:hint="eastAsia"/>
          <w:sz w:val="24"/>
          <w:szCs w:val="24"/>
        </w:rPr>
        <w:t>、《流动性风险管理规定》：指中国证监会2017年8月31日颁布、同年10月1日实施的《公开募集开放式证券投资基金流动性风险管理规定》及颁布机关对其不时做出的修订</w:t>
      </w:r>
    </w:p>
    <w:p w14:paraId="0829D430"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14</w:t>
      </w:r>
      <w:r>
        <w:rPr>
          <w:rFonts w:asciiTheme="minorEastAsia" w:hAnsiTheme="minorEastAsia" w:cs="Times New Roman" w:hint="eastAsia"/>
          <w:sz w:val="24"/>
          <w:szCs w:val="24"/>
        </w:rPr>
        <w:t>、中国证监会：指中国证券监督管理委员会</w:t>
      </w:r>
    </w:p>
    <w:p w14:paraId="47BDEE9C"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或中国银行保险监督管理委员会</w:t>
      </w:r>
    </w:p>
    <w:p w14:paraId="5C77A0D9"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74629E4A"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、个人投资者：指依据有关法律法规规定可投资于证券投资基金的自然人</w:t>
      </w:r>
    </w:p>
    <w:p w14:paraId="065F6796"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15158BC9"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、合格境外机构投资者：指符合《合格境外机构投资者和人民币合格境外机构投资者境内证券期货投资管理办法》及相关法律法规规定可以投资于在中国境内依法募集的证券投资基金的中国境外的机构投资者</w:t>
      </w:r>
    </w:p>
    <w:p w14:paraId="76A04A86"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20、人民币合格境外机构投资者：指按照《合格境外机构投资者和人民币合格境外机构投资者境内证券期货投资管理办法》及相关法律法规规定，运用来自境外的人民币资金进行境内证券投资的境外法人</w:t>
      </w:r>
    </w:p>
    <w:p w14:paraId="7E57F2D5"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w:t>
      </w:r>
      <w:r>
        <w:rPr>
          <w:rFonts w:asciiTheme="minorEastAsia" w:hAnsiTheme="minorEastAsia" w:cs="Times New Roman"/>
          <w:sz w:val="24"/>
          <w:szCs w:val="24"/>
        </w:rPr>
        <w:t>1</w:t>
      </w:r>
      <w:r>
        <w:rPr>
          <w:rFonts w:asciiTheme="minorEastAsia" w:hAnsiTheme="minorEastAsia" w:cs="Times New Roman" w:hint="eastAsia"/>
          <w:sz w:val="24"/>
          <w:szCs w:val="24"/>
        </w:rPr>
        <w:t>、投资人、投资者：指个人投资者、机构投资者、合格境外机构投资者和人民币合格境外机构投资者以及法律法规或中国证监会允许购买证券投资基金的其他投资人的合称</w:t>
      </w:r>
    </w:p>
    <w:p w14:paraId="0F0BD4D6"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53F0C82B"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573BFCD3"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335F1760"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w:t>
      </w:r>
      <w:r>
        <w:rPr>
          <w:rFonts w:asciiTheme="minorEastAsia" w:hAnsiTheme="minorEastAsia" w:cs="Times New Roman" w:hint="eastAsia"/>
          <w:sz w:val="24"/>
          <w:szCs w:val="24"/>
        </w:rPr>
        <w:lastRenderedPageBreak/>
        <w:t>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621086DA"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登记业务的机构。基金登记机构为富荣基金管理有限公司或接受富荣基金管理有限公司委托代为办理登记业务的机构</w:t>
      </w:r>
    </w:p>
    <w:p w14:paraId="2F125641"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6D83B528"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、基金交易账户：指销售机构为投资人开立的、记录投资人通过该销售机构办理认购、申购、赎回、转换、转托管及定期定额投资等业务而引起基金份额变动及结余情况的账户</w:t>
      </w:r>
    </w:p>
    <w:p w14:paraId="70C9AC8D"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03ED8228"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49A6DF6B"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w:t>
      </w:r>
      <w:r>
        <w:rPr>
          <w:rFonts w:asciiTheme="minorEastAsia" w:hAnsiTheme="minorEastAsia" w:cs="Times New Roman"/>
          <w:sz w:val="24"/>
          <w:szCs w:val="24"/>
        </w:rPr>
        <w:t>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21D5F021"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2769D6D1"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2262C594"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42427457"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日），n为自然数</w:t>
      </w:r>
    </w:p>
    <w:p w14:paraId="0A760294"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6C4D9A7D"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782CAC7C"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64E213A5"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501891DC"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59A0747F"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4</w:t>
      </w:r>
      <w:r>
        <w:rPr>
          <w:rFonts w:asciiTheme="minorEastAsia" w:hAnsiTheme="minorEastAsia" w:cs="Times New Roman"/>
          <w:sz w:val="24"/>
          <w:szCs w:val="24"/>
        </w:rPr>
        <w:t>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7BA2023A"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113C5FF6"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、转托管：指基金份额持有人在本基金的不同销售机构之间实施的变更所持基金份额销售机构的操作</w:t>
      </w:r>
    </w:p>
    <w:p w14:paraId="543A21A1"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5528FF58"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20D8B55A"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34B20421"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2C5535F0"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48</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5C030AC2"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、基金资产净值：指基金资产总值减去基金负债后的价值</w:t>
      </w:r>
    </w:p>
    <w:p w14:paraId="7BC094C2"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0</w:t>
      </w:r>
      <w:r>
        <w:rPr>
          <w:rFonts w:asciiTheme="minorEastAsia" w:hAnsiTheme="minorEastAsia" w:cs="Times New Roman" w:hint="eastAsia"/>
          <w:sz w:val="24"/>
          <w:szCs w:val="24"/>
        </w:rPr>
        <w:t>、基金份额净值：指计算日基金资产净值除以计算日基金份额总数</w:t>
      </w:r>
    </w:p>
    <w:p w14:paraId="2617BFFA"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1</w:t>
      </w:r>
      <w:r>
        <w:rPr>
          <w:rFonts w:asciiTheme="minorEastAsia" w:hAnsiTheme="minorEastAsia" w:cs="Times New Roman" w:hint="eastAsia"/>
          <w:sz w:val="24"/>
          <w:szCs w:val="24"/>
        </w:rPr>
        <w:t>、基金资产估值：指计算评估基金资产和负债的价值，以确定基金资产净值和基金份额净值的过程</w:t>
      </w:r>
    </w:p>
    <w:p w14:paraId="782CAA11"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52、规定媒介：指符合中国证监会规定条件的用以进行信息披露的全国性报刊及《信息披露办法》规定的互联网网站（包括基金管理人网站、基金托管人网站、中国证监会基金电子披露网站）等媒介</w:t>
      </w:r>
    </w:p>
    <w:p w14:paraId="64853C9E"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、不可抗力：指基金合同当事人不能预见、不能避免且不能克服的客观事件</w:t>
      </w:r>
    </w:p>
    <w:p w14:paraId="66736FB5" w14:textId="77777777" w:rsidR="009D10D8" w:rsidRDefault="009E4577">
      <w:pPr>
        <w:spacing w:line="360" w:lineRule="auto"/>
        <w:ind w:firstLineChars="200" w:firstLine="480"/>
        <w:rPr>
          <w:bCs/>
          <w:sz w:val="24"/>
          <w:szCs w:val="24"/>
        </w:rPr>
      </w:pPr>
      <w:r>
        <w:rPr>
          <w:rFonts w:hint="eastAsia"/>
          <w:bCs/>
          <w:sz w:val="24"/>
          <w:szCs w:val="24"/>
        </w:rPr>
        <w:t>5</w:t>
      </w:r>
      <w:r>
        <w:rPr>
          <w:bCs/>
          <w:sz w:val="24"/>
          <w:szCs w:val="24"/>
        </w:rPr>
        <w:t>4</w:t>
      </w:r>
      <w:r>
        <w:rPr>
          <w:rFonts w:hint="eastAsia"/>
          <w:bCs/>
          <w:sz w:val="24"/>
          <w:szCs w:val="24"/>
        </w:rPr>
        <w:t>、流动性受限资产：指由于法律法规、监管、合同或操作障碍等原因无法以合理价格予以变现的资产，包括但不限于到期日在</w:t>
      </w:r>
      <w:r>
        <w:rPr>
          <w:rFonts w:hint="eastAsia"/>
          <w:bCs/>
          <w:sz w:val="24"/>
          <w:szCs w:val="24"/>
        </w:rPr>
        <w:t xml:space="preserve">10 </w:t>
      </w:r>
      <w:proofErr w:type="gramStart"/>
      <w:r>
        <w:rPr>
          <w:rFonts w:hint="eastAsia"/>
          <w:bCs/>
          <w:sz w:val="24"/>
          <w:szCs w:val="24"/>
        </w:rPr>
        <w:t>个</w:t>
      </w:r>
      <w:proofErr w:type="gramEnd"/>
      <w:r>
        <w:rPr>
          <w:rFonts w:hint="eastAsia"/>
          <w:bCs/>
          <w:sz w:val="24"/>
          <w:szCs w:val="24"/>
        </w:rPr>
        <w:t>交易日以上的逆回购与银行定期存款（</w:t>
      </w:r>
      <w:proofErr w:type="gramStart"/>
      <w:r>
        <w:rPr>
          <w:rFonts w:hint="eastAsia"/>
          <w:bCs/>
          <w:sz w:val="24"/>
          <w:szCs w:val="24"/>
        </w:rPr>
        <w:t>含协议</w:t>
      </w:r>
      <w:proofErr w:type="gramEnd"/>
      <w:r>
        <w:rPr>
          <w:rFonts w:hint="eastAsia"/>
          <w:bCs/>
          <w:sz w:val="24"/>
          <w:szCs w:val="24"/>
        </w:rPr>
        <w:t>约定有条件提前支取的银行存款）、停牌股票、流通受</w:t>
      </w:r>
      <w:r>
        <w:rPr>
          <w:rFonts w:hint="eastAsia"/>
          <w:bCs/>
          <w:sz w:val="24"/>
          <w:szCs w:val="24"/>
        </w:rPr>
        <w:lastRenderedPageBreak/>
        <w:t>限的新股及非公开发行股票、资产支持证券、因发行人债务违约无法进行转让或交易的债券等</w:t>
      </w:r>
    </w:p>
    <w:p w14:paraId="75916BAF" w14:textId="77777777" w:rsidR="009D10D8" w:rsidRDefault="009E4577">
      <w:pPr>
        <w:spacing w:line="360" w:lineRule="auto"/>
        <w:ind w:firstLineChars="200" w:firstLine="480"/>
        <w:rPr>
          <w:bCs/>
          <w:sz w:val="24"/>
          <w:szCs w:val="24"/>
        </w:rPr>
      </w:pPr>
      <w:r>
        <w:rPr>
          <w:rFonts w:hint="eastAsia"/>
          <w:bCs/>
          <w:sz w:val="24"/>
          <w:szCs w:val="24"/>
        </w:rPr>
        <w:t>5</w:t>
      </w:r>
      <w:r>
        <w:rPr>
          <w:bCs/>
          <w:sz w:val="24"/>
          <w:szCs w:val="24"/>
        </w:rPr>
        <w:t>5</w:t>
      </w:r>
      <w:r>
        <w:rPr>
          <w:rFonts w:hint="eastAsia"/>
          <w:bCs/>
          <w:sz w:val="24"/>
          <w:szCs w:val="24"/>
        </w:rPr>
        <w:t>、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66DD1F38" w14:textId="02732239" w:rsidR="009D10D8" w:rsidRDefault="009E4577">
      <w:pPr>
        <w:spacing w:line="360" w:lineRule="auto"/>
        <w:ind w:firstLineChars="200" w:firstLine="480"/>
        <w:rPr>
          <w:bCs/>
          <w:sz w:val="24"/>
          <w:szCs w:val="24"/>
        </w:rPr>
      </w:pPr>
      <w:r>
        <w:rPr>
          <w:rFonts w:hint="eastAsia"/>
          <w:bCs/>
          <w:sz w:val="24"/>
          <w:szCs w:val="24"/>
        </w:rPr>
        <w:t>56</w:t>
      </w:r>
      <w:r>
        <w:rPr>
          <w:rFonts w:hint="eastAsia"/>
          <w:bCs/>
          <w:sz w:val="24"/>
          <w:szCs w:val="24"/>
        </w:rPr>
        <w:t>、基金份额类别：指根据认购</w:t>
      </w:r>
      <w:r>
        <w:rPr>
          <w:rFonts w:hint="eastAsia"/>
          <w:bCs/>
          <w:sz w:val="24"/>
          <w:szCs w:val="24"/>
        </w:rPr>
        <w:t>/</w:t>
      </w:r>
      <w:r>
        <w:rPr>
          <w:rFonts w:hint="eastAsia"/>
          <w:bCs/>
          <w:sz w:val="24"/>
          <w:szCs w:val="24"/>
        </w:rPr>
        <w:t>申购费用、销售服务费用收取方式的不同将本</w:t>
      </w:r>
      <w:proofErr w:type="gramStart"/>
      <w:r>
        <w:rPr>
          <w:rFonts w:hint="eastAsia"/>
          <w:bCs/>
          <w:sz w:val="24"/>
          <w:szCs w:val="24"/>
        </w:rPr>
        <w:t>基金基金</w:t>
      </w:r>
      <w:proofErr w:type="gramEnd"/>
      <w:r>
        <w:rPr>
          <w:rFonts w:hint="eastAsia"/>
          <w:bCs/>
          <w:sz w:val="24"/>
          <w:szCs w:val="24"/>
        </w:rPr>
        <w:t>份额分为不同的类别，各基金份额类别分别设置代码，并分别计算和公告基金份额净值</w:t>
      </w:r>
    </w:p>
    <w:p w14:paraId="4C0390EB" w14:textId="15F49A49" w:rsidR="009D10D8" w:rsidRDefault="009E4577">
      <w:pPr>
        <w:spacing w:line="360" w:lineRule="auto"/>
        <w:ind w:firstLineChars="200" w:firstLine="480"/>
        <w:rPr>
          <w:bCs/>
          <w:sz w:val="24"/>
          <w:szCs w:val="24"/>
        </w:rPr>
      </w:pPr>
      <w:r>
        <w:rPr>
          <w:rFonts w:hint="eastAsia"/>
          <w:bCs/>
          <w:sz w:val="24"/>
          <w:szCs w:val="24"/>
        </w:rPr>
        <w:t>57</w:t>
      </w:r>
      <w:r>
        <w:rPr>
          <w:rFonts w:hint="eastAsia"/>
          <w:bCs/>
          <w:sz w:val="24"/>
          <w:szCs w:val="24"/>
        </w:rPr>
        <w:t>、</w:t>
      </w:r>
      <w:r>
        <w:rPr>
          <w:rFonts w:hint="eastAsia"/>
          <w:bCs/>
          <w:sz w:val="24"/>
          <w:szCs w:val="24"/>
        </w:rPr>
        <w:t>A</w:t>
      </w:r>
      <w:r>
        <w:rPr>
          <w:rFonts w:hint="eastAsia"/>
          <w:bCs/>
          <w:sz w:val="24"/>
          <w:szCs w:val="24"/>
        </w:rPr>
        <w:t>类基金份额：指在投资人认购</w:t>
      </w:r>
      <w:r>
        <w:rPr>
          <w:rFonts w:hint="eastAsia"/>
          <w:bCs/>
          <w:sz w:val="24"/>
          <w:szCs w:val="24"/>
        </w:rPr>
        <w:t>/</w:t>
      </w:r>
      <w:r>
        <w:rPr>
          <w:rFonts w:hint="eastAsia"/>
          <w:bCs/>
          <w:sz w:val="24"/>
          <w:szCs w:val="24"/>
        </w:rPr>
        <w:t>申购时收取认购</w:t>
      </w:r>
      <w:r>
        <w:rPr>
          <w:rFonts w:hint="eastAsia"/>
          <w:bCs/>
          <w:sz w:val="24"/>
          <w:szCs w:val="24"/>
        </w:rPr>
        <w:t>/</w:t>
      </w:r>
      <w:r>
        <w:rPr>
          <w:rFonts w:hint="eastAsia"/>
          <w:bCs/>
          <w:sz w:val="24"/>
          <w:szCs w:val="24"/>
        </w:rPr>
        <w:t>申购费用但不从本类别基金资产中计</w:t>
      </w:r>
      <w:proofErr w:type="gramStart"/>
      <w:r>
        <w:rPr>
          <w:rFonts w:hint="eastAsia"/>
          <w:bCs/>
          <w:sz w:val="24"/>
          <w:szCs w:val="24"/>
        </w:rPr>
        <w:t>提销售</w:t>
      </w:r>
      <w:proofErr w:type="gramEnd"/>
      <w:r>
        <w:rPr>
          <w:rFonts w:hint="eastAsia"/>
          <w:bCs/>
          <w:sz w:val="24"/>
          <w:szCs w:val="24"/>
        </w:rPr>
        <w:t>服务费的基金份额类别</w:t>
      </w:r>
    </w:p>
    <w:p w14:paraId="3FDB5E97" w14:textId="63CF9120" w:rsidR="009D10D8" w:rsidRDefault="009E4577">
      <w:pPr>
        <w:spacing w:line="360" w:lineRule="auto"/>
        <w:ind w:firstLineChars="200" w:firstLine="480"/>
        <w:rPr>
          <w:bCs/>
          <w:sz w:val="24"/>
          <w:szCs w:val="24"/>
        </w:rPr>
      </w:pPr>
      <w:r>
        <w:rPr>
          <w:rFonts w:hint="eastAsia"/>
          <w:bCs/>
          <w:sz w:val="24"/>
          <w:szCs w:val="24"/>
        </w:rPr>
        <w:t>58</w:t>
      </w:r>
      <w:r>
        <w:rPr>
          <w:rFonts w:hint="eastAsia"/>
          <w:bCs/>
          <w:sz w:val="24"/>
          <w:szCs w:val="24"/>
        </w:rPr>
        <w:t>、</w:t>
      </w:r>
      <w:r>
        <w:rPr>
          <w:rFonts w:hint="eastAsia"/>
          <w:bCs/>
          <w:sz w:val="24"/>
          <w:szCs w:val="24"/>
        </w:rPr>
        <w:t>C</w:t>
      </w:r>
      <w:r>
        <w:rPr>
          <w:rFonts w:hint="eastAsia"/>
          <w:bCs/>
          <w:sz w:val="24"/>
          <w:szCs w:val="24"/>
        </w:rPr>
        <w:t>类基金份额：指从本类别基金资产中计</w:t>
      </w:r>
      <w:proofErr w:type="gramStart"/>
      <w:r>
        <w:rPr>
          <w:rFonts w:hint="eastAsia"/>
          <w:bCs/>
          <w:sz w:val="24"/>
          <w:szCs w:val="24"/>
        </w:rPr>
        <w:t>提销售</w:t>
      </w:r>
      <w:proofErr w:type="gramEnd"/>
      <w:r>
        <w:rPr>
          <w:rFonts w:hint="eastAsia"/>
          <w:bCs/>
          <w:sz w:val="24"/>
          <w:szCs w:val="24"/>
        </w:rPr>
        <w:t>服务费而不收取认购</w:t>
      </w:r>
      <w:r>
        <w:rPr>
          <w:rFonts w:hint="eastAsia"/>
          <w:bCs/>
          <w:sz w:val="24"/>
          <w:szCs w:val="24"/>
        </w:rPr>
        <w:t>/</w:t>
      </w:r>
      <w:r>
        <w:rPr>
          <w:rFonts w:hint="eastAsia"/>
          <w:bCs/>
          <w:sz w:val="24"/>
          <w:szCs w:val="24"/>
        </w:rPr>
        <w:t>申购费用的基金份额类别</w:t>
      </w:r>
    </w:p>
    <w:p w14:paraId="5DC88AD0" w14:textId="77777777" w:rsidR="009D10D8" w:rsidRDefault="009E4577">
      <w:pPr>
        <w:spacing w:line="360" w:lineRule="auto"/>
        <w:ind w:firstLineChars="200" w:firstLine="480"/>
        <w:rPr>
          <w:bCs/>
          <w:sz w:val="24"/>
          <w:szCs w:val="24"/>
        </w:rPr>
      </w:pPr>
      <w:r>
        <w:rPr>
          <w:rFonts w:hint="eastAsia"/>
          <w:bCs/>
          <w:sz w:val="24"/>
          <w:szCs w:val="24"/>
        </w:rPr>
        <w:t>59</w:t>
      </w:r>
      <w:r>
        <w:rPr>
          <w:rFonts w:hint="eastAsia"/>
          <w:bCs/>
          <w:sz w:val="24"/>
          <w:szCs w:val="24"/>
        </w:rPr>
        <w:t>、销售服务费：指从基金资产中计提的，用于本基金市场推广、销售以及基金份额持有人服务的费用</w:t>
      </w:r>
    </w:p>
    <w:p w14:paraId="71824419" w14:textId="77777777" w:rsidR="009D10D8" w:rsidRDefault="009E4577">
      <w:pPr>
        <w:spacing w:line="360" w:lineRule="auto"/>
        <w:ind w:firstLineChars="200" w:firstLine="480"/>
        <w:rPr>
          <w:bCs/>
          <w:sz w:val="24"/>
          <w:szCs w:val="24"/>
        </w:rPr>
      </w:pPr>
      <w:r>
        <w:rPr>
          <w:rFonts w:hint="eastAsia"/>
          <w:bCs/>
          <w:sz w:val="24"/>
          <w:szCs w:val="24"/>
        </w:rPr>
        <w:t>60</w:t>
      </w:r>
      <w:r>
        <w:rPr>
          <w:rFonts w:hint="eastAsia"/>
          <w:bCs/>
          <w:sz w:val="24"/>
          <w:szCs w:val="24"/>
        </w:rPr>
        <w:t>、基金产品资料概要：指《富荣研究优选混合型证券投资基金基金产品资料概要》及其更新</w:t>
      </w:r>
    </w:p>
    <w:p w14:paraId="2D7B5A8F" w14:textId="77777777" w:rsidR="009D10D8" w:rsidRDefault="009E4577">
      <w:pPr>
        <w:spacing w:line="360" w:lineRule="auto"/>
        <w:ind w:firstLineChars="200" w:firstLine="480"/>
        <w:rPr>
          <w:bCs/>
          <w:sz w:val="24"/>
          <w:szCs w:val="24"/>
        </w:rPr>
      </w:pPr>
      <w:r>
        <w:rPr>
          <w:rFonts w:hint="eastAsia"/>
          <w:bCs/>
          <w:sz w:val="24"/>
          <w:szCs w:val="24"/>
        </w:rPr>
        <w:t>61</w:t>
      </w:r>
      <w:r>
        <w:rPr>
          <w:rFonts w:hint="eastAsia"/>
          <w:bCs/>
          <w:sz w:val="24"/>
          <w:szCs w:val="24"/>
        </w:rPr>
        <w:t>、信用衍生品：指符合证券交易所或银行间市场相关业务规则，专门用于管理信用风险的信用衍生工具</w:t>
      </w:r>
    </w:p>
    <w:p w14:paraId="704DF3F1" w14:textId="77777777" w:rsidR="009D10D8" w:rsidRDefault="009E4577">
      <w:pPr>
        <w:spacing w:line="360" w:lineRule="auto"/>
        <w:ind w:firstLineChars="200" w:firstLine="480"/>
        <w:rPr>
          <w:bCs/>
          <w:sz w:val="24"/>
          <w:szCs w:val="24"/>
        </w:rPr>
      </w:pPr>
      <w:r>
        <w:rPr>
          <w:rFonts w:hint="eastAsia"/>
          <w:bCs/>
          <w:sz w:val="24"/>
          <w:szCs w:val="24"/>
        </w:rPr>
        <w:t>62</w:t>
      </w:r>
      <w:r>
        <w:rPr>
          <w:rFonts w:hint="eastAsia"/>
          <w:bCs/>
          <w:sz w:val="24"/>
          <w:szCs w:val="24"/>
        </w:rPr>
        <w:t>、信用保护买方：亦称信用保护购买方，指接受信用风险保护的一方</w:t>
      </w:r>
    </w:p>
    <w:p w14:paraId="79945624" w14:textId="77777777" w:rsidR="009D10D8" w:rsidRDefault="009E4577">
      <w:pPr>
        <w:spacing w:line="360" w:lineRule="auto"/>
        <w:ind w:firstLineChars="200" w:firstLine="480"/>
        <w:rPr>
          <w:bCs/>
          <w:sz w:val="24"/>
          <w:szCs w:val="24"/>
        </w:rPr>
      </w:pPr>
      <w:r>
        <w:rPr>
          <w:rFonts w:hint="eastAsia"/>
          <w:bCs/>
          <w:sz w:val="24"/>
          <w:szCs w:val="24"/>
        </w:rPr>
        <w:t>63</w:t>
      </w:r>
      <w:r>
        <w:rPr>
          <w:rFonts w:hint="eastAsia"/>
          <w:bCs/>
          <w:sz w:val="24"/>
          <w:szCs w:val="24"/>
        </w:rPr>
        <w:t>、信用保护卖方：亦称信用保护提供方，指提供信用风险保护的一方</w:t>
      </w:r>
    </w:p>
    <w:p w14:paraId="4AB98B01" w14:textId="77777777" w:rsidR="009D10D8" w:rsidRDefault="009E4577">
      <w:pPr>
        <w:spacing w:line="360" w:lineRule="auto"/>
        <w:ind w:firstLineChars="200" w:firstLine="480"/>
        <w:rPr>
          <w:bCs/>
          <w:sz w:val="24"/>
          <w:szCs w:val="24"/>
        </w:rPr>
      </w:pPr>
      <w:r>
        <w:rPr>
          <w:rFonts w:hint="eastAsia"/>
          <w:bCs/>
          <w:sz w:val="24"/>
          <w:szCs w:val="24"/>
        </w:rPr>
        <w:t>64</w:t>
      </w:r>
      <w:r>
        <w:rPr>
          <w:rFonts w:hint="eastAsia"/>
          <w:bCs/>
          <w:sz w:val="24"/>
          <w:szCs w:val="24"/>
        </w:rPr>
        <w:t>、信用衍生品名义本金：亦称交易名义本金，指为信用衍生产品交易提供信用风险保护的金额，各项支付和结算以此金额为计算基准</w:t>
      </w:r>
    </w:p>
    <w:p w14:paraId="4B167CCE" w14:textId="77777777" w:rsidR="009D10D8" w:rsidRDefault="009E4577">
      <w:pPr>
        <w:spacing w:line="360" w:lineRule="auto"/>
        <w:ind w:firstLineChars="200" w:firstLine="480"/>
        <w:rPr>
          <w:bCs/>
          <w:sz w:val="24"/>
          <w:szCs w:val="24"/>
        </w:rPr>
      </w:pPr>
      <w:r>
        <w:rPr>
          <w:rFonts w:hint="eastAsia"/>
          <w:bCs/>
          <w:sz w:val="24"/>
          <w:szCs w:val="24"/>
        </w:rPr>
        <w:t>6</w:t>
      </w:r>
      <w:r>
        <w:rPr>
          <w:bCs/>
          <w:sz w:val="24"/>
          <w:szCs w:val="24"/>
        </w:rPr>
        <w:t>5</w:t>
      </w:r>
      <w:r>
        <w:rPr>
          <w:rFonts w:hint="eastAsia"/>
          <w:bCs/>
          <w:sz w:val="24"/>
          <w:szCs w:val="24"/>
        </w:rPr>
        <w:t>、</w:t>
      </w:r>
      <w:proofErr w:type="gramStart"/>
      <w:r>
        <w:rPr>
          <w:rFonts w:hint="eastAsia"/>
          <w:bCs/>
          <w:sz w:val="24"/>
          <w:szCs w:val="24"/>
        </w:rPr>
        <w:t>侧袋机制</w:t>
      </w:r>
      <w:proofErr w:type="gramEnd"/>
      <w:r>
        <w:rPr>
          <w:rFonts w:hint="eastAsia"/>
          <w:bCs/>
          <w:sz w:val="24"/>
          <w:szCs w:val="24"/>
        </w:rPr>
        <w:t>：指将基金投资组合中的特定资产从原有账户分离至一个专门账户进行处置清算，目的在于有效隔离并化解风险，确保投资者得到公平对待，属于流动性风险管理工具。</w:t>
      </w:r>
      <w:proofErr w:type="gramStart"/>
      <w:r>
        <w:rPr>
          <w:rFonts w:hint="eastAsia"/>
          <w:bCs/>
          <w:sz w:val="24"/>
          <w:szCs w:val="24"/>
        </w:rPr>
        <w:t>侧袋机制</w:t>
      </w:r>
      <w:proofErr w:type="gramEnd"/>
      <w:r>
        <w:rPr>
          <w:rFonts w:hint="eastAsia"/>
          <w:bCs/>
          <w:sz w:val="24"/>
          <w:szCs w:val="24"/>
        </w:rPr>
        <w:t>实施期间，原有账户称为主袋账户，专门账户</w:t>
      </w:r>
      <w:proofErr w:type="gramStart"/>
      <w:r>
        <w:rPr>
          <w:rFonts w:hint="eastAsia"/>
          <w:bCs/>
          <w:sz w:val="24"/>
          <w:szCs w:val="24"/>
        </w:rPr>
        <w:t>称为侧袋账户</w:t>
      </w:r>
      <w:proofErr w:type="gramEnd"/>
    </w:p>
    <w:p w14:paraId="38BEC3B4" w14:textId="77777777" w:rsidR="009D10D8" w:rsidRDefault="009E4577">
      <w:pPr>
        <w:spacing w:line="360" w:lineRule="auto"/>
        <w:ind w:firstLineChars="200" w:firstLine="480"/>
        <w:rPr>
          <w:bCs/>
          <w:sz w:val="24"/>
          <w:szCs w:val="24"/>
        </w:rPr>
      </w:pPr>
      <w:r>
        <w:rPr>
          <w:rFonts w:hint="eastAsia"/>
          <w:bCs/>
          <w:sz w:val="24"/>
          <w:szCs w:val="24"/>
        </w:rPr>
        <w:t>6</w:t>
      </w:r>
      <w:r>
        <w:rPr>
          <w:bCs/>
          <w:sz w:val="24"/>
          <w:szCs w:val="24"/>
        </w:rPr>
        <w:t>6</w:t>
      </w:r>
      <w:r>
        <w:rPr>
          <w:rFonts w:hint="eastAsia"/>
          <w:bCs/>
          <w:sz w:val="24"/>
          <w:szCs w:val="24"/>
        </w:rPr>
        <w:t>、特定资产：包括：（一）无可参考的活跃市场价格且采用估值技术</w:t>
      </w:r>
      <w:proofErr w:type="gramStart"/>
      <w:r>
        <w:rPr>
          <w:rFonts w:hint="eastAsia"/>
          <w:bCs/>
          <w:sz w:val="24"/>
          <w:szCs w:val="24"/>
        </w:rPr>
        <w:t>仍导致</w:t>
      </w:r>
      <w:proofErr w:type="gramEnd"/>
      <w:r>
        <w:rPr>
          <w:rFonts w:hint="eastAsia"/>
          <w:bCs/>
          <w:sz w:val="24"/>
          <w:szCs w:val="24"/>
        </w:rPr>
        <w:t>公允价值存在重大不确定性的资产；（二）</w:t>
      </w:r>
      <w:proofErr w:type="gramStart"/>
      <w:r>
        <w:rPr>
          <w:rFonts w:hint="eastAsia"/>
          <w:bCs/>
          <w:sz w:val="24"/>
          <w:szCs w:val="24"/>
        </w:rPr>
        <w:t>按摊余成本</w:t>
      </w:r>
      <w:proofErr w:type="gramEnd"/>
      <w:r>
        <w:rPr>
          <w:rFonts w:hint="eastAsia"/>
          <w:bCs/>
          <w:sz w:val="24"/>
          <w:szCs w:val="24"/>
        </w:rPr>
        <w:t>计量且计提资产减值</w:t>
      </w:r>
      <w:proofErr w:type="gramStart"/>
      <w:r>
        <w:rPr>
          <w:rFonts w:hint="eastAsia"/>
          <w:bCs/>
          <w:sz w:val="24"/>
          <w:szCs w:val="24"/>
        </w:rPr>
        <w:t>准</w:t>
      </w:r>
      <w:r>
        <w:rPr>
          <w:rFonts w:hint="eastAsia"/>
          <w:bCs/>
          <w:sz w:val="24"/>
          <w:szCs w:val="24"/>
        </w:rPr>
        <w:lastRenderedPageBreak/>
        <w:t>备仍导致</w:t>
      </w:r>
      <w:proofErr w:type="gramEnd"/>
      <w:r>
        <w:rPr>
          <w:rFonts w:hint="eastAsia"/>
          <w:bCs/>
          <w:sz w:val="24"/>
          <w:szCs w:val="24"/>
        </w:rPr>
        <w:t>资产价值存在重大不确定性的资产；（三）其他资产价值存在重大不确定性的资产</w:t>
      </w:r>
    </w:p>
    <w:bookmarkEnd w:id="49"/>
    <w:bookmarkEnd w:id="50"/>
    <w:bookmarkEnd w:id="51"/>
    <w:bookmarkEnd w:id="52"/>
    <w:bookmarkEnd w:id="53"/>
    <w:bookmarkEnd w:id="54"/>
    <w:bookmarkEnd w:id="55"/>
    <w:bookmarkEnd w:id="56"/>
    <w:bookmarkEnd w:id="57"/>
    <w:bookmarkEnd w:id="58"/>
    <w:bookmarkEnd w:id="59"/>
    <w:bookmarkEnd w:id="60"/>
    <w:p w14:paraId="00140B24" w14:textId="77777777" w:rsidR="009D10D8" w:rsidRDefault="009D10D8">
      <w:pPr>
        <w:spacing w:line="360" w:lineRule="auto"/>
        <w:ind w:firstLineChars="200" w:firstLine="422"/>
        <w:rPr>
          <w:b/>
          <w:bCs/>
        </w:rPr>
        <w:sectPr w:rsidR="009D10D8">
          <w:footerReference w:type="default" r:id="rId16"/>
          <w:pgSz w:w="11906" w:h="16838"/>
          <w:pgMar w:top="1440" w:right="1800" w:bottom="1440" w:left="1800" w:header="851" w:footer="992" w:gutter="0"/>
          <w:pgNumType w:start="5" w:chapStyle="1"/>
          <w:cols w:space="720"/>
          <w:docGrid w:type="lines" w:linePitch="312"/>
        </w:sectPr>
      </w:pPr>
    </w:p>
    <w:p w14:paraId="1BFC01AD" w14:textId="77777777" w:rsidR="009D10D8" w:rsidRDefault="009E4577">
      <w:pPr>
        <w:pStyle w:val="1"/>
        <w:jc w:val="center"/>
        <w:rPr>
          <w:sz w:val="30"/>
          <w:szCs w:val="30"/>
        </w:rPr>
      </w:pPr>
      <w:bookmarkStart w:id="64" w:name="_Toc416264539"/>
      <w:bookmarkStart w:id="65" w:name="_Toc263092311"/>
      <w:bookmarkStart w:id="66" w:name="_Toc173322779"/>
      <w:bookmarkStart w:id="67" w:name="_Toc410197817"/>
      <w:bookmarkStart w:id="68" w:name="_Toc352229749"/>
      <w:bookmarkStart w:id="69" w:name="_Toc24682"/>
      <w:bookmarkStart w:id="70" w:name="_Toc15203"/>
      <w:bookmarkStart w:id="71" w:name="_Toc16265"/>
      <w:bookmarkStart w:id="72" w:name="_Toc3266"/>
      <w:bookmarkStart w:id="73" w:name="_Toc7151"/>
      <w:bookmarkStart w:id="74" w:name="_Toc90742390"/>
      <w:bookmarkStart w:id="75" w:name="_Toc27189"/>
      <w:bookmarkStart w:id="76" w:name="_Toc29784"/>
      <w:bookmarkStart w:id="77" w:name="_Toc90742321"/>
      <w:bookmarkStart w:id="78" w:name="_Toc6714"/>
      <w:bookmarkStart w:id="79" w:name="_Toc29948"/>
      <w:bookmarkStart w:id="80" w:name="_Toc27226"/>
      <w:bookmarkStart w:id="81" w:name="_Toc22074"/>
      <w:bookmarkStart w:id="82" w:name="_Toc90742688"/>
      <w:r>
        <w:rPr>
          <w:rFonts w:hint="eastAsia"/>
          <w:sz w:val="30"/>
          <w:szCs w:val="30"/>
        </w:rPr>
        <w:lastRenderedPageBreak/>
        <w:t>第三部分</w:t>
      </w:r>
      <w:r>
        <w:rPr>
          <w:sz w:val="30"/>
          <w:szCs w:val="30"/>
        </w:rPr>
        <w:t xml:space="preserve">  </w:t>
      </w:r>
      <w:r>
        <w:rPr>
          <w:rFonts w:hint="eastAsia"/>
          <w:sz w:val="30"/>
          <w:szCs w:val="30"/>
        </w:rPr>
        <w:t>基金管理人</w:t>
      </w:r>
      <w:bookmarkEnd w:id="64"/>
      <w:bookmarkEnd w:id="65"/>
      <w:bookmarkEnd w:id="66"/>
    </w:p>
    <w:p w14:paraId="2DD91A06" w14:textId="77777777" w:rsidR="009D10D8" w:rsidRDefault="009E4577">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一、基金管理人概况</w:t>
      </w:r>
    </w:p>
    <w:p w14:paraId="7CC826ED" w14:textId="77777777" w:rsidR="009D10D8" w:rsidRDefault="009E4577">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名称：富荣基金管理有限公司</w:t>
      </w:r>
    </w:p>
    <w:p w14:paraId="258A4EA1" w14:textId="157BC3E1" w:rsidR="009D10D8" w:rsidRDefault="009E4577">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住所：</w:t>
      </w:r>
      <w:r w:rsidR="008E18A6" w:rsidRPr="008E18A6">
        <w:rPr>
          <w:rFonts w:asciiTheme="minorEastAsia" w:hAnsiTheme="minorEastAsia" w:cs="Times New Roman" w:hint="eastAsia"/>
          <w:kern w:val="0"/>
          <w:sz w:val="24"/>
          <w:szCs w:val="24"/>
        </w:rPr>
        <w:t>广东省广州市南沙区横</w:t>
      </w:r>
      <w:proofErr w:type="gramStart"/>
      <w:r w:rsidR="008E18A6" w:rsidRPr="008E18A6">
        <w:rPr>
          <w:rFonts w:asciiTheme="minorEastAsia" w:hAnsiTheme="minorEastAsia" w:cs="Times New Roman" w:hint="eastAsia"/>
          <w:kern w:val="0"/>
          <w:sz w:val="24"/>
          <w:szCs w:val="24"/>
        </w:rPr>
        <w:t>沥</w:t>
      </w:r>
      <w:proofErr w:type="gramEnd"/>
      <w:r w:rsidR="008E18A6" w:rsidRPr="008E18A6">
        <w:rPr>
          <w:rFonts w:asciiTheme="minorEastAsia" w:hAnsiTheme="minorEastAsia" w:cs="Times New Roman" w:hint="eastAsia"/>
          <w:kern w:val="0"/>
          <w:sz w:val="24"/>
          <w:szCs w:val="24"/>
        </w:rPr>
        <w:t>镇汇通二街2号3110房</w:t>
      </w:r>
    </w:p>
    <w:p w14:paraId="45F74C22" w14:textId="77777777" w:rsidR="009D10D8" w:rsidRDefault="009E4577">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号安吉尔大厦</w:t>
      </w:r>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3B307F6E" w14:textId="4816546C" w:rsidR="009D10D8" w:rsidRDefault="009E4577">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法定代表人：</w:t>
      </w:r>
      <w:r w:rsidR="008E18A6" w:rsidRPr="008E18A6">
        <w:rPr>
          <w:rFonts w:ascii="Arial Unicode MS" w:hAnsi="Arial Unicode MS" w:cs="Arial" w:hint="eastAsia"/>
          <w:kern w:val="0"/>
          <w:sz w:val="24"/>
        </w:rPr>
        <w:t>王亦伟</w:t>
      </w:r>
    </w:p>
    <w:p w14:paraId="4E9578F3" w14:textId="77777777" w:rsidR="009D10D8" w:rsidRDefault="009E4577">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成立时间：2016年1月25日</w:t>
      </w:r>
    </w:p>
    <w:p w14:paraId="574DE1E2" w14:textId="77777777" w:rsidR="009D10D8" w:rsidRDefault="009E4577">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注册资本：2亿元人民币</w:t>
      </w:r>
    </w:p>
    <w:p w14:paraId="61DF929C" w14:textId="77777777" w:rsidR="009D10D8" w:rsidRDefault="009E4577">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存续期间：永续经营</w:t>
      </w:r>
    </w:p>
    <w:p w14:paraId="59086002" w14:textId="1BB18A3B" w:rsidR="009D10D8" w:rsidRDefault="009E4577">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联系人：</w:t>
      </w:r>
      <w:r w:rsidR="008E18A6" w:rsidRPr="008E18A6">
        <w:rPr>
          <w:rFonts w:asciiTheme="minorEastAsia" w:hAnsiTheme="minorEastAsia" w:cs="Times New Roman" w:hint="eastAsia"/>
          <w:kern w:val="0"/>
          <w:sz w:val="24"/>
          <w:szCs w:val="24"/>
        </w:rPr>
        <w:t>罗艳</w:t>
      </w:r>
    </w:p>
    <w:p w14:paraId="315817CD" w14:textId="0510A87E" w:rsidR="009D10D8" w:rsidRDefault="009E4577">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Pr>
          <w:rFonts w:asciiTheme="minorEastAsia" w:hAnsiTheme="minorEastAsia" w:cs="Times New Roman"/>
          <w:kern w:val="0"/>
          <w:sz w:val="24"/>
          <w:szCs w:val="24"/>
        </w:rPr>
        <w:t>663</w:t>
      </w:r>
      <w:r w:rsidR="008E18A6">
        <w:rPr>
          <w:rFonts w:asciiTheme="minorEastAsia" w:hAnsiTheme="minorEastAsia" w:cs="Times New Roman"/>
          <w:kern w:val="0"/>
          <w:sz w:val="24"/>
          <w:szCs w:val="24"/>
        </w:rPr>
        <w:t>7</w:t>
      </w:r>
    </w:p>
    <w:p w14:paraId="1B95DC9B" w14:textId="77777777" w:rsidR="009D10D8" w:rsidRDefault="009E4577">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9D10D8" w14:paraId="7AF780F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5F3CE493" w14:textId="77777777" w:rsidR="009D10D8" w:rsidRDefault="009E4577">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3E19B312" w14:textId="77777777" w:rsidR="009D10D8" w:rsidRDefault="009E4577">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出资比例</w:t>
            </w:r>
          </w:p>
        </w:tc>
      </w:tr>
      <w:tr w:rsidR="009D10D8" w14:paraId="01C4D29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41AA1BA" w14:textId="77777777" w:rsidR="009D10D8" w:rsidRDefault="009E4577">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CBB1FEF" w14:textId="77777777" w:rsidR="009D10D8" w:rsidRDefault="009E4577">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50%</w:t>
            </w:r>
          </w:p>
        </w:tc>
      </w:tr>
      <w:tr w:rsidR="009D10D8" w14:paraId="6D33ADCC"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6D0B31D" w14:textId="77777777" w:rsidR="009D10D8" w:rsidRDefault="009E4577">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F7456D3" w14:textId="77777777" w:rsidR="009D10D8" w:rsidRDefault="009E4577">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45.1%</w:t>
            </w:r>
          </w:p>
        </w:tc>
      </w:tr>
      <w:tr w:rsidR="009D10D8" w14:paraId="320DA45C"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29F6072" w14:textId="77777777" w:rsidR="009D10D8" w:rsidRDefault="009E4577">
            <w:pPr>
              <w:spacing w:line="360" w:lineRule="auto"/>
              <w:jc w:val="center"/>
              <w:rPr>
                <w:rFonts w:asciiTheme="minorEastAsia" w:hAnsiTheme="minorEastAsia" w:cs="Arial" w:hint="eastAsia"/>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743E0A2" w14:textId="77777777" w:rsidR="009D10D8" w:rsidRDefault="009E4577">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4.9%</w:t>
            </w:r>
          </w:p>
        </w:tc>
      </w:tr>
    </w:tbl>
    <w:p w14:paraId="50671A6A" w14:textId="77777777" w:rsidR="009D10D8" w:rsidRDefault="009D10D8">
      <w:pPr>
        <w:adjustRightInd w:val="0"/>
        <w:snapToGrid w:val="0"/>
        <w:spacing w:line="360" w:lineRule="auto"/>
        <w:ind w:firstLineChars="200" w:firstLine="480"/>
        <w:rPr>
          <w:rFonts w:asciiTheme="minorEastAsia" w:hAnsiTheme="minorEastAsia" w:cs="Arial" w:hint="eastAsia"/>
          <w:kern w:val="0"/>
          <w:sz w:val="24"/>
          <w:szCs w:val="24"/>
        </w:rPr>
      </w:pPr>
    </w:p>
    <w:p w14:paraId="1E6D28CE" w14:textId="77777777" w:rsidR="009D10D8" w:rsidRDefault="009E4577">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二、主要成员情况</w:t>
      </w:r>
    </w:p>
    <w:p w14:paraId="5CC32793" w14:textId="77777777" w:rsidR="009D10D8" w:rsidRDefault="009E4577">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1、董事会成员</w:t>
      </w:r>
    </w:p>
    <w:p w14:paraId="308B1144" w14:textId="75C7F888" w:rsidR="00C94615" w:rsidRDefault="00C94615" w:rsidP="001B56E7">
      <w:pPr>
        <w:adjustRightInd w:val="0"/>
        <w:snapToGrid w:val="0"/>
        <w:spacing w:line="360" w:lineRule="auto"/>
        <w:ind w:firstLineChars="200" w:firstLine="480"/>
        <w:rPr>
          <w:rFonts w:asciiTheme="minorEastAsia" w:hAnsiTheme="minorEastAsia" w:cs="Arial" w:hint="eastAsia"/>
          <w:kern w:val="0"/>
          <w:sz w:val="24"/>
          <w:szCs w:val="24"/>
        </w:rPr>
      </w:pPr>
      <w:r w:rsidRPr="00C94615">
        <w:rPr>
          <w:rFonts w:asciiTheme="minorEastAsia" w:hAnsiTheme="minorEastAsia" w:cs="Arial" w:hint="eastAsia"/>
          <w:kern w:val="0"/>
          <w:sz w:val="24"/>
          <w:szCs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sidRPr="00C94615">
        <w:rPr>
          <w:rFonts w:asciiTheme="minorEastAsia" w:hAnsiTheme="minorEastAsia" w:cs="Arial" w:hint="eastAsia"/>
          <w:kern w:val="0"/>
          <w:sz w:val="24"/>
          <w:szCs w:val="24"/>
        </w:rPr>
        <w:t>投</w:t>
      </w:r>
      <w:proofErr w:type="gramEnd"/>
      <w:r w:rsidRPr="00C94615">
        <w:rPr>
          <w:rFonts w:asciiTheme="minorEastAsia" w:hAnsiTheme="minorEastAsia" w:cs="Arial" w:hint="eastAsia"/>
          <w:kern w:val="0"/>
          <w:sz w:val="24"/>
          <w:szCs w:val="24"/>
        </w:rPr>
        <w:t>投资有限公司总经理、党支部书记、董事、董事长，广州新中轴建设有限公司财务总监、董事长、法人代表</w:t>
      </w:r>
      <w:r w:rsidR="004571DF">
        <w:rPr>
          <w:rFonts w:asciiTheme="minorEastAsia" w:hAnsiTheme="minorEastAsia" w:cs="Arial" w:hint="eastAsia"/>
          <w:kern w:val="0"/>
          <w:sz w:val="24"/>
          <w:szCs w:val="24"/>
        </w:rPr>
        <w:t>，</w:t>
      </w:r>
      <w:r w:rsidR="004571DF" w:rsidRPr="00C947D7">
        <w:rPr>
          <w:rFonts w:asciiTheme="minorEastAsia" w:hAnsiTheme="minorEastAsia" w:cs="Arial" w:hint="eastAsia"/>
          <w:kern w:val="0"/>
          <w:sz w:val="24"/>
          <w:szCs w:val="24"/>
        </w:rPr>
        <w:t>广州城</w:t>
      </w:r>
      <w:proofErr w:type="gramStart"/>
      <w:r w:rsidR="004571DF" w:rsidRPr="00C947D7">
        <w:rPr>
          <w:rFonts w:asciiTheme="minorEastAsia" w:hAnsiTheme="minorEastAsia" w:cs="Arial" w:hint="eastAsia"/>
          <w:kern w:val="0"/>
          <w:sz w:val="24"/>
          <w:szCs w:val="24"/>
        </w:rPr>
        <w:t>恒</w:t>
      </w:r>
      <w:proofErr w:type="gramEnd"/>
      <w:r w:rsidR="004571DF" w:rsidRPr="00C947D7">
        <w:rPr>
          <w:rFonts w:asciiTheme="minorEastAsia" w:hAnsiTheme="minorEastAsia" w:cs="Arial" w:hint="eastAsia"/>
          <w:kern w:val="0"/>
          <w:sz w:val="24"/>
          <w:szCs w:val="24"/>
        </w:rPr>
        <w:t>城市更新投资有限公司董事长、法定代表人</w:t>
      </w:r>
      <w:r w:rsidR="004571DF">
        <w:rPr>
          <w:rFonts w:asciiTheme="minorEastAsia" w:hAnsiTheme="minorEastAsia" w:cs="Arial" w:hint="eastAsia"/>
          <w:kern w:val="0"/>
          <w:sz w:val="24"/>
          <w:szCs w:val="24"/>
        </w:rPr>
        <w:t>，</w:t>
      </w:r>
      <w:r w:rsidR="004571DF" w:rsidRPr="00C947D7">
        <w:rPr>
          <w:rFonts w:asciiTheme="minorEastAsia" w:hAnsiTheme="minorEastAsia" w:cs="Arial" w:hint="eastAsia"/>
          <w:kern w:val="0"/>
          <w:sz w:val="24"/>
          <w:szCs w:val="24"/>
        </w:rPr>
        <w:t>中国文化产业投资</w:t>
      </w:r>
      <w:proofErr w:type="gramStart"/>
      <w:r w:rsidR="004571DF" w:rsidRPr="00C947D7">
        <w:rPr>
          <w:rFonts w:asciiTheme="minorEastAsia" w:hAnsiTheme="minorEastAsia" w:cs="Arial" w:hint="eastAsia"/>
          <w:kern w:val="0"/>
          <w:sz w:val="24"/>
          <w:szCs w:val="24"/>
        </w:rPr>
        <w:t>母基金</w:t>
      </w:r>
      <w:proofErr w:type="gramEnd"/>
      <w:r w:rsidR="004571DF" w:rsidRPr="00C947D7">
        <w:rPr>
          <w:rFonts w:asciiTheme="minorEastAsia" w:hAnsiTheme="minorEastAsia" w:cs="Arial" w:hint="eastAsia"/>
          <w:kern w:val="0"/>
          <w:sz w:val="24"/>
          <w:szCs w:val="24"/>
        </w:rPr>
        <w:t>管理有限公司董事</w:t>
      </w:r>
      <w:r w:rsidR="004571DF" w:rsidRPr="00C94615">
        <w:rPr>
          <w:rFonts w:asciiTheme="minorEastAsia" w:hAnsiTheme="minorEastAsia" w:cs="Arial" w:hint="eastAsia"/>
          <w:kern w:val="0"/>
          <w:sz w:val="24"/>
          <w:szCs w:val="24"/>
        </w:rPr>
        <w:t>。</w:t>
      </w:r>
      <w:r w:rsidR="004571DF" w:rsidRPr="00C43AB1">
        <w:rPr>
          <w:rFonts w:asciiTheme="minorEastAsia" w:hAnsiTheme="minorEastAsia" w:cs="Arial" w:hint="eastAsia"/>
          <w:kern w:val="0"/>
          <w:sz w:val="24"/>
          <w:szCs w:val="24"/>
        </w:rPr>
        <w:t>现任广州产业投资基金管理有限公司党委书记、董事长、法定代表人，</w:t>
      </w:r>
      <w:r w:rsidR="004571DF" w:rsidRPr="00C947D7">
        <w:rPr>
          <w:rFonts w:asciiTheme="minorEastAsia" w:hAnsiTheme="minorEastAsia" w:cs="Arial" w:hint="eastAsia"/>
          <w:kern w:val="0"/>
          <w:sz w:val="24"/>
          <w:szCs w:val="24"/>
        </w:rPr>
        <w:t>广州汽车集团股份有限公司董事</w:t>
      </w:r>
      <w:r w:rsidR="004571DF" w:rsidRPr="00C43AB1">
        <w:rPr>
          <w:rFonts w:asciiTheme="minorEastAsia" w:hAnsiTheme="minorEastAsia" w:cs="Arial" w:hint="eastAsia"/>
          <w:kern w:val="0"/>
          <w:sz w:val="24"/>
          <w:szCs w:val="24"/>
        </w:rPr>
        <w:t>，广州市城</w:t>
      </w:r>
      <w:proofErr w:type="gramStart"/>
      <w:r w:rsidR="004571DF" w:rsidRPr="00C43AB1">
        <w:rPr>
          <w:rFonts w:asciiTheme="minorEastAsia" w:hAnsiTheme="minorEastAsia" w:cs="Arial" w:hint="eastAsia"/>
          <w:kern w:val="0"/>
          <w:sz w:val="24"/>
          <w:szCs w:val="24"/>
        </w:rPr>
        <w:t>投</w:t>
      </w:r>
      <w:proofErr w:type="gramEnd"/>
      <w:r w:rsidR="004571DF" w:rsidRPr="00C43AB1">
        <w:rPr>
          <w:rFonts w:asciiTheme="minorEastAsia" w:hAnsiTheme="minorEastAsia" w:cs="Arial" w:hint="eastAsia"/>
          <w:kern w:val="0"/>
          <w:sz w:val="24"/>
          <w:szCs w:val="24"/>
        </w:rPr>
        <w:t>投资有限公司董事，富荣基金管理有限公司董事长、法定代表人</w:t>
      </w:r>
      <w:r w:rsidR="00A43CC6">
        <w:rPr>
          <w:rFonts w:asciiTheme="minorEastAsia" w:hAnsiTheme="minorEastAsia" w:cs="Arial" w:hint="eastAsia"/>
          <w:kern w:val="0"/>
          <w:sz w:val="24"/>
          <w:szCs w:val="24"/>
        </w:rPr>
        <w:t>。</w:t>
      </w:r>
    </w:p>
    <w:p w14:paraId="05E20863" w14:textId="4CBE7FD1" w:rsidR="001B56E7" w:rsidRPr="001B56E7" w:rsidRDefault="001B56E7" w:rsidP="001B56E7">
      <w:pPr>
        <w:adjustRightInd w:val="0"/>
        <w:snapToGrid w:val="0"/>
        <w:spacing w:line="360" w:lineRule="auto"/>
        <w:ind w:firstLineChars="200" w:firstLine="480"/>
        <w:rPr>
          <w:rFonts w:asciiTheme="minorEastAsia" w:hAnsiTheme="minorEastAsia" w:cs="Arial" w:hint="eastAsia"/>
          <w:kern w:val="0"/>
          <w:sz w:val="24"/>
          <w:szCs w:val="24"/>
        </w:rPr>
      </w:pPr>
      <w:r w:rsidRPr="001B56E7">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w:t>
      </w:r>
      <w:r w:rsidRPr="001B56E7">
        <w:rPr>
          <w:rFonts w:asciiTheme="minorEastAsia" w:hAnsiTheme="minorEastAsia" w:cs="Arial" w:hint="eastAsia"/>
          <w:kern w:val="0"/>
          <w:sz w:val="24"/>
          <w:szCs w:val="24"/>
        </w:rPr>
        <w:lastRenderedPageBreak/>
        <w:t>行长、广发银行沈阳直属支行行长助理、副行长、行长兼党委书记、广发银行沈阳分行行长兼党委书记、广发银行深圳分行行长兼党委书记</w:t>
      </w:r>
      <w:r w:rsidR="008A3BFA" w:rsidRPr="008A3BFA">
        <w:rPr>
          <w:rFonts w:asciiTheme="minorEastAsia" w:hAnsiTheme="minorEastAsia" w:cs="Arial" w:hint="eastAsia"/>
          <w:kern w:val="0"/>
          <w:sz w:val="24"/>
          <w:szCs w:val="24"/>
        </w:rPr>
        <w:t>、</w:t>
      </w:r>
      <w:r w:rsidR="00C43AB1" w:rsidRPr="00C43AB1">
        <w:rPr>
          <w:rFonts w:asciiTheme="minorEastAsia" w:hAnsiTheme="minorEastAsia" w:cs="Arial" w:hint="eastAsia"/>
          <w:kern w:val="0"/>
          <w:sz w:val="24"/>
          <w:szCs w:val="24"/>
        </w:rPr>
        <w:t>富荣基金管理有限公司董事长，现任富荣基金管理有限公司总经理、首席信息官。</w:t>
      </w:r>
    </w:p>
    <w:p w14:paraId="19A0271E" w14:textId="1396811B" w:rsidR="00C43AB1" w:rsidRDefault="00C43AB1" w:rsidP="00C43AB1">
      <w:pPr>
        <w:adjustRightInd w:val="0"/>
        <w:snapToGrid w:val="0"/>
        <w:spacing w:line="360" w:lineRule="auto"/>
        <w:ind w:firstLineChars="200" w:firstLine="480"/>
        <w:rPr>
          <w:rFonts w:asciiTheme="minorEastAsia" w:hAnsiTheme="minorEastAsia" w:cs="Arial" w:hint="eastAsia"/>
          <w:kern w:val="0"/>
          <w:sz w:val="24"/>
          <w:szCs w:val="24"/>
        </w:rPr>
      </w:pPr>
      <w:r w:rsidRPr="00C43AB1">
        <w:rPr>
          <w:rFonts w:asciiTheme="minorEastAsia" w:hAnsiTheme="minorEastAsia" w:cs="Arial" w:hint="eastAsia"/>
          <w:kern w:val="0"/>
          <w:sz w:val="24"/>
          <w:szCs w:val="24"/>
        </w:rPr>
        <w:t>赵宏伟先生，董事，对外经济贸易大学硕士。历任北京大成律师事务所证券律师、当代北方（北京）投资有限公司总裁、黑龙江北美工业大麻科技有限公司总裁，广州产业投资基金管理有限公司风险管理部总经理、法</w:t>
      </w:r>
      <w:proofErr w:type="gramStart"/>
      <w:r w:rsidRPr="00C43AB1">
        <w:rPr>
          <w:rFonts w:asciiTheme="minorEastAsia" w:hAnsiTheme="minorEastAsia" w:cs="Arial" w:hint="eastAsia"/>
          <w:kern w:val="0"/>
          <w:sz w:val="24"/>
          <w:szCs w:val="24"/>
        </w:rPr>
        <w:t>务风控部</w:t>
      </w:r>
      <w:proofErr w:type="gramEnd"/>
      <w:r w:rsidRPr="00C43AB1">
        <w:rPr>
          <w:rFonts w:asciiTheme="minorEastAsia" w:hAnsiTheme="minorEastAsia" w:cs="Arial" w:hint="eastAsia"/>
          <w:kern w:val="0"/>
          <w:sz w:val="24"/>
          <w:szCs w:val="24"/>
        </w:rPr>
        <w:t>总经理，</w:t>
      </w:r>
      <w:r w:rsidR="004571DF" w:rsidRPr="00C43AB1">
        <w:rPr>
          <w:rFonts w:asciiTheme="minorEastAsia" w:hAnsiTheme="minorEastAsia" w:cs="Arial" w:hint="eastAsia"/>
          <w:kern w:val="0"/>
          <w:sz w:val="24"/>
          <w:szCs w:val="24"/>
        </w:rPr>
        <w:t>广州产业投资基金管理有限公司投资管理部总经理，广州基金国际股权投资基金管理有限公司党支部副书记、总经理</w:t>
      </w:r>
      <w:r w:rsidR="004571DF">
        <w:rPr>
          <w:rFonts w:asciiTheme="minorEastAsia" w:hAnsiTheme="minorEastAsia" w:cs="Arial" w:hint="eastAsia"/>
          <w:kern w:val="0"/>
          <w:sz w:val="24"/>
          <w:szCs w:val="24"/>
        </w:rPr>
        <w:t>。</w:t>
      </w:r>
      <w:proofErr w:type="gramStart"/>
      <w:r w:rsidR="004571DF" w:rsidRPr="00C43AB1">
        <w:rPr>
          <w:rFonts w:asciiTheme="minorEastAsia" w:hAnsiTheme="minorEastAsia" w:cs="Arial" w:hint="eastAsia"/>
          <w:kern w:val="0"/>
          <w:sz w:val="24"/>
          <w:szCs w:val="24"/>
        </w:rPr>
        <w:t>现任</w:t>
      </w:r>
      <w:r w:rsidR="004571DF" w:rsidRPr="00C947D7">
        <w:rPr>
          <w:rFonts w:asciiTheme="minorEastAsia" w:hAnsiTheme="minorEastAsia" w:cs="Arial" w:hint="eastAsia"/>
          <w:kern w:val="0"/>
          <w:sz w:val="24"/>
          <w:szCs w:val="24"/>
        </w:rPr>
        <w:t>穗甬控股</w:t>
      </w:r>
      <w:proofErr w:type="gramEnd"/>
      <w:r w:rsidR="004571DF" w:rsidRPr="00C947D7">
        <w:rPr>
          <w:rFonts w:asciiTheme="minorEastAsia" w:hAnsiTheme="minorEastAsia" w:cs="Arial" w:hint="eastAsia"/>
          <w:kern w:val="0"/>
          <w:sz w:val="24"/>
          <w:szCs w:val="24"/>
        </w:rPr>
        <w:t>有限公司常务副总经理</w:t>
      </w:r>
      <w:r w:rsidR="004571DF" w:rsidRPr="00C43AB1">
        <w:rPr>
          <w:rFonts w:asciiTheme="minorEastAsia" w:hAnsiTheme="minorEastAsia" w:cs="Arial" w:hint="eastAsia"/>
          <w:kern w:val="0"/>
          <w:sz w:val="24"/>
          <w:szCs w:val="24"/>
        </w:rPr>
        <w:t>，富荣基金管理有限公司董事</w:t>
      </w:r>
      <w:r w:rsidRPr="00C43AB1">
        <w:rPr>
          <w:rFonts w:asciiTheme="minorEastAsia" w:hAnsiTheme="minorEastAsia" w:cs="Arial" w:hint="eastAsia"/>
          <w:kern w:val="0"/>
          <w:sz w:val="24"/>
          <w:szCs w:val="24"/>
        </w:rPr>
        <w:t>。</w:t>
      </w:r>
    </w:p>
    <w:p w14:paraId="39D8CE40" w14:textId="29AA714C" w:rsidR="00C43AB1" w:rsidRPr="00C43AB1" w:rsidRDefault="004571DF" w:rsidP="00C43AB1">
      <w:pPr>
        <w:adjustRightInd w:val="0"/>
        <w:snapToGrid w:val="0"/>
        <w:spacing w:line="360" w:lineRule="auto"/>
        <w:ind w:firstLineChars="200" w:firstLine="480"/>
        <w:rPr>
          <w:rFonts w:asciiTheme="minorEastAsia" w:hAnsiTheme="minorEastAsia" w:cs="Arial" w:hint="eastAsia"/>
          <w:kern w:val="0"/>
          <w:sz w:val="24"/>
          <w:szCs w:val="24"/>
        </w:rPr>
      </w:pPr>
      <w:r w:rsidRPr="00C43AB1">
        <w:rPr>
          <w:rFonts w:asciiTheme="minorEastAsia" w:hAnsiTheme="minorEastAsia" w:cs="Arial" w:hint="eastAsia"/>
          <w:kern w:val="0"/>
          <w:sz w:val="24"/>
          <w:szCs w:val="24"/>
        </w:rPr>
        <w:t>郭涛先生，董事，上海交通大学高级管理人员工商管理专业硕士。现任</w:t>
      </w:r>
      <w:proofErr w:type="gramStart"/>
      <w:r w:rsidRPr="00C947D7">
        <w:rPr>
          <w:rFonts w:asciiTheme="minorEastAsia" w:hAnsiTheme="minorEastAsia" w:cs="Arial" w:hint="eastAsia"/>
          <w:kern w:val="0"/>
          <w:sz w:val="24"/>
          <w:szCs w:val="24"/>
        </w:rPr>
        <w:t>深圳市亿尔德</w:t>
      </w:r>
      <w:proofErr w:type="gramEnd"/>
      <w:r w:rsidRPr="00C947D7">
        <w:rPr>
          <w:rFonts w:asciiTheme="minorEastAsia" w:hAnsiTheme="minorEastAsia" w:cs="Arial" w:hint="eastAsia"/>
          <w:kern w:val="0"/>
          <w:sz w:val="24"/>
          <w:szCs w:val="24"/>
        </w:rPr>
        <w:t>投资有限公司总经理、执行董事；</w:t>
      </w:r>
      <w:proofErr w:type="gramStart"/>
      <w:r w:rsidRPr="00C947D7">
        <w:rPr>
          <w:rFonts w:asciiTheme="minorEastAsia" w:hAnsiTheme="minorEastAsia" w:cs="Arial" w:hint="eastAsia"/>
          <w:kern w:val="0"/>
          <w:sz w:val="24"/>
          <w:szCs w:val="24"/>
        </w:rPr>
        <w:t>微愿数智</w:t>
      </w:r>
      <w:proofErr w:type="gramEnd"/>
      <w:r w:rsidRPr="00C947D7">
        <w:rPr>
          <w:rFonts w:asciiTheme="minorEastAsia" w:hAnsiTheme="minorEastAsia" w:cs="Arial" w:hint="eastAsia"/>
          <w:kern w:val="0"/>
          <w:sz w:val="24"/>
          <w:szCs w:val="24"/>
        </w:rPr>
        <w:t>（深圳）健康科技有限公司总经理、执行董事；</w:t>
      </w:r>
      <w:proofErr w:type="gramStart"/>
      <w:r w:rsidRPr="00C947D7">
        <w:rPr>
          <w:rFonts w:asciiTheme="minorEastAsia" w:hAnsiTheme="minorEastAsia" w:cs="Arial" w:hint="eastAsia"/>
          <w:kern w:val="0"/>
          <w:sz w:val="24"/>
          <w:szCs w:val="24"/>
        </w:rPr>
        <w:t>深圳市盈投荣达</w:t>
      </w:r>
      <w:proofErr w:type="gramEnd"/>
      <w:r w:rsidRPr="00C947D7">
        <w:rPr>
          <w:rFonts w:asciiTheme="minorEastAsia" w:hAnsiTheme="minorEastAsia" w:cs="Arial" w:hint="eastAsia"/>
          <w:kern w:val="0"/>
          <w:sz w:val="24"/>
          <w:szCs w:val="24"/>
        </w:rPr>
        <w:t>科技有限公司董事长、总经理；深圳市嘉年印</w:t>
      </w:r>
      <w:proofErr w:type="gramStart"/>
      <w:r w:rsidRPr="00C947D7">
        <w:rPr>
          <w:rFonts w:asciiTheme="minorEastAsia" w:hAnsiTheme="minorEastAsia" w:cs="Arial" w:hint="eastAsia"/>
          <w:kern w:val="0"/>
          <w:sz w:val="24"/>
          <w:szCs w:val="24"/>
        </w:rPr>
        <w:t>务</w:t>
      </w:r>
      <w:proofErr w:type="gramEnd"/>
      <w:r w:rsidRPr="00C947D7">
        <w:rPr>
          <w:rFonts w:asciiTheme="minorEastAsia" w:hAnsiTheme="minorEastAsia" w:cs="Arial" w:hint="eastAsia"/>
          <w:kern w:val="0"/>
          <w:sz w:val="24"/>
          <w:szCs w:val="24"/>
        </w:rPr>
        <w:t>有限公司董事；深圳市盈实发展有限公司董事长；深圳市</w:t>
      </w:r>
      <w:proofErr w:type="gramStart"/>
      <w:r w:rsidRPr="00C947D7">
        <w:rPr>
          <w:rFonts w:asciiTheme="minorEastAsia" w:hAnsiTheme="minorEastAsia" w:cs="Arial" w:hint="eastAsia"/>
          <w:kern w:val="0"/>
          <w:sz w:val="24"/>
          <w:szCs w:val="24"/>
        </w:rPr>
        <w:t>盈致未来文创管理</w:t>
      </w:r>
      <w:proofErr w:type="gramEnd"/>
      <w:r w:rsidRPr="00C947D7">
        <w:rPr>
          <w:rFonts w:asciiTheme="minorEastAsia" w:hAnsiTheme="minorEastAsia" w:cs="Arial" w:hint="eastAsia"/>
          <w:kern w:val="0"/>
          <w:sz w:val="24"/>
          <w:szCs w:val="24"/>
        </w:rPr>
        <w:t>有限公司董事长；深圳市益德置业有限公司总经理、董事；</w:t>
      </w:r>
      <w:proofErr w:type="gramStart"/>
      <w:r w:rsidRPr="00C947D7">
        <w:rPr>
          <w:rFonts w:asciiTheme="minorEastAsia" w:hAnsiTheme="minorEastAsia" w:cs="Arial" w:hint="eastAsia"/>
          <w:kern w:val="0"/>
          <w:sz w:val="24"/>
          <w:szCs w:val="24"/>
        </w:rPr>
        <w:t>盈投科技</w:t>
      </w:r>
      <w:proofErr w:type="gramEnd"/>
      <w:r w:rsidRPr="00C947D7">
        <w:rPr>
          <w:rFonts w:asciiTheme="minorEastAsia" w:hAnsiTheme="minorEastAsia" w:cs="Arial" w:hint="eastAsia"/>
          <w:kern w:val="0"/>
          <w:sz w:val="24"/>
          <w:szCs w:val="24"/>
        </w:rPr>
        <w:t>控股集团有限公司总经理、董事；深圳市铭嘉达信息咨询有限公司董事；深圳市理得文化发展有限公司董事；乐百氏（广东）饮用水有限公司董事；深圳安吉尔饮水产业集团有限公司董事；</w:t>
      </w:r>
      <w:proofErr w:type="gramStart"/>
      <w:r w:rsidRPr="00C947D7">
        <w:rPr>
          <w:rFonts w:asciiTheme="minorEastAsia" w:hAnsiTheme="minorEastAsia" w:cs="Arial" w:hint="eastAsia"/>
          <w:kern w:val="0"/>
          <w:sz w:val="24"/>
          <w:szCs w:val="24"/>
        </w:rPr>
        <w:t>昊</w:t>
      </w:r>
      <w:proofErr w:type="gramEnd"/>
      <w:r w:rsidRPr="00C947D7">
        <w:rPr>
          <w:rFonts w:asciiTheme="minorEastAsia" w:hAnsiTheme="minorEastAsia" w:cs="Arial" w:hint="eastAsia"/>
          <w:kern w:val="0"/>
          <w:sz w:val="24"/>
          <w:szCs w:val="24"/>
        </w:rPr>
        <w:t>华化工科技集团股份有限公司董事；深圳嘉年实业股份有限公司董事；深圳市</w:t>
      </w:r>
      <w:proofErr w:type="gramStart"/>
      <w:r w:rsidRPr="00C947D7">
        <w:rPr>
          <w:rFonts w:asciiTheme="minorEastAsia" w:hAnsiTheme="minorEastAsia" w:cs="Arial" w:hint="eastAsia"/>
          <w:kern w:val="0"/>
          <w:sz w:val="24"/>
          <w:szCs w:val="24"/>
        </w:rPr>
        <w:t>盈投发展</w:t>
      </w:r>
      <w:proofErr w:type="gramEnd"/>
      <w:r w:rsidRPr="00C947D7">
        <w:rPr>
          <w:rFonts w:asciiTheme="minorEastAsia" w:hAnsiTheme="minorEastAsia" w:cs="Arial" w:hint="eastAsia"/>
          <w:kern w:val="0"/>
          <w:sz w:val="24"/>
          <w:szCs w:val="24"/>
        </w:rPr>
        <w:t>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深圳市乐百氏实业发展有限公司董事；乐百氏（广州）科技有限公司董事；深圳上合高金投资管理有限公司监事；深圳市</w:t>
      </w:r>
      <w:proofErr w:type="gramStart"/>
      <w:r w:rsidRPr="00C947D7">
        <w:rPr>
          <w:rFonts w:asciiTheme="minorEastAsia" w:hAnsiTheme="minorEastAsia" w:cs="Arial" w:hint="eastAsia"/>
          <w:kern w:val="0"/>
          <w:sz w:val="24"/>
          <w:szCs w:val="24"/>
        </w:rPr>
        <w:t>久猪电子</w:t>
      </w:r>
      <w:proofErr w:type="gramEnd"/>
      <w:r w:rsidRPr="00C947D7">
        <w:rPr>
          <w:rFonts w:asciiTheme="minorEastAsia" w:hAnsiTheme="minorEastAsia" w:cs="Arial" w:hint="eastAsia"/>
          <w:kern w:val="0"/>
          <w:sz w:val="24"/>
          <w:szCs w:val="24"/>
        </w:rPr>
        <w:t>有限公司监事；富荣基金管理有限公司董事</w:t>
      </w:r>
      <w:r w:rsidR="00C43AB1" w:rsidRPr="00C43AB1">
        <w:rPr>
          <w:rFonts w:asciiTheme="minorEastAsia" w:hAnsiTheme="minorEastAsia" w:cs="Arial" w:hint="eastAsia"/>
          <w:kern w:val="0"/>
          <w:sz w:val="24"/>
          <w:szCs w:val="24"/>
        </w:rPr>
        <w:t>。</w:t>
      </w:r>
    </w:p>
    <w:p w14:paraId="4D6D3003" w14:textId="77777777" w:rsidR="00C43AB1" w:rsidRPr="00C43AB1" w:rsidRDefault="00C43AB1" w:rsidP="00C43AB1">
      <w:pPr>
        <w:adjustRightInd w:val="0"/>
        <w:snapToGrid w:val="0"/>
        <w:spacing w:line="360" w:lineRule="auto"/>
        <w:ind w:firstLineChars="200" w:firstLine="480"/>
        <w:rPr>
          <w:rFonts w:asciiTheme="minorEastAsia" w:hAnsiTheme="minorEastAsia" w:cs="Arial" w:hint="eastAsia"/>
          <w:kern w:val="0"/>
          <w:sz w:val="24"/>
          <w:szCs w:val="24"/>
        </w:rPr>
      </w:pPr>
      <w:r w:rsidRPr="00C43AB1">
        <w:rPr>
          <w:rFonts w:asciiTheme="minorEastAsia" w:hAnsiTheme="minorEastAsia" w:cs="Arial" w:hint="eastAsia"/>
          <w:kern w:val="0"/>
          <w:sz w:val="24"/>
          <w:szCs w:val="24"/>
        </w:rPr>
        <w:t>余</w:t>
      </w:r>
      <w:proofErr w:type="gramStart"/>
      <w:r w:rsidRPr="00C43AB1">
        <w:rPr>
          <w:rFonts w:asciiTheme="minorEastAsia" w:hAnsiTheme="minorEastAsia" w:cs="Arial" w:hint="eastAsia"/>
          <w:kern w:val="0"/>
          <w:sz w:val="24"/>
          <w:szCs w:val="24"/>
        </w:rPr>
        <w:t>关健</w:t>
      </w:r>
      <w:proofErr w:type="gramEnd"/>
      <w:r w:rsidRPr="00C43AB1">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C43AB1">
        <w:rPr>
          <w:rFonts w:asciiTheme="minorEastAsia" w:hAnsiTheme="minorEastAsia" w:cs="Arial" w:hint="eastAsia"/>
          <w:kern w:val="0"/>
          <w:sz w:val="24"/>
          <w:szCs w:val="24"/>
        </w:rPr>
        <w:t>邦</w:t>
      </w:r>
      <w:proofErr w:type="gramEnd"/>
      <w:r w:rsidRPr="00C43AB1">
        <w:rPr>
          <w:rFonts w:asciiTheme="minorEastAsia" w:hAnsiTheme="minorEastAsia" w:cs="Arial" w:hint="eastAsia"/>
          <w:kern w:val="0"/>
          <w:sz w:val="24"/>
          <w:szCs w:val="24"/>
        </w:rPr>
        <w:t>信资产管理公司董事总经理、对外贸易集团股份有限公司董事长、中国东方资产管理股份有限公司广东省分公司总经理、大业信托有限责任公司董事、沈阳公用发展股份有限公司董事、申科滑动轴承股份有限公司董事、东银实</w:t>
      </w:r>
      <w:r w:rsidRPr="00C43AB1">
        <w:rPr>
          <w:rFonts w:asciiTheme="minorEastAsia" w:hAnsiTheme="minorEastAsia" w:cs="Arial" w:hint="eastAsia"/>
          <w:kern w:val="0"/>
          <w:sz w:val="24"/>
          <w:szCs w:val="24"/>
        </w:rPr>
        <w:lastRenderedPageBreak/>
        <w:t>业（深圳）有限公司董事、金田实业（集团）股份有限公司独立董事。现任富荣基金管理有限公司独立董事。</w:t>
      </w:r>
    </w:p>
    <w:p w14:paraId="70D7B6DB" w14:textId="0AC939D1" w:rsidR="00C43AB1" w:rsidRPr="00C43AB1" w:rsidRDefault="00C43AB1" w:rsidP="00C43AB1">
      <w:pPr>
        <w:adjustRightInd w:val="0"/>
        <w:snapToGrid w:val="0"/>
        <w:spacing w:line="360" w:lineRule="auto"/>
        <w:ind w:firstLineChars="200" w:firstLine="480"/>
        <w:rPr>
          <w:rFonts w:asciiTheme="minorEastAsia" w:hAnsiTheme="minorEastAsia" w:cs="Arial" w:hint="eastAsia"/>
          <w:kern w:val="0"/>
          <w:sz w:val="24"/>
          <w:szCs w:val="24"/>
        </w:rPr>
      </w:pPr>
      <w:r w:rsidRPr="00C43AB1">
        <w:rPr>
          <w:rFonts w:asciiTheme="minorEastAsia" w:hAnsiTheme="minorEastAsia" w:cs="Arial" w:hint="eastAsia"/>
          <w:kern w:val="0"/>
          <w:sz w:val="24"/>
          <w:szCs w:val="24"/>
        </w:rPr>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w:t>
      </w:r>
      <w:r w:rsidR="00E90D94">
        <w:rPr>
          <w:rFonts w:asciiTheme="minorEastAsia" w:hAnsiTheme="minorEastAsia" w:cs="Arial" w:hint="eastAsia"/>
          <w:kern w:val="0"/>
          <w:sz w:val="24"/>
          <w:szCs w:val="24"/>
        </w:rPr>
        <w:t>，</w:t>
      </w:r>
      <w:r w:rsidR="00E90D94" w:rsidRPr="00C947D7">
        <w:rPr>
          <w:rFonts w:asciiTheme="minorEastAsia" w:hAnsiTheme="minorEastAsia" w:cs="Arial" w:hint="eastAsia"/>
          <w:kern w:val="0"/>
          <w:sz w:val="24"/>
          <w:szCs w:val="24"/>
        </w:rPr>
        <w:t>深圳第一金融服务有限公司董事长、总经理，湖南银行独立董事</w:t>
      </w:r>
      <w:r w:rsidR="00E90D94">
        <w:rPr>
          <w:rFonts w:asciiTheme="minorEastAsia" w:hAnsiTheme="minorEastAsia" w:cs="Arial" w:hint="eastAsia"/>
          <w:kern w:val="0"/>
          <w:sz w:val="24"/>
          <w:szCs w:val="24"/>
        </w:rPr>
        <w:t>，</w:t>
      </w:r>
      <w:r w:rsidR="00E90D94" w:rsidRPr="00C947D7">
        <w:rPr>
          <w:rFonts w:asciiTheme="minorEastAsia" w:hAnsiTheme="minorEastAsia" w:cs="Arial" w:hint="eastAsia"/>
          <w:kern w:val="0"/>
          <w:sz w:val="24"/>
          <w:szCs w:val="24"/>
        </w:rPr>
        <w:t>深圳青石资本管理有限公司法定代表人、执行董事、总经理</w:t>
      </w:r>
      <w:r w:rsidR="00E90D94" w:rsidRPr="00C43AB1">
        <w:rPr>
          <w:rFonts w:asciiTheme="minorEastAsia" w:hAnsiTheme="minorEastAsia" w:cs="Arial" w:hint="eastAsia"/>
          <w:kern w:val="0"/>
          <w:sz w:val="24"/>
          <w:szCs w:val="24"/>
        </w:rPr>
        <w:t>。现任</w:t>
      </w:r>
      <w:r w:rsidR="00E90D94" w:rsidRPr="00C947D7">
        <w:rPr>
          <w:rFonts w:asciiTheme="minorEastAsia" w:hAnsiTheme="minorEastAsia" w:cs="Arial" w:hint="eastAsia"/>
          <w:kern w:val="0"/>
          <w:sz w:val="24"/>
          <w:szCs w:val="24"/>
        </w:rPr>
        <w:t>深圳</w:t>
      </w:r>
      <w:proofErr w:type="gramStart"/>
      <w:r w:rsidR="00E90D94" w:rsidRPr="00C947D7">
        <w:rPr>
          <w:rFonts w:asciiTheme="minorEastAsia" w:hAnsiTheme="minorEastAsia" w:cs="Arial" w:hint="eastAsia"/>
          <w:kern w:val="0"/>
          <w:sz w:val="24"/>
          <w:szCs w:val="24"/>
        </w:rPr>
        <w:t>冠领融科服务</w:t>
      </w:r>
      <w:proofErr w:type="gramEnd"/>
      <w:r w:rsidR="00E90D94" w:rsidRPr="00C947D7">
        <w:rPr>
          <w:rFonts w:asciiTheme="minorEastAsia" w:hAnsiTheme="minorEastAsia" w:cs="Arial" w:hint="eastAsia"/>
          <w:kern w:val="0"/>
          <w:sz w:val="24"/>
          <w:szCs w:val="24"/>
        </w:rPr>
        <w:t>有限公司董事</w:t>
      </w:r>
      <w:r w:rsidR="00E90D94" w:rsidRPr="00C43AB1">
        <w:rPr>
          <w:rFonts w:asciiTheme="minorEastAsia" w:hAnsiTheme="minorEastAsia" w:cs="Arial" w:hint="eastAsia"/>
          <w:kern w:val="0"/>
          <w:sz w:val="24"/>
          <w:szCs w:val="24"/>
        </w:rPr>
        <w:t>、天津银行监事、深圳和</w:t>
      </w:r>
      <w:proofErr w:type="gramStart"/>
      <w:r w:rsidR="00E90D94" w:rsidRPr="00C43AB1">
        <w:rPr>
          <w:rFonts w:asciiTheme="minorEastAsia" w:hAnsiTheme="minorEastAsia" w:cs="Arial" w:hint="eastAsia"/>
          <w:kern w:val="0"/>
          <w:sz w:val="24"/>
          <w:szCs w:val="24"/>
        </w:rPr>
        <w:t>石资本</w:t>
      </w:r>
      <w:proofErr w:type="gramEnd"/>
      <w:r w:rsidR="00E90D94" w:rsidRPr="00C43AB1">
        <w:rPr>
          <w:rFonts w:asciiTheme="minorEastAsia" w:hAnsiTheme="minorEastAsia" w:cs="Arial" w:hint="eastAsia"/>
          <w:kern w:val="0"/>
          <w:sz w:val="24"/>
          <w:szCs w:val="24"/>
        </w:rPr>
        <w:t>管理有限责任公司法定代表人、董事、总经理，深圳泰和瑞</w:t>
      </w:r>
      <w:proofErr w:type="gramStart"/>
      <w:r w:rsidR="00E90D94" w:rsidRPr="00C43AB1">
        <w:rPr>
          <w:rFonts w:asciiTheme="minorEastAsia" w:hAnsiTheme="minorEastAsia" w:cs="Arial" w:hint="eastAsia"/>
          <w:kern w:val="0"/>
          <w:sz w:val="24"/>
          <w:szCs w:val="24"/>
        </w:rPr>
        <w:t>银金融</w:t>
      </w:r>
      <w:proofErr w:type="gramEnd"/>
      <w:r w:rsidR="00E90D94" w:rsidRPr="00C43AB1">
        <w:rPr>
          <w:rFonts w:asciiTheme="minorEastAsia" w:hAnsiTheme="minorEastAsia" w:cs="Arial" w:hint="eastAsia"/>
          <w:kern w:val="0"/>
          <w:sz w:val="24"/>
          <w:szCs w:val="24"/>
        </w:rPr>
        <w:t>配套服务合伙企业（有限合伙）执行事务合伙人、北京</w:t>
      </w:r>
      <w:proofErr w:type="gramStart"/>
      <w:r w:rsidR="00E90D94" w:rsidRPr="00C43AB1">
        <w:rPr>
          <w:rFonts w:asciiTheme="minorEastAsia" w:hAnsiTheme="minorEastAsia" w:cs="Arial" w:hint="eastAsia"/>
          <w:kern w:val="0"/>
          <w:sz w:val="24"/>
          <w:szCs w:val="24"/>
        </w:rPr>
        <w:t>雍</w:t>
      </w:r>
      <w:proofErr w:type="gramEnd"/>
      <w:r w:rsidR="00E90D94" w:rsidRPr="00C43AB1">
        <w:rPr>
          <w:rFonts w:asciiTheme="minorEastAsia" w:hAnsiTheme="minorEastAsia" w:cs="Arial" w:hint="eastAsia"/>
          <w:kern w:val="0"/>
          <w:sz w:val="24"/>
          <w:szCs w:val="24"/>
        </w:rPr>
        <w:t>和瑞泰管理顾问有限公司法定代表人、执行董事、总经理、财务负责人，深圳</w:t>
      </w:r>
      <w:proofErr w:type="gramStart"/>
      <w:r w:rsidR="00E90D94" w:rsidRPr="00C43AB1">
        <w:rPr>
          <w:rFonts w:asciiTheme="minorEastAsia" w:hAnsiTheme="minorEastAsia" w:cs="Arial" w:hint="eastAsia"/>
          <w:kern w:val="0"/>
          <w:sz w:val="24"/>
          <w:szCs w:val="24"/>
        </w:rPr>
        <w:t>雍</w:t>
      </w:r>
      <w:proofErr w:type="gramEnd"/>
      <w:r w:rsidR="00E90D94" w:rsidRPr="00C43AB1">
        <w:rPr>
          <w:rFonts w:asciiTheme="minorEastAsia" w:hAnsiTheme="minorEastAsia" w:cs="Arial" w:hint="eastAsia"/>
          <w:kern w:val="0"/>
          <w:sz w:val="24"/>
          <w:szCs w:val="24"/>
        </w:rPr>
        <w:t>和</w:t>
      </w:r>
      <w:proofErr w:type="gramStart"/>
      <w:r w:rsidR="00E90D94" w:rsidRPr="00C43AB1">
        <w:rPr>
          <w:rFonts w:asciiTheme="minorEastAsia" w:hAnsiTheme="minorEastAsia" w:cs="Arial" w:hint="eastAsia"/>
          <w:kern w:val="0"/>
          <w:sz w:val="24"/>
          <w:szCs w:val="24"/>
        </w:rPr>
        <w:t>瑞银</w:t>
      </w:r>
      <w:proofErr w:type="gramEnd"/>
      <w:r w:rsidR="00E90D94" w:rsidRPr="00C43AB1">
        <w:rPr>
          <w:rFonts w:asciiTheme="minorEastAsia" w:hAnsiTheme="minorEastAsia" w:cs="Arial" w:hint="eastAsia"/>
          <w:kern w:val="0"/>
          <w:sz w:val="24"/>
          <w:szCs w:val="24"/>
        </w:rPr>
        <w:t>投资管理有限公司法定代表人、董事、总经理，富荣基金管理有限公司独立董事。</w:t>
      </w:r>
    </w:p>
    <w:p w14:paraId="1B17A743" w14:textId="3017A9C9" w:rsidR="001B56E7" w:rsidRPr="001B56E7" w:rsidRDefault="00C43AB1" w:rsidP="001B56E7">
      <w:pPr>
        <w:adjustRightInd w:val="0"/>
        <w:snapToGrid w:val="0"/>
        <w:spacing w:line="360" w:lineRule="auto"/>
        <w:ind w:firstLineChars="200" w:firstLine="480"/>
        <w:rPr>
          <w:rFonts w:asciiTheme="minorEastAsia" w:hAnsiTheme="minorEastAsia" w:cs="Arial" w:hint="eastAsia"/>
          <w:kern w:val="0"/>
          <w:sz w:val="24"/>
          <w:szCs w:val="24"/>
        </w:rPr>
      </w:pPr>
      <w:r w:rsidRPr="00C43AB1">
        <w:rPr>
          <w:rFonts w:asciiTheme="minorEastAsia" w:hAnsiTheme="minorEastAsia" w:cs="Arial" w:hint="eastAsia"/>
          <w:kern w:val="0"/>
          <w:sz w:val="24"/>
          <w:szCs w:val="24"/>
        </w:rPr>
        <w:t>张刚先生，独立董事，内蒙古大学民</w:t>
      </w:r>
      <w:proofErr w:type="gramStart"/>
      <w:r w:rsidRPr="00C43AB1">
        <w:rPr>
          <w:rFonts w:asciiTheme="minorEastAsia" w:hAnsiTheme="minorEastAsia" w:cs="Arial" w:hint="eastAsia"/>
          <w:kern w:val="0"/>
          <w:sz w:val="24"/>
          <w:szCs w:val="24"/>
        </w:rPr>
        <w:t>商法学</w:t>
      </w:r>
      <w:proofErr w:type="gramEnd"/>
      <w:r w:rsidRPr="00C43AB1">
        <w:rPr>
          <w:rFonts w:asciiTheme="minorEastAsia" w:hAnsiTheme="minorEastAsia" w:cs="Arial" w:hint="eastAsia"/>
          <w:kern w:val="0"/>
          <w:sz w:val="24"/>
          <w:szCs w:val="24"/>
        </w:rPr>
        <w:t>硕士研究生。曾任内蒙古大学教师、北京王玉梅律师事务所律师、北京建元律师事务所合伙人、宁夏中银绒业股份有限公司独立董事。现任北京大成律师事务所高级合伙人、富荣基金管理有限公司独立董事。</w:t>
      </w:r>
    </w:p>
    <w:p w14:paraId="75787A0C" w14:textId="77777777" w:rsidR="001B56E7" w:rsidRPr="001B56E7" w:rsidRDefault="001B56E7" w:rsidP="001B56E7">
      <w:pPr>
        <w:adjustRightInd w:val="0"/>
        <w:snapToGrid w:val="0"/>
        <w:spacing w:line="360" w:lineRule="auto"/>
        <w:ind w:firstLineChars="200" w:firstLine="480"/>
        <w:rPr>
          <w:rFonts w:asciiTheme="minorEastAsia" w:hAnsiTheme="minorEastAsia" w:cs="Arial" w:hint="eastAsia"/>
          <w:kern w:val="0"/>
          <w:sz w:val="24"/>
          <w:szCs w:val="24"/>
        </w:rPr>
      </w:pPr>
      <w:r w:rsidRPr="001B56E7">
        <w:rPr>
          <w:rFonts w:asciiTheme="minorEastAsia" w:hAnsiTheme="minorEastAsia" w:cs="Arial" w:hint="eastAsia"/>
          <w:kern w:val="0"/>
          <w:sz w:val="24"/>
          <w:szCs w:val="24"/>
        </w:rPr>
        <w:t>2、监事会成员</w:t>
      </w:r>
    </w:p>
    <w:p w14:paraId="29EF0DDB" w14:textId="77777777" w:rsidR="001B56E7" w:rsidRPr="001B56E7" w:rsidRDefault="001B56E7" w:rsidP="001B56E7">
      <w:pPr>
        <w:adjustRightInd w:val="0"/>
        <w:snapToGrid w:val="0"/>
        <w:spacing w:line="360" w:lineRule="auto"/>
        <w:ind w:firstLineChars="200" w:firstLine="480"/>
        <w:rPr>
          <w:rFonts w:asciiTheme="minorEastAsia" w:hAnsiTheme="minorEastAsia" w:cs="Arial" w:hint="eastAsia"/>
          <w:kern w:val="0"/>
          <w:sz w:val="24"/>
          <w:szCs w:val="24"/>
        </w:rPr>
      </w:pPr>
      <w:r w:rsidRPr="001B56E7">
        <w:rPr>
          <w:rFonts w:asciiTheme="minorEastAsia" w:hAnsiTheme="minorEastAsia" w:cs="Arial" w:hint="eastAsia"/>
          <w:kern w:val="0"/>
          <w:sz w:val="24"/>
          <w:szCs w:val="24"/>
        </w:rPr>
        <w:t>基金管理人不设监事会，设监事两名，其中一名为职工监事。</w:t>
      </w:r>
    </w:p>
    <w:p w14:paraId="52F348D3" w14:textId="16D94DAE" w:rsidR="001B56E7" w:rsidRPr="001B56E7" w:rsidRDefault="00C43AB1" w:rsidP="001B56E7">
      <w:pPr>
        <w:adjustRightInd w:val="0"/>
        <w:snapToGrid w:val="0"/>
        <w:spacing w:line="360" w:lineRule="auto"/>
        <w:ind w:firstLineChars="200" w:firstLine="480"/>
        <w:rPr>
          <w:rFonts w:asciiTheme="minorEastAsia" w:hAnsiTheme="minorEastAsia" w:cs="Arial" w:hint="eastAsia"/>
          <w:kern w:val="0"/>
          <w:sz w:val="24"/>
          <w:szCs w:val="24"/>
        </w:rPr>
      </w:pPr>
      <w:r w:rsidRPr="00C43AB1">
        <w:rPr>
          <w:rFonts w:asciiTheme="minorEastAsia" w:hAnsiTheme="minorEastAsia" w:cs="Arial" w:hint="eastAsia"/>
          <w:kern w:val="0"/>
          <w:sz w:val="24"/>
          <w:szCs w:val="24"/>
        </w:rPr>
        <w:t>冯晓霖女士，监事，硕士。曾任深圳市嘉</w:t>
      </w:r>
      <w:proofErr w:type="gramStart"/>
      <w:r w:rsidRPr="00C43AB1">
        <w:rPr>
          <w:rFonts w:asciiTheme="minorEastAsia" w:hAnsiTheme="minorEastAsia" w:cs="Arial" w:hint="eastAsia"/>
          <w:kern w:val="0"/>
          <w:sz w:val="24"/>
          <w:szCs w:val="24"/>
        </w:rPr>
        <w:t>霖</w:t>
      </w:r>
      <w:proofErr w:type="gramEnd"/>
      <w:r w:rsidRPr="00C43AB1">
        <w:rPr>
          <w:rFonts w:asciiTheme="minorEastAsia" w:hAnsiTheme="minorEastAsia" w:cs="Arial" w:hint="eastAsia"/>
          <w:kern w:val="0"/>
          <w:sz w:val="24"/>
          <w:szCs w:val="24"/>
        </w:rPr>
        <w:t>置业集团有限公司法</w:t>
      </w:r>
      <w:proofErr w:type="gramStart"/>
      <w:r w:rsidRPr="00C43AB1">
        <w:rPr>
          <w:rFonts w:asciiTheme="minorEastAsia" w:hAnsiTheme="minorEastAsia" w:cs="Arial" w:hint="eastAsia"/>
          <w:kern w:val="0"/>
          <w:sz w:val="24"/>
          <w:szCs w:val="24"/>
        </w:rPr>
        <w:t>务</w:t>
      </w:r>
      <w:proofErr w:type="gramEnd"/>
      <w:r w:rsidRPr="00C43AB1">
        <w:rPr>
          <w:rFonts w:asciiTheme="minorEastAsia" w:hAnsiTheme="minorEastAsia" w:cs="Arial" w:hint="eastAsia"/>
          <w:kern w:val="0"/>
          <w:sz w:val="24"/>
          <w:szCs w:val="24"/>
        </w:rPr>
        <w:t>，</w:t>
      </w:r>
      <w:proofErr w:type="gramStart"/>
      <w:r w:rsidRPr="00C43AB1">
        <w:rPr>
          <w:rFonts w:asciiTheme="minorEastAsia" w:hAnsiTheme="minorEastAsia" w:cs="Arial" w:hint="eastAsia"/>
          <w:kern w:val="0"/>
          <w:sz w:val="24"/>
          <w:szCs w:val="24"/>
        </w:rPr>
        <w:t>现任盈投控股</w:t>
      </w:r>
      <w:proofErr w:type="gramEnd"/>
      <w:r w:rsidRPr="00C43AB1">
        <w:rPr>
          <w:rFonts w:asciiTheme="minorEastAsia" w:hAnsiTheme="minorEastAsia" w:cs="Arial" w:hint="eastAsia"/>
          <w:kern w:val="0"/>
          <w:sz w:val="24"/>
          <w:szCs w:val="24"/>
        </w:rPr>
        <w:t>有限公司法</w:t>
      </w:r>
      <w:proofErr w:type="gramStart"/>
      <w:r w:rsidRPr="00C43AB1">
        <w:rPr>
          <w:rFonts w:asciiTheme="minorEastAsia" w:hAnsiTheme="minorEastAsia" w:cs="Arial" w:hint="eastAsia"/>
          <w:kern w:val="0"/>
          <w:sz w:val="24"/>
          <w:szCs w:val="24"/>
        </w:rPr>
        <w:t>务</w:t>
      </w:r>
      <w:proofErr w:type="gramEnd"/>
      <w:r w:rsidRPr="00C43AB1">
        <w:rPr>
          <w:rFonts w:asciiTheme="minorEastAsia" w:hAnsiTheme="minorEastAsia" w:cs="Arial" w:hint="eastAsia"/>
          <w:kern w:val="0"/>
          <w:sz w:val="24"/>
          <w:szCs w:val="24"/>
        </w:rPr>
        <w:t>主管、富荣基金管理有限公司监事。</w:t>
      </w:r>
    </w:p>
    <w:p w14:paraId="5A3D9E51" w14:textId="77777777" w:rsidR="001B56E7" w:rsidRPr="001B56E7" w:rsidRDefault="001B56E7" w:rsidP="001B56E7">
      <w:pPr>
        <w:adjustRightInd w:val="0"/>
        <w:snapToGrid w:val="0"/>
        <w:spacing w:line="360" w:lineRule="auto"/>
        <w:ind w:firstLineChars="200" w:firstLine="480"/>
        <w:rPr>
          <w:rFonts w:asciiTheme="minorEastAsia" w:hAnsiTheme="minorEastAsia" w:cs="Arial" w:hint="eastAsia"/>
          <w:kern w:val="0"/>
          <w:sz w:val="24"/>
          <w:szCs w:val="24"/>
        </w:rPr>
      </w:pPr>
      <w:r w:rsidRPr="001B56E7">
        <w:rPr>
          <w:rFonts w:asciiTheme="minorEastAsia" w:hAnsiTheme="minorEastAsia" w:cs="Arial" w:hint="eastAsia"/>
          <w:kern w:val="0"/>
          <w:sz w:val="24"/>
          <w:szCs w:val="24"/>
        </w:rPr>
        <w:t>魏丽红女士，职工监事，大专。现任富荣基金管理有限公司职工监事。</w:t>
      </w:r>
    </w:p>
    <w:p w14:paraId="08EF7733" w14:textId="77777777" w:rsidR="001B56E7" w:rsidRPr="001B56E7" w:rsidRDefault="001B56E7" w:rsidP="001B56E7">
      <w:pPr>
        <w:adjustRightInd w:val="0"/>
        <w:snapToGrid w:val="0"/>
        <w:spacing w:line="360" w:lineRule="auto"/>
        <w:ind w:firstLineChars="200" w:firstLine="480"/>
        <w:rPr>
          <w:rFonts w:asciiTheme="minorEastAsia" w:hAnsiTheme="minorEastAsia" w:cs="Arial" w:hint="eastAsia"/>
          <w:kern w:val="0"/>
          <w:sz w:val="24"/>
          <w:szCs w:val="24"/>
        </w:rPr>
      </w:pPr>
      <w:r w:rsidRPr="001B56E7">
        <w:rPr>
          <w:rFonts w:asciiTheme="minorEastAsia" w:hAnsiTheme="minorEastAsia" w:cs="Arial" w:hint="eastAsia"/>
          <w:kern w:val="0"/>
          <w:sz w:val="24"/>
          <w:szCs w:val="24"/>
        </w:rPr>
        <w:t>3、高级管理人员</w:t>
      </w:r>
    </w:p>
    <w:p w14:paraId="1B0E6C93" w14:textId="2B227871" w:rsidR="00962247" w:rsidRPr="00962247" w:rsidRDefault="006F3870" w:rsidP="001B56E7">
      <w:pPr>
        <w:adjustRightInd w:val="0"/>
        <w:snapToGrid w:val="0"/>
        <w:spacing w:line="360" w:lineRule="auto"/>
        <w:ind w:firstLineChars="200" w:firstLine="480"/>
        <w:rPr>
          <w:rFonts w:asciiTheme="minorEastAsia" w:hAnsiTheme="minorEastAsia" w:cs="Arial" w:hint="eastAsia"/>
          <w:kern w:val="0"/>
          <w:sz w:val="24"/>
          <w:szCs w:val="24"/>
        </w:rPr>
      </w:pPr>
      <w:r w:rsidRPr="006F3870">
        <w:rPr>
          <w:rFonts w:asciiTheme="minorEastAsia" w:hAnsiTheme="minorEastAsia" w:cs="Arial" w:hint="eastAsia"/>
          <w:kern w:val="0"/>
          <w:sz w:val="24"/>
          <w:szCs w:val="24"/>
        </w:rPr>
        <w:t>杨小舟先生，总经理、</w:t>
      </w:r>
      <w:r w:rsidR="002126B2">
        <w:rPr>
          <w:rFonts w:asciiTheme="minorEastAsia" w:hAnsiTheme="minorEastAsia" w:cs="Arial" w:hint="eastAsia"/>
          <w:kern w:val="0"/>
          <w:sz w:val="24"/>
          <w:szCs w:val="24"/>
        </w:rPr>
        <w:t>兼任</w:t>
      </w:r>
      <w:r w:rsidRPr="006F3870">
        <w:rPr>
          <w:rFonts w:asciiTheme="minorEastAsia" w:hAnsiTheme="minorEastAsia" w:cs="Arial" w:hint="eastAsia"/>
          <w:kern w:val="0"/>
          <w:sz w:val="24"/>
          <w:szCs w:val="24"/>
        </w:rPr>
        <w:t>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w:t>
      </w:r>
      <w:r w:rsidR="00C43AB1" w:rsidRPr="00C43AB1">
        <w:rPr>
          <w:rFonts w:asciiTheme="minorEastAsia" w:hAnsiTheme="minorEastAsia" w:cs="Arial" w:hint="eastAsia"/>
          <w:kern w:val="0"/>
          <w:sz w:val="24"/>
          <w:szCs w:val="24"/>
        </w:rPr>
        <w:t>现任富荣基金管理有限公司总经理、首席信息官。</w:t>
      </w:r>
    </w:p>
    <w:p w14:paraId="07D3875B" w14:textId="77777777" w:rsidR="00E90D94" w:rsidRPr="001B56E7" w:rsidRDefault="00962247" w:rsidP="00E90D9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史克新先生，副总经理，</w:t>
      </w:r>
      <w:r w:rsidRPr="00962247">
        <w:rPr>
          <w:rFonts w:asciiTheme="minorEastAsia" w:hAnsiTheme="minorEastAsia" w:cs="Arial" w:hint="eastAsia"/>
          <w:kern w:val="0"/>
          <w:sz w:val="24"/>
          <w:szCs w:val="24"/>
        </w:rPr>
        <w:t>EMBA硕士。历任珠海会计师事务所注册会计师、君安证券有限公司审计师、北大方正投资有限公司副总经理、兴安证券东莞营业部总经理、深圳丽晶生物技术有限公司董事长、金元证券股份有限公司副监事长，</w:t>
      </w:r>
      <w:r w:rsidRPr="00962247">
        <w:rPr>
          <w:rFonts w:asciiTheme="minorEastAsia" w:hAnsiTheme="minorEastAsia" w:cs="Arial" w:hint="eastAsia"/>
          <w:kern w:val="0"/>
          <w:sz w:val="24"/>
          <w:szCs w:val="24"/>
        </w:rPr>
        <w:lastRenderedPageBreak/>
        <w:t>审计部总经理、金元顺</w:t>
      </w:r>
      <w:proofErr w:type="gramStart"/>
      <w:r w:rsidRPr="00962247">
        <w:rPr>
          <w:rFonts w:asciiTheme="minorEastAsia" w:hAnsiTheme="minorEastAsia" w:cs="Arial" w:hint="eastAsia"/>
          <w:kern w:val="0"/>
          <w:sz w:val="24"/>
          <w:szCs w:val="24"/>
        </w:rPr>
        <w:t>安基金</w:t>
      </w:r>
      <w:proofErr w:type="gramEnd"/>
      <w:r w:rsidRPr="00962247">
        <w:rPr>
          <w:rFonts w:asciiTheme="minorEastAsia" w:hAnsiTheme="minorEastAsia" w:cs="Arial" w:hint="eastAsia"/>
          <w:kern w:val="0"/>
          <w:sz w:val="24"/>
          <w:szCs w:val="24"/>
        </w:rPr>
        <w:t>管理有限公司董事、金元证券股份有限公司经纪管理总部总经理、金元证券股份有限公司深圳分公司总经理、金元证券股份有限公司互联网创新专项办公室总经理等。现任富荣基金管理有限公司</w:t>
      </w:r>
      <w:r>
        <w:rPr>
          <w:rFonts w:asciiTheme="minorEastAsia" w:hAnsiTheme="minorEastAsia" w:cs="Arial" w:hint="eastAsia"/>
          <w:kern w:val="0"/>
          <w:sz w:val="24"/>
          <w:szCs w:val="24"/>
        </w:rPr>
        <w:t>副</w:t>
      </w:r>
      <w:r w:rsidRPr="00962247">
        <w:rPr>
          <w:rFonts w:asciiTheme="minorEastAsia" w:hAnsiTheme="minorEastAsia" w:cs="Arial" w:hint="eastAsia"/>
          <w:kern w:val="0"/>
          <w:sz w:val="24"/>
          <w:szCs w:val="24"/>
        </w:rPr>
        <w:t>总经理</w:t>
      </w:r>
      <w:r w:rsidR="00E90D94">
        <w:rPr>
          <w:rFonts w:asciiTheme="minorEastAsia" w:hAnsiTheme="minorEastAsia" w:cs="Arial" w:hint="eastAsia"/>
          <w:kern w:val="0"/>
          <w:sz w:val="24"/>
          <w:szCs w:val="24"/>
        </w:rPr>
        <w:t>，兼任深圳分公司总经理</w:t>
      </w:r>
      <w:r w:rsidR="00E90D94" w:rsidRPr="00962247">
        <w:rPr>
          <w:rFonts w:asciiTheme="minorEastAsia" w:hAnsiTheme="minorEastAsia" w:cs="Arial" w:hint="eastAsia"/>
          <w:kern w:val="0"/>
          <w:sz w:val="24"/>
          <w:szCs w:val="24"/>
        </w:rPr>
        <w:t>。</w:t>
      </w:r>
    </w:p>
    <w:p w14:paraId="58FC6BCC" w14:textId="64BBCC28" w:rsidR="00E90D94" w:rsidRPr="002B0558" w:rsidRDefault="00E90D94" w:rsidP="00E90D94">
      <w:pPr>
        <w:adjustRightInd w:val="0"/>
        <w:snapToGrid w:val="0"/>
        <w:spacing w:line="360" w:lineRule="auto"/>
        <w:ind w:firstLineChars="200" w:firstLine="480"/>
        <w:rPr>
          <w:rFonts w:asciiTheme="minorEastAsia" w:hAnsiTheme="minorEastAsia" w:cs="Arial" w:hint="eastAsia"/>
          <w:kern w:val="0"/>
          <w:sz w:val="24"/>
          <w:szCs w:val="24"/>
        </w:rPr>
      </w:pPr>
      <w:r w:rsidRPr="002B0558">
        <w:rPr>
          <w:rFonts w:asciiTheme="minorEastAsia" w:hAnsiTheme="minorEastAsia" w:cs="Arial" w:hint="eastAsia"/>
          <w:kern w:val="0"/>
          <w:sz w:val="24"/>
          <w:szCs w:val="24"/>
        </w:rPr>
        <w:t>邱张斌先生，督察长，西安交通大学工商管理硕士。历任深圳中天会计师事务所审计员，安永会计师事务所审计经理，银华基金管理有限公司监察稽核主管，大成基金管理有限公司监察稽核部执行总监，大成创新资本管理有限公司副总经理兼</w:t>
      </w:r>
      <w:r w:rsidR="00CF6734" w:rsidRPr="00CF6734">
        <w:rPr>
          <w:rFonts w:asciiTheme="minorEastAsia" w:hAnsiTheme="minorEastAsia" w:cs="Arial" w:hint="eastAsia"/>
          <w:kern w:val="0"/>
          <w:sz w:val="24"/>
          <w:szCs w:val="24"/>
        </w:rPr>
        <w:t>监察稽核与风险管理部总监</w:t>
      </w:r>
      <w:r w:rsidRPr="002B0558">
        <w:rPr>
          <w:rFonts w:asciiTheme="minorEastAsia" w:hAnsiTheme="minorEastAsia" w:cs="Arial" w:hint="eastAsia"/>
          <w:kern w:val="0"/>
          <w:sz w:val="24"/>
          <w:szCs w:val="24"/>
        </w:rPr>
        <w:t>，前海联合基金管理有限公司督察长，中天国富证券有限公司总裁助理兼法律合</w:t>
      </w:r>
      <w:proofErr w:type="gramStart"/>
      <w:r w:rsidRPr="002B0558">
        <w:rPr>
          <w:rFonts w:asciiTheme="minorEastAsia" w:hAnsiTheme="minorEastAsia" w:cs="Arial" w:hint="eastAsia"/>
          <w:kern w:val="0"/>
          <w:sz w:val="24"/>
          <w:szCs w:val="24"/>
        </w:rPr>
        <w:t>规</w:t>
      </w:r>
      <w:proofErr w:type="gramEnd"/>
      <w:r w:rsidRPr="002B0558">
        <w:rPr>
          <w:rFonts w:asciiTheme="minorEastAsia" w:hAnsiTheme="minorEastAsia" w:cs="Arial" w:hint="eastAsia"/>
          <w:kern w:val="0"/>
          <w:sz w:val="24"/>
          <w:szCs w:val="24"/>
        </w:rPr>
        <w:t>部总经理。现任富荣基金管理有限公司督察长。</w:t>
      </w:r>
    </w:p>
    <w:p w14:paraId="66C064B9" w14:textId="40EE12D2" w:rsidR="00E90D94" w:rsidRPr="002B0558" w:rsidRDefault="00E90D94" w:rsidP="00E90D94">
      <w:pPr>
        <w:adjustRightInd w:val="0"/>
        <w:snapToGrid w:val="0"/>
        <w:spacing w:line="360" w:lineRule="auto"/>
        <w:ind w:firstLineChars="200" w:firstLine="480"/>
        <w:rPr>
          <w:rFonts w:asciiTheme="minorEastAsia" w:hAnsiTheme="minorEastAsia" w:cs="Arial" w:hint="eastAsia"/>
          <w:kern w:val="0"/>
          <w:sz w:val="24"/>
          <w:szCs w:val="24"/>
        </w:rPr>
      </w:pPr>
      <w:r w:rsidRPr="002B0558">
        <w:rPr>
          <w:rFonts w:asciiTheme="minorEastAsia" w:hAnsiTheme="minorEastAsia" w:cs="Arial" w:hint="eastAsia"/>
          <w:kern w:val="0"/>
          <w:sz w:val="24"/>
          <w:szCs w:val="24"/>
        </w:rPr>
        <w:t>郑宇光先生，总经理助理，上海交通大学MBA硕士。历任平安资产管理有限责任公司交易部/投资管理部经理，太平资产管理有限责任公司固定收益部投资经理，上投摩根基金管理有限公司专户管理部投资经理，中</w:t>
      </w:r>
      <w:proofErr w:type="gramStart"/>
      <w:r w:rsidRPr="002B0558">
        <w:rPr>
          <w:rFonts w:asciiTheme="minorEastAsia" w:hAnsiTheme="minorEastAsia" w:cs="Arial" w:hint="eastAsia"/>
          <w:kern w:val="0"/>
          <w:sz w:val="24"/>
          <w:szCs w:val="24"/>
        </w:rPr>
        <w:t>信保诚基金</w:t>
      </w:r>
      <w:proofErr w:type="gramEnd"/>
      <w:r w:rsidRPr="002B0558">
        <w:rPr>
          <w:rFonts w:asciiTheme="minorEastAsia" w:hAnsiTheme="minorEastAsia" w:cs="Arial" w:hint="eastAsia"/>
          <w:kern w:val="0"/>
          <w:sz w:val="24"/>
          <w:szCs w:val="24"/>
        </w:rPr>
        <w:t>管理有限公司固定收益部投资经理、总监助理，长江证券资产管理有限责任公司投资经理，上海勤远投资管理中心（有限合伙）量化研究总监基金经理，</w:t>
      </w:r>
      <w:proofErr w:type="gramStart"/>
      <w:r w:rsidRPr="002B0558">
        <w:rPr>
          <w:rFonts w:asciiTheme="minorEastAsia" w:hAnsiTheme="minorEastAsia" w:cs="Arial" w:hint="eastAsia"/>
          <w:kern w:val="0"/>
          <w:sz w:val="24"/>
          <w:szCs w:val="24"/>
        </w:rPr>
        <w:t>泰信基金</w:t>
      </w:r>
      <w:proofErr w:type="gramEnd"/>
      <w:r w:rsidRPr="002B0558">
        <w:rPr>
          <w:rFonts w:asciiTheme="minorEastAsia" w:hAnsiTheme="minorEastAsia" w:cs="Arial" w:hint="eastAsia"/>
          <w:kern w:val="0"/>
          <w:sz w:val="24"/>
          <w:szCs w:val="24"/>
        </w:rPr>
        <w:t>管理有限公司专户投资部副总监，</w:t>
      </w:r>
      <w:proofErr w:type="gramStart"/>
      <w:r w:rsidRPr="002B0558">
        <w:rPr>
          <w:rFonts w:asciiTheme="minorEastAsia" w:hAnsiTheme="minorEastAsia" w:cs="Arial" w:hint="eastAsia"/>
          <w:kern w:val="0"/>
          <w:sz w:val="24"/>
          <w:szCs w:val="24"/>
        </w:rPr>
        <w:t>固收投资部基金</w:t>
      </w:r>
      <w:proofErr w:type="gramEnd"/>
      <w:r w:rsidRPr="002B0558">
        <w:rPr>
          <w:rFonts w:asciiTheme="minorEastAsia" w:hAnsiTheme="minorEastAsia" w:cs="Arial" w:hint="eastAsia"/>
          <w:kern w:val="0"/>
          <w:sz w:val="24"/>
          <w:szCs w:val="24"/>
        </w:rPr>
        <w:t>经理、总监。现任富荣基金管理有限公司总经理助理。</w:t>
      </w:r>
    </w:p>
    <w:p w14:paraId="0EF8B82F" w14:textId="7C0397AA" w:rsidR="001B56E7" w:rsidRPr="001B56E7" w:rsidRDefault="00E90D94" w:rsidP="00E90D94">
      <w:pPr>
        <w:adjustRightInd w:val="0"/>
        <w:snapToGrid w:val="0"/>
        <w:spacing w:line="360" w:lineRule="auto"/>
        <w:ind w:firstLineChars="200" w:firstLine="480"/>
        <w:rPr>
          <w:rFonts w:asciiTheme="minorEastAsia" w:hAnsiTheme="minorEastAsia" w:cs="Arial" w:hint="eastAsia"/>
          <w:kern w:val="0"/>
          <w:sz w:val="24"/>
          <w:szCs w:val="24"/>
        </w:rPr>
      </w:pPr>
      <w:r w:rsidRPr="002B0558">
        <w:rPr>
          <w:rFonts w:asciiTheme="minorEastAsia" w:hAnsiTheme="minorEastAsia" w:cs="Arial" w:hint="eastAsia"/>
          <w:kern w:val="0"/>
          <w:sz w:val="24"/>
          <w:szCs w:val="24"/>
        </w:rPr>
        <w:t>赵睿杨女士，总经理助理，对外经济贸易大学会计学硕士研究生。历任合生创展集团有限公司集团财务与投资中心上市核算管理师、投资分析副经理，</w:t>
      </w:r>
      <w:proofErr w:type="gramStart"/>
      <w:r w:rsidRPr="002B0558">
        <w:rPr>
          <w:rFonts w:asciiTheme="minorEastAsia" w:hAnsiTheme="minorEastAsia" w:cs="Arial" w:hint="eastAsia"/>
          <w:kern w:val="0"/>
          <w:sz w:val="24"/>
          <w:szCs w:val="24"/>
        </w:rPr>
        <w:t>慧富恒</w:t>
      </w:r>
      <w:proofErr w:type="gramEnd"/>
      <w:r w:rsidRPr="002B0558">
        <w:rPr>
          <w:rFonts w:asciiTheme="minorEastAsia" w:hAnsiTheme="minorEastAsia" w:cs="Arial" w:hint="eastAsia"/>
          <w:kern w:val="0"/>
          <w:sz w:val="24"/>
          <w:szCs w:val="24"/>
        </w:rPr>
        <w:t>泰（北京）基金管理有限公司投融资一部总经理，北信瑞丰基金管理有限公司市场部高级经理、市场部总监助理、渠道部副总监、渠道部总监、专</w:t>
      </w:r>
      <w:proofErr w:type="gramStart"/>
      <w:r w:rsidRPr="002B0558">
        <w:rPr>
          <w:rFonts w:asciiTheme="minorEastAsia" w:hAnsiTheme="minorEastAsia" w:cs="Arial" w:hint="eastAsia"/>
          <w:kern w:val="0"/>
          <w:sz w:val="24"/>
          <w:szCs w:val="24"/>
        </w:rPr>
        <w:t>户机构</w:t>
      </w:r>
      <w:proofErr w:type="gramEnd"/>
      <w:r w:rsidRPr="002B0558">
        <w:rPr>
          <w:rFonts w:asciiTheme="minorEastAsia" w:hAnsiTheme="minorEastAsia" w:cs="Arial" w:hint="eastAsia"/>
          <w:kern w:val="0"/>
          <w:sz w:val="24"/>
          <w:szCs w:val="24"/>
        </w:rPr>
        <w:t>部总监、市场总监、公司总经理助理。现任富荣基金管理有限公司总经理助理，兼任北京分公司总经理。</w:t>
      </w:r>
    </w:p>
    <w:p w14:paraId="3F125F57" w14:textId="3F383B56" w:rsidR="009D10D8" w:rsidRDefault="001B56E7">
      <w:pPr>
        <w:adjustRightInd w:val="0"/>
        <w:snapToGrid w:val="0"/>
        <w:spacing w:line="360" w:lineRule="auto"/>
        <w:ind w:firstLineChars="200" w:firstLine="480"/>
        <w:rPr>
          <w:rFonts w:asciiTheme="minorEastAsia" w:hAnsiTheme="minorEastAsia" w:cs="Arial" w:hint="eastAsia"/>
          <w:kern w:val="0"/>
          <w:sz w:val="24"/>
          <w:szCs w:val="24"/>
        </w:rPr>
      </w:pPr>
      <w:r w:rsidRPr="001B56E7">
        <w:rPr>
          <w:rFonts w:asciiTheme="minorEastAsia" w:hAnsiTheme="minorEastAsia" w:cs="Arial" w:hint="eastAsia"/>
          <w:kern w:val="0"/>
          <w:sz w:val="24"/>
          <w:szCs w:val="24"/>
        </w:rPr>
        <w:t>4、本</w:t>
      </w:r>
      <w:proofErr w:type="gramStart"/>
      <w:r w:rsidRPr="001B56E7">
        <w:rPr>
          <w:rFonts w:asciiTheme="minorEastAsia" w:hAnsiTheme="minorEastAsia" w:cs="Arial" w:hint="eastAsia"/>
          <w:kern w:val="0"/>
          <w:sz w:val="24"/>
          <w:szCs w:val="24"/>
        </w:rPr>
        <w:t>基金基金</w:t>
      </w:r>
      <w:proofErr w:type="gramEnd"/>
      <w:r w:rsidRPr="001B56E7">
        <w:rPr>
          <w:rFonts w:asciiTheme="minorEastAsia" w:hAnsiTheme="minorEastAsia" w:cs="Arial" w:hint="eastAsia"/>
          <w:kern w:val="0"/>
          <w:sz w:val="24"/>
          <w:szCs w:val="24"/>
        </w:rPr>
        <w:t>经理</w:t>
      </w:r>
    </w:p>
    <w:p w14:paraId="3EE04F71" w14:textId="4698C082" w:rsidR="009D10D8" w:rsidRDefault="001B56E7">
      <w:pPr>
        <w:adjustRightInd w:val="0"/>
        <w:snapToGrid w:val="0"/>
        <w:spacing w:line="360" w:lineRule="auto"/>
        <w:ind w:firstLineChars="200" w:firstLine="480"/>
        <w:rPr>
          <w:rFonts w:asciiTheme="minorEastAsia" w:hAnsiTheme="minorEastAsia" w:cs="Arial" w:hint="eastAsia"/>
          <w:kern w:val="0"/>
          <w:sz w:val="24"/>
          <w:szCs w:val="24"/>
        </w:rPr>
      </w:pPr>
      <w:r w:rsidRPr="001B56E7">
        <w:rPr>
          <w:rFonts w:asciiTheme="minorEastAsia" w:hAnsiTheme="minorEastAsia" w:cs="Arial" w:hint="eastAsia"/>
          <w:kern w:val="0"/>
          <w:sz w:val="24"/>
          <w:szCs w:val="24"/>
        </w:rPr>
        <w:t>郎骋成先生，南京大学工业工程硕士。曾任锦泰期货有限公司宏观和化工研究员，弘业期货股份有限公司投资咨询负责人、研究所所长等职。历任摩根士丹利华</w:t>
      </w:r>
      <w:proofErr w:type="gramStart"/>
      <w:r w:rsidRPr="001B56E7">
        <w:rPr>
          <w:rFonts w:asciiTheme="minorEastAsia" w:hAnsiTheme="minorEastAsia" w:cs="Arial" w:hint="eastAsia"/>
          <w:kern w:val="0"/>
          <w:sz w:val="24"/>
          <w:szCs w:val="24"/>
        </w:rPr>
        <w:t>鑫</w:t>
      </w:r>
      <w:proofErr w:type="gramEnd"/>
      <w:r w:rsidRPr="001B56E7">
        <w:rPr>
          <w:rFonts w:asciiTheme="minorEastAsia" w:hAnsiTheme="minorEastAsia" w:cs="Arial" w:hint="eastAsia"/>
          <w:kern w:val="0"/>
          <w:sz w:val="24"/>
          <w:szCs w:val="24"/>
        </w:rPr>
        <w:t>基金另类投资小组副组长、专户投资经理、专户理财部副总监。现任富荣基金管理有限公司研究部总经理、</w:t>
      </w:r>
      <w:r w:rsidR="00AD0F00" w:rsidRPr="00AD0F00">
        <w:rPr>
          <w:rFonts w:asciiTheme="minorEastAsia" w:hAnsiTheme="minorEastAsia" w:cs="Arial" w:hint="eastAsia"/>
          <w:kern w:val="0"/>
          <w:sz w:val="24"/>
          <w:szCs w:val="24"/>
        </w:rPr>
        <w:t>权益投资部总经理</w:t>
      </w:r>
      <w:r w:rsidR="00AD0F00">
        <w:rPr>
          <w:rFonts w:asciiTheme="minorEastAsia" w:hAnsiTheme="minorEastAsia" w:cs="Arial" w:hint="eastAsia"/>
          <w:kern w:val="0"/>
          <w:sz w:val="24"/>
          <w:szCs w:val="24"/>
        </w:rPr>
        <w:t>、</w:t>
      </w:r>
      <w:r w:rsidRPr="001B56E7">
        <w:rPr>
          <w:rFonts w:asciiTheme="minorEastAsia" w:hAnsiTheme="minorEastAsia" w:cs="Arial" w:hint="eastAsia"/>
          <w:kern w:val="0"/>
          <w:sz w:val="24"/>
          <w:szCs w:val="24"/>
        </w:rPr>
        <w:t>投资决策委员会委员、投资经理、富荣沪深300指数增强型证券投资</w:t>
      </w:r>
      <w:proofErr w:type="gramStart"/>
      <w:r w:rsidRPr="001B56E7">
        <w:rPr>
          <w:rFonts w:asciiTheme="minorEastAsia" w:hAnsiTheme="minorEastAsia" w:cs="Arial" w:hint="eastAsia"/>
          <w:kern w:val="0"/>
          <w:sz w:val="24"/>
          <w:szCs w:val="24"/>
        </w:rPr>
        <w:t>基金基金</w:t>
      </w:r>
      <w:proofErr w:type="gramEnd"/>
      <w:r w:rsidRPr="001B56E7">
        <w:rPr>
          <w:rFonts w:asciiTheme="minorEastAsia" w:hAnsiTheme="minorEastAsia" w:cs="Arial" w:hint="eastAsia"/>
          <w:kern w:val="0"/>
          <w:sz w:val="24"/>
          <w:szCs w:val="24"/>
        </w:rPr>
        <w:t>经理（自2020年7月16日起任职）、富荣福康混合型证券投资</w:t>
      </w:r>
      <w:proofErr w:type="gramStart"/>
      <w:r w:rsidRPr="001B56E7">
        <w:rPr>
          <w:rFonts w:asciiTheme="minorEastAsia" w:hAnsiTheme="minorEastAsia" w:cs="Arial" w:hint="eastAsia"/>
          <w:kern w:val="0"/>
          <w:sz w:val="24"/>
          <w:szCs w:val="24"/>
        </w:rPr>
        <w:t>基金基金</w:t>
      </w:r>
      <w:proofErr w:type="gramEnd"/>
      <w:r w:rsidRPr="001B56E7">
        <w:rPr>
          <w:rFonts w:asciiTheme="minorEastAsia" w:hAnsiTheme="minorEastAsia" w:cs="Arial" w:hint="eastAsia"/>
          <w:kern w:val="0"/>
          <w:sz w:val="24"/>
          <w:szCs w:val="24"/>
        </w:rPr>
        <w:t>经理（自2020年10月15日</w:t>
      </w:r>
      <w:r w:rsidR="00B80137">
        <w:rPr>
          <w:rFonts w:asciiTheme="minorEastAsia" w:hAnsiTheme="minorEastAsia" w:cs="Arial" w:hint="eastAsia"/>
          <w:kern w:val="0"/>
          <w:sz w:val="24"/>
          <w:szCs w:val="24"/>
        </w:rPr>
        <w:t>至</w:t>
      </w:r>
      <w:r w:rsidR="00B80137" w:rsidRPr="00B80137">
        <w:rPr>
          <w:rFonts w:asciiTheme="minorEastAsia" w:hAnsiTheme="minorEastAsia" w:cs="Arial"/>
          <w:kern w:val="0"/>
          <w:sz w:val="24"/>
          <w:szCs w:val="24"/>
        </w:rPr>
        <w:t>2023</w:t>
      </w:r>
      <w:r w:rsidR="00B80137">
        <w:rPr>
          <w:rFonts w:asciiTheme="minorEastAsia" w:hAnsiTheme="minorEastAsia" w:cs="Arial" w:hint="eastAsia"/>
          <w:kern w:val="0"/>
          <w:sz w:val="24"/>
          <w:szCs w:val="24"/>
        </w:rPr>
        <w:t>年</w:t>
      </w:r>
      <w:r w:rsidR="00B80137" w:rsidRPr="00B80137">
        <w:rPr>
          <w:rFonts w:asciiTheme="minorEastAsia" w:hAnsiTheme="minorEastAsia" w:cs="Arial"/>
          <w:kern w:val="0"/>
          <w:sz w:val="24"/>
          <w:szCs w:val="24"/>
        </w:rPr>
        <w:t>3</w:t>
      </w:r>
      <w:r w:rsidR="00B80137">
        <w:rPr>
          <w:rFonts w:asciiTheme="minorEastAsia" w:hAnsiTheme="minorEastAsia" w:cs="Arial" w:hint="eastAsia"/>
          <w:kern w:val="0"/>
          <w:sz w:val="24"/>
          <w:szCs w:val="24"/>
        </w:rPr>
        <w:t>月</w:t>
      </w:r>
      <w:r w:rsidR="00B80137" w:rsidRPr="00B80137">
        <w:rPr>
          <w:rFonts w:asciiTheme="minorEastAsia" w:hAnsiTheme="minorEastAsia" w:cs="Arial"/>
          <w:kern w:val="0"/>
          <w:sz w:val="24"/>
          <w:szCs w:val="24"/>
        </w:rPr>
        <w:t>8</w:t>
      </w:r>
      <w:r w:rsidR="00B80137">
        <w:rPr>
          <w:rFonts w:asciiTheme="minorEastAsia" w:hAnsiTheme="minorEastAsia" w:cs="Arial" w:hint="eastAsia"/>
          <w:kern w:val="0"/>
          <w:sz w:val="24"/>
          <w:szCs w:val="24"/>
        </w:rPr>
        <w:t>日</w:t>
      </w:r>
      <w:r w:rsidRPr="001B56E7">
        <w:rPr>
          <w:rFonts w:asciiTheme="minorEastAsia" w:hAnsiTheme="minorEastAsia" w:cs="Arial" w:hint="eastAsia"/>
          <w:kern w:val="0"/>
          <w:sz w:val="24"/>
          <w:szCs w:val="24"/>
        </w:rPr>
        <w:t>）、富荣价值精选灵活配置混合型发起式证券投资</w:t>
      </w:r>
      <w:proofErr w:type="gramStart"/>
      <w:r w:rsidRPr="001B56E7">
        <w:rPr>
          <w:rFonts w:asciiTheme="minorEastAsia" w:hAnsiTheme="minorEastAsia" w:cs="Arial" w:hint="eastAsia"/>
          <w:kern w:val="0"/>
          <w:sz w:val="24"/>
          <w:szCs w:val="24"/>
        </w:rPr>
        <w:t>基金基金</w:t>
      </w:r>
      <w:proofErr w:type="gramEnd"/>
      <w:r w:rsidRPr="001B56E7">
        <w:rPr>
          <w:rFonts w:asciiTheme="minorEastAsia" w:hAnsiTheme="minorEastAsia" w:cs="Arial" w:hint="eastAsia"/>
          <w:kern w:val="0"/>
          <w:sz w:val="24"/>
          <w:szCs w:val="24"/>
        </w:rPr>
        <w:t>经</w:t>
      </w:r>
      <w:r w:rsidRPr="001B56E7">
        <w:rPr>
          <w:rFonts w:asciiTheme="minorEastAsia" w:hAnsiTheme="minorEastAsia" w:cs="Arial" w:hint="eastAsia"/>
          <w:kern w:val="0"/>
          <w:sz w:val="24"/>
          <w:szCs w:val="24"/>
        </w:rPr>
        <w:lastRenderedPageBreak/>
        <w:t>理（自2020年10月23日至2021年11月12日）、富荣信息技术混合型证券投资</w:t>
      </w:r>
      <w:proofErr w:type="gramStart"/>
      <w:r w:rsidRPr="001B56E7">
        <w:rPr>
          <w:rFonts w:asciiTheme="minorEastAsia" w:hAnsiTheme="minorEastAsia" w:cs="Arial" w:hint="eastAsia"/>
          <w:kern w:val="0"/>
          <w:sz w:val="24"/>
          <w:szCs w:val="24"/>
        </w:rPr>
        <w:t>基金基金</w:t>
      </w:r>
      <w:proofErr w:type="gramEnd"/>
      <w:r w:rsidRPr="001B56E7">
        <w:rPr>
          <w:rFonts w:asciiTheme="minorEastAsia" w:hAnsiTheme="minorEastAsia" w:cs="Arial" w:hint="eastAsia"/>
          <w:kern w:val="0"/>
          <w:sz w:val="24"/>
          <w:szCs w:val="24"/>
        </w:rPr>
        <w:t>经理（自2021年10月28日</w:t>
      </w:r>
      <w:r w:rsidR="00114C8C">
        <w:rPr>
          <w:rFonts w:asciiTheme="minorEastAsia" w:hAnsiTheme="minorEastAsia" w:cs="Arial" w:hint="eastAsia"/>
          <w:kern w:val="0"/>
          <w:sz w:val="24"/>
          <w:szCs w:val="24"/>
        </w:rPr>
        <w:t>至2023年12月13日</w:t>
      </w:r>
      <w:r w:rsidRPr="001B56E7">
        <w:rPr>
          <w:rFonts w:asciiTheme="minorEastAsia" w:hAnsiTheme="minorEastAsia" w:cs="Arial" w:hint="eastAsia"/>
          <w:kern w:val="0"/>
          <w:sz w:val="24"/>
          <w:szCs w:val="24"/>
        </w:rPr>
        <w:t>）、富荣中证500指数增强型证券投资</w:t>
      </w:r>
      <w:proofErr w:type="gramStart"/>
      <w:r w:rsidRPr="001B56E7">
        <w:rPr>
          <w:rFonts w:asciiTheme="minorEastAsia" w:hAnsiTheme="minorEastAsia" w:cs="Arial" w:hint="eastAsia"/>
          <w:kern w:val="0"/>
          <w:sz w:val="24"/>
          <w:szCs w:val="24"/>
        </w:rPr>
        <w:t>基金基金</w:t>
      </w:r>
      <w:proofErr w:type="gramEnd"/>
      <w:r w:rsidRPr="001B56E7">
        <w:rPr>
          <w:rFonts w:asciiTheme="minorEastAsia" w:hAnsiTheme="minorEastAsia" w:cs="Arial" w:hint="eastAsia"/>
          <w:kern w:val="0"/>
          <w:sz w:val="24"/>
          <w:szCs w:val="24"/>
        </w:rPr>
        <w:t>经理（自2022年8月5日</w:t>
      </w:r>
      <w:r w:rsidR="00114C8C">
        <w:rPr>
          <w:rFonts w:asciiTheme="minorEastAsia" w:hAnsiTheme="minorEastAsia" w:cs="Arial" w:hint="eastAsia"/>
          <w:kern w:val="0"/>
          <w:sz w:val="24"/>
          <w:szCs w:val="24"/>
        </w:rPr>
        <w:t>至2023年12月13日</w:t>
      </w:r>
      <w:r w:rsidRPr="001B56E7">
        <w:rPr>
          <w:rFonts w:asciiTheme="minorEastAsia" w:hAnsiTheme="minorEastAsia" w:cs="Arial" w:hint="eastAsia"/>
          <w:kern w:val="0"/>
          <w:sz w:val="24"/>
          <w:szCs w:val="24"/>
        </w:rPr>
        <w:t>）</w:t>
      </w:r>
      <w:r w:rsidR="00C43AB1" w:rsidRPr="00C43AB1">
        <w:rPr>
          <w:rFonts w:asciiTheme="minorEastAsia" w:hAnsiTheme="minorEastAsia" w:cs="Arial" w:hint="eastAsia"/>
          <w:kern w:val="0"/>
          <w:sz w:val="24"/>
          <w:szCs w:val="24"/>
        </w:rPr>
        <w:t>、富荣研究优选混合型证券投资</w:t>
      </w:r>
      <w:proofErr w:type="gramStart"/>
      <w:r w:rsidR="00C43AB1" w:rsidRPr="00C43AB1">
        <w:rPr>
          <w:rFonts w:asciiTheme="minorEastAsia" w:hAnsiTheme="minorEastAsia" w:cs="Arial" w:hint="eastAsia"/>
          <w:kern w:val="0"/>
          <w:sz w:val="24"/>
          <w:szCs w:val="24"/>
        </w:rPr>
        <w:t>基金基金</w:t>
      </w:r>
      <w:proofErr w:type="gramEnd"/>
      <w:r w:rsidR="00C43AB1" w:rsidRPr="00C43AB1">
        <w:rPr>
          <w:rFonts w:asciiTheme="minorEastAsia" w:hAnsiTheme="minorEastAsia" w:cs="Arial" w:hint="eastAsia"/>
          <w:kern w:val="0"/>
          <w:sz w:val="24"/>
          <w:szCs w:val="24"/>
        </w:rPr>
        <w:t>经理（自2023年9月19日起任职）</w:t>
      </w:r>
      <w:r w:rsidRPr="001B56E7">
        <w:rPr>
          <w:rFonts w:asciiTheme="minorEastAsia" w:hAnsiTheme="minorEastAsia" w:cs="Arial" w:hint="eastAsia"/>
          <w:kern w:val="0"/>
          <w:sz w:val="24"/>
          <w:szCs w:val="24"/>
        </w:rPr>
        <w:t>。</w:t>
      </w:r>
    </w:p>
    <w:p w14:paraId="031D897E" w14:textId="77777777" w:rsidR="009D10D8" w:rsidRDefault="009E4577">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0DC58B9E" w14:textId="00A0D987" w:rsidR="008A6710" w:rsidRDefault="008A6710" w:rsidP="001B56E7">
      <w:pPr>
        <w:adjustRightInd w:val="0"/>
        <w:snapToGrid w:val="0"/>
        <w:spacing w:line="360" w:lineRule="auto"/>
        <w:ind w:firstLineChars="200" w:firstLine="480"/>
        <w:rPr>
          <w:rFonts w:asciiTheme="minorEastAsia" w:hAnsiTheme="minorEastAsia" w:cs="Arial" w:hint="eastAsia"/>
          <w:kern w:val="0"/>
          <w:sz w:val="24"/>
          <w:szCs w:val="24"/>
        </w:rPr>
      </w:pPr>
      <w:r w:rsidRPr="008A6710">
        <w:rPr>
          <w:rFonts w:asciiTheme="minorEastAsia" w:hAnsiTheme="minorEastAsia" w:cs="Arial" w:hint="eastAsia"/>
          <w:kern w:val="0"/>
          <w:sz w:val="24"/>
          <w:szCs w:val="24"/>
        </w:rPr>
        <w:t>杨小舟</w:t>
      </w:r>
      <w:r>
        <w:rPr>
          <w:rFonts w:asciiTheme="minorEastAsia" w:hAnsiTheme="minorEastAsia" w:cs="Arial" w:hint="eastAsia"/>
          <w:kern w:val="0"/>
          <w:sz w:val="24"/>
          <w:szCs w:val="24"/>
        </w:rPr>
        <w:t>先生，</w:t>
      </w:r>
      <w:r w:rsidRPr="001B56E7">
        <w:rPr>
          <w:rFonts w:asciiTheme="minorEastAsia" w:hAnsiTheme="minorEastAsia" w:cs="Arial" w:hint="eastAsia"/>
          <w:kern w:val="0"/>
          <w:sz w:val="24"/>
          <w:szCs w:val="24"/>
        </w:rPr>
        <w:t>投资决策委员会主任委员、</w:t>
      </w:r>
      <w:r w:rsidR="00917A8E" w:rsidRPr="00917A8E">
        <w:rPr>
          <w:rFonts w:asciiTheme="minorEastAsia" w:hAnsiTheme="minorEastAsia" w:cs="Arial" w:hint="eastAsia"/>
          <w:kern w:val="0"/>
          <w:sz w:val="24"/>
          <w:szCs w:val="24"/>
        </w:rPr>
        <w:t>公司总经理、兼任首席信息官</w:t>
      </w:r>
      <w:r>
        <w:rPr>
          <w:rFonts w:asciiTheme="minorEastAsia" w:hAnsiTheme="minorEastAsia" w:cs="Arial" w:hint="eastAsia"/>
          <w:kern w:val="0"/>
          <w:sz w:val="24"/>
          <w:szCs w:val="24"/>
        </w:rPr>
        <w:t>。</w:t>
      </w:r>
    </w:p>
    <w:p w14:paraId="10990EF5" w14:textId="459ECDA4" w:rsidR="00432BFD" w:rsidRDefault="00727272" w:rsidP="001B56E7">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郑宇光先生，</w:t>
      </w:r>
      <w:r w:rsidRPr="001B56E7">
        <w:rPr>
          <w:rFonts w:asciiTheme="minorEastAsia" w:hAnsiTheme="minorEastAsia" w:cs="Arial" w:hint="eastAsia"/>
          <w:kern w:val="0"/>
          <w:sz w:val="24"/>
          <w:szCs w:val="24"/>
        </w:rPr>
        <w:t>投资决策委员会委员、</w:t>
      </w:r>
      <w:r>
        <w:rPr>
          <w:rFonts w:asciiTheme="minorEastAsia" w:hAnsiTheme="minorEastAsia" w:cs="Arial" w:hint="eastAsia"/>
          <w:kern w:val="0"/>
          <w:sz w:val="24"/>
          <w:szCs w:val="24"/>
        </w:rPr>
        <w:t>公司总经理助理</w:t>
      </w:r>
      <w:r w:rsidR="00432BFD">
        <w:rPr>
          <w:rFonts w:asciiTheme="minorEastAsia" w:hAnsiTheme="minorEastAsia" w:cs="Arial" w:hint="eastAsia"/>
          <w:kern w:val="0"/>
          <w:sz w:val="24"/>
          <w:szCs w:val="24"/>
        </w:rPr>
        <w:t>。</w:t>
      </w:r>
    </w:p>
    <w:p w14:paraId="7D286393" w14:textId="3A6121EB" w:rsidR="001B56E7" w:rsidRDefault="001B56E7" w:rsidP="001B56E7">
      <w:pPr>
        <w:adjustRightInd w:val="0"/>
        <w:snapToGrid w:val="0"/>
        <w:spacing w:line="360" w:lineRule="auto"/>
        <w:ind w:firstLineChars="200" w:firstLine="480"/>
        <w:rPr>
          <w:rFonts w:asciiTheme="minorEastAsia" w:hAnsiTheme="minorEastAsia" w:cs="Arial" w:hint="eastAsia"/>
          <w:kern w:val="0"/>
          <w:sz w:val="24"/>
          <w:szCs w:val="24"/>
        </w:rPr>
      </w:pPr>
      <w:r w:rsidRPr="001B56E7">
        <w:rPr>
          <w:rFonts w:asciiTheme="minorEastAsia" w:hAnsiTheme="minorEastAsia" w:cs="Arial" w:hint="eastAsia"/>
          <w:kern w:val="0"/>
          <w:sz w:val="24"/>
          <w:szCs w:val="24"/>
        </w:rPr>
        <w:t>郎骋成先生，投资决策委员会委员、研究部总经理、</w:t>
      </w:r>
      <w:r w:rsidR="00C43AB1" w:rsidRPr="00C43AB1">
        <w:rPr>
          <w:rFonts w:asciiTheme="minorEastAsia" w:hAnsiTheme="minorEastAsia" w:cs="Arial" w:hint="eastAsia"/>
          <w:kern w:val="0"/>
          <w:sz w:val="24"/>
          <w:szCs w:val="24"/>
        </w:rPr>
        <w:t>权益投资部总经理、专户投资经理、</w:t>
      </w:r>
      <w:r w:rsidRPr="001B56E7">
        <w:rPr>
          <w:rFonts w:asciiTheme="minorEastAsia" w:hAnsiTheme="minorEastAsia" w:cs="Arial" w:hint="eastAsia"/>
          <w:kern w:val="0"/>
          <w:sz w:val="24"/>
          <w:szCs w:val="24"/>
        </w:rPr>
        <w:t>基金经理。</w:t>
      </w:r>
    </w:p>
    <w:p w14:paraId="1EFAED2C" w14:textId="3FAFADC0" w:rsidR="003B42BB" w:rsidRPr="001B56E7" w:rsidRDefault="003B42BB" w:rsidP="001B56E7">
      <w:pPr>
        <w:adjustRightInd w:val="0"/>
        <w:snapToGrid w:val="0"/>
        <w:spacing w:line="360" w:lineRule="auto"/>
        <w:ind w:firstLineChars="200" w:firstLine="480"/>
        <w:rPr>
          <w:rFonts w:asciiTheme="minorEastAsia" w:hAnsiTheme="minorEastAsia" w:cs="Arial" w:hint="eastAsia"/>
          <w:kern w:val="0"/>
          <w:sz w:val="24"/>
          <w:szCs w:val="24"/>
        </w:rPr>
      </w:pPr>
      <w:r w:rsidRPr="003B42BB">
        <w:rPr>
          <w:rFonts w:asciiTheme="minorEastAsia" w:hAnsiTheme="minorEastAsia" w:cs="Arial" w:hint="eastAsia"/>
          <w:kern w:val="0"/>
          <w:sz w:val="24"/>
          <w:szCs w:val="24"/>
        </w:rPr>
        <w:t>孟飞先生，投资决策委员会委员、固定收益部副总经理、基金经理。</w:t>
      </w:r>
    </w:p>
    <w:p w14:paraId="3C189D2F" w14:textId="14206FB1" w:rsidR="000D2964" w:rsidRPr="000D2964" w:rsidRDefault="000D2964" w:rsidP="000D2964">
      <w:pPr>
        <w:adjustRightInd w:val="0"/>
        <w:snapToGrid w:val="0"/>
        <w:spacing w:line="360" w:lineRule="auto"/>
        <w:ind w:firstLineChars="200" w:firstLine="480"/>
        <w:rPr>
          <w:rFonts w:asciiTheme="minorEastAsia" w:hAnsiTheme="minorEastAsia" w:cs="Arial" w:hint="eastAsia"/>
          <w:kern w:val="0"/>
          <w:sz w:val="24"/>
          <w:szCs w:val="24"/>
        </w:rPr>
      </w:pPr>
      <w:r w:rsidRPr="00EA118C">
        <w:rPr>
          <w:rFonts w:asciiTheme="minorEastAsia" w:hAnsiTheme="minorEastAsia" w:cs="Arial" w:hint="eastAsia"/>
          <w:kern w:val="0"/>
          <w:sz w:val="24"/>
          <w:szCs w:val="24"/>
        </w:rPr>
        <w:t>李黄海</w:t>
      </w:r>
      <w:r>
        <w:rPr>
          <w:rFonts w:asciiTheme="minorEastAsia" w:hAnsiTheme="minorEastAsia" w:cs="Arial" w:hint="eastAsia"/>
          <w:kern w:val="0"/>
          <w:sz w:val="24"/>
          <w:szCs w:val="24"/>
        </w:rPr>
        <w:t>先生，</w:t>
      </w:r>
      <w:r w:rsidRPr="001B56E7">
        <w:rPr>
          <w:rFonts w:asciiTheme="minorEastAsia" w:hAnsiTheme="minorEastAsia" w:cs="Arial" w:hint="eastAsia"/>
          <w:kern w:val="0"/>
          <w:sz w:val="24"/>
          <w:szCs w:val="24"/>
        </w:rPr>
        <w:t>投资决策委员会委员、</w:t>
      </w:r>
      <w:r>
        <w:rPr>
          <w:rFonts w:asciiTheme="minorEastAsia" w:hAnsiTheme="minorEastAsia" w:cs="Arial" w:hint="eastAsia"/>
          <w:kern w:val="0"/>
          <w:sz w:val="24"/>
          <w:szCs w:val="24"/>
        </w:rPr>
        <w:t>基金经理。</w:t>
      </w:r>
    </w:p>
    <w:p w14:paraId="4019D57A" w14:textId="7428E308" w:rsidR="001B56E7" w:rsidRDefault="001B56E7" w:rsidP="001B56E7">
      <w:pPr>
        <w:adjustRightInd w:val="0"/>
        <w:snapToGrid w:val="0"/>
        <w:spacing w:line="360" w:lineRule="auto"/>
        <w:ind w:firstLineChars="200" w:firstLine="480"/>
        <w:rPr>
          <w:rFonts w:asciiTheme="minorEastAsia" w:hAnsiTheme="minorEastAsia" w:cs="Arial" w:hint="eastAsia"/>
          <w:kern w:val="0"/>
          <w:sz w:val="24"/>
          <w:szCs w:val="24"/>
        </w:rPr>
      </w:pPr>
      <w:r w:rsidRPr="001B56E7">
        <w:rPr>
          <w:rFonts w:asciiTheme="minorEastAsia" w:hAnsiTheme="minorEastAsia" w:cs="Arial" w:hint="eastAsia"/>
          <w:kern w:val="0"/>
          <w:sz w:val="24"/>
          <w:szCs w:val="24"/>
        </w:rPr>
        <w:t>李延峥先生，投资决策委员会委员、投资决策委员会秘书、</w:t>
      </w:r>
      <w:r w:rsidR="00C43AB1" w:rsidRPr="00C43AB1">
        <w:rPr>
          <w:rFonts w:asciiTheme="minorEastAsia" w:hAnsiTheme="minorEastAsia" w:cs="Arial" w:hint="eastAsia"/>
          <w:kern w:val="0"/>
          <w:sz w:val="24"/>
          <w:szCs w:val="24"/>
        </w:rPr>
        <w:t>研究部总经理助理、</w:t>
      </w:r>
      <w:r w:rsidRPr="001B56E7">
        <w:rPr>
          <w:rFonts w:asciiTheme="minorEastAsia" w:hAnsiTheme="minorEastAsia" w:cs="Arial" w:hint="eastAsia"/>
          <w:kern w:val="0"/>
          <w:sz w:val="24"/>
          <w:szCs w:val="24"/>
        </w:rPr>
        <w:t>基金经理。</w:t>
      </w:r>
    </w:p>
    <w:p w14:paraId="738DF9C8" w14:textId="77777777" w:rsidR="009D10D8" w:rsidRDefault="009E4577">
      <w:pPr>
        <w:adjustRightInd w:val="0"/>
        <w:snapToGrid w:val="0"/>
        <w:spacing w:line="360" w:lineRule="auto"/>
        <w:ind w:firstLineChars="200" w:firstLine="480"/>
        <w:rPr>
          <w:rFonts w:asciiTheme="minorEastAsia" w:hAnsiTheme="minorEastAsia" w:cs="Arial" w:hint="eastAsia"/>
          <w:color w:val="FF0000"/>
          <w:sz w:val="24"/>
          <w:szCs w:val="24"/>
        </w:rPr>
      </w:pPr>
      <w:r>
        <w:rPr>
          <w:rFonts w:asciiTheme="minorEastAsia" w:hAnsiTheme="minorEastAsia" w:cs="Arial"/>
          <w:kern w:val="0"/>
          <w:sz w:val="24"/>
          <w:szCs w:val="24"/>
        </w:rPr>
        <w:t>6、上述人员之间不存在近亲属关系。</w:t>
      </w:r>
    </w:p>
    <w:p w14:paraId="28B45356" w14:textId="77777777" w:rsidR="009D10D8" w:rsidRDefault="009E4577">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三、基金管理人的职责</w:t>
      </w:r>
    </w:p>
    <w:p w14:paraId="28EDD074"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4662AD2F"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2、办理基金备案手续；</w:t>
      </w:r>
    </w:p>
    <w:p w14:paraId="529AC302"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163802E3"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7DD38C29"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37B50EF6"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380BB5D4"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7、依法接受基金托管人的监督；</w:t>
      </w:r>
    </w:p>
    <w:p w14:paraId="344B6447"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w:t>
      </w:r>
      <w:r>
        <w:rPr>
          <w:rFonts w:asciiTheme="minorEastAsia" w:hAnsiTheme="minorEastAsia" w:cs="Times New Roman" w:hint="eastAsia"/>
          <w:sz w:val="24"/>
          <w:szCs w:val="24"/>
        </w:rPr>
        <w:lastRenderedPageBreak/>
        <w:t>确定基金份额申购、赎回的价格；</w:t>
      </w:r>
    </w:p>
    <w:p w14:paraId="4B52BE9A"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9、进行基金会计核算并编制基金财务会计报告；</w:t>
      </w:r>
    </w:p>
    <w:p w14:paraId="4066E65F"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10、编制季度报告、中期报告和年度报告；</w:t>
      </w:r>
    </w:p>
    <w:p w14:paraId="46A0AED7"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11、严格按照《基金法》、《基金合同》及其他有关规定，履行信息披露及报告义务；</w:t>
      </w:r>
    </w:p>
    <w:p w14:paraId="1D605044"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但依法向监管机构、司法机关及审计、法律等外部专业顾问提供的除外；</w:t>
      </w:r>
    </w:p>
    <w:p w14:paraId="12F3F23C"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33A09DBF"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14、按规定受理申购与赎回申请，及时、足额支付赎回款项；</w:t>
      </w:r>
    </w:p>
    <w:p w14:paraId="33D079D6"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5FDECB3A" w14:textId="5D612A7E"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16、按规定保存基金财产管理业务活动的会计账册、报表、记录和其他相关资料</w:t>
      </w:r>
      <w:r w:rsidR="00D2224D" w:rsidRPr="00D2224D">
        <w:rPr>
          <w:rFonts w:asciiTheme="minorEastAsia" w:hAnsiTheme="minorEastAsia" w:cs="Times New Roman" w:hint="eastAsia"/>
          <w:sz w:val="24"/>
          <w:szCs w:val="24"/>
        </w:rPr>
        <w:t>不少于法定最低期限</w:t>
      </w:r>
      <w:r>
        <w:rPr>
          <w:rFonts w:asciiTheme="minorEastAsia" w:hAnsiTheme="minorEastAsia" w:cs="Times New Roman" w:hint="eastAsia"/>
          <w:sz w:val="24"/>
          <w:szCs w:val="24"/>
        </w:rPr>
        <w:t>；</w:t>
      </w:r>
    </w:p>
    <w:p w14:paraId="01274AAA"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5B680006"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3FD5BCB9"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05B5E2A6"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2DC49AD3"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6A74640C"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22、当基金管理人将其义务委托第三方处理时，应当对第三方处理有关基金</w:t>
      </w:r>
      <w:r>
        <w:rPr>
          <w:rFonts w:asciiTheme="minorEastAsia" w:hAnsiTheme="minorEastAsia" w:cs="Times New Roman" w:hint="eastAsia"/>
          <w:sz w:val="24"/>
          <w:szCs w:val="24"/>
        </w:rPr>
        <w:lastRenderedPageBreak/>
        <w:t>事务的行为承担责任；</w:t>
      </w:r>
    </w:p>
    <w:p w14:paraId="0E2F0092"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3C359D35"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24、基金在募集期间未能达到基金的备案条件，《基金合同》不能生效，基金管理人承担全部募集费用，将已募集资金并加计银行同期活期存款利息在基金募集期结束后30日内退还基金认购人；</w:t>
      </w:r>
    </w:p>
    <w:p w14:paraId="6FDCCE9F"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25、执行生效的基金份额持有人大会的决议；</w:t>
      </w:r>
    </w:p>
    <w:p w14:paraId="04EF97D6"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26、建立并保存基金份额持有人名册；</w:t>
      </w:r>
    </w:p>
    <w:p w14:paraId="76A099C5"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27、法律法规及中国证监会规定的和《基金合同》约定的其他义务。</w:t>
      </w:r>
    </w:p>
    <w:p w14:paraId="0A382124" w14:textId="77777777" w:rsidR="009D10D8" w:rsidRDefault="009E4577">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四、基金管理人的承诺</w:t>
      </w:r>
    </w:p>
    <w:p w14:paraId="265C1E3F"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37012B42"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42E54AAF"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（1）将基金管理人固有财产或者他人财产混同于基金财产从事证券投资；</w:t>
      </w:r>
    </w:p>
    <w:p w14:paraId="716EEEE4"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（2）不公平地对待管理的不同基金财产；</w:t>
      </w:r>
    </w:p>
    <w:p w14:paraId="47CFA06E"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（3）利用基金财产或者职务之便为基金份额持有人以外的第三人牟取利益；</w:t>
      </w:r>
    </w:p>
    <w:p w14:paraId="034A82B1"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（4）向基金份额持有人违规承诺收益或者承担损失；</w:t>
      </w:r>
    </w:p>
    <w:p w14:paraId="5C8474E6"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（5）侵占、挪用基金财产；</w:t>
      </w:r>
    </w:p>
    <w:p w14:paraId="60858907"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7DE6AA7B"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（7）玩忽职守，不按照规定履行职责；</w:t>
      </w:r>
    </w:p>
    <w:p w14:paraId="152721D4"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（8）法律、行政法规和中国证监会规定禁止的其他行为。 </w:t>
      </w:r>
    </w:p>
    <w:p w14:paraId="19498049"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33CB21D3"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12DD6310"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5、基金管理人承诺不从事其他法规规定禁止从事的行为。 </w:t>
      </w:r>
    </w:p>
    <w:p w14:paraId="522E1442" w14:textId="77777777" w:rsidR="009D10D8" w:rsidRDefault="009E4577">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sz w:val="24"/>
          <w:szCs w:val="24"/>
        </w:rPr>
      </w:pPr>
      <w:r>
        <w:rPr>
          <w:rFonts w:asciiTheme="minorEastAsia" w:hAnsiTheme="minorEastAsia" w:cs="Arial" w:hint="eastAsia"/>
          <w:b/>
          <w:sz w:val="24"/>
          <w:szCs w:val="24"/>
        </w:rPr>
        <w:t>五、基金经理承诺</w:t>
      </w:r>
    </w:p>
    <w:p w14:paraId="4CCC11B3"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1、依照有关法律法规和基金合同的规定，本着谨慎的原则为基金份额持有人谋取最大利益；</w:t>
      </w:r>
    </w:p>
    <w:p w14:paraId="4BCFE52E"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2、不利用职务之便为自己、受雇人或任何第三者牟取利益； </w:t>
      </w:r>
    </w:p>
    <w:p w14:paraId="0197F7CC"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3E09F7AB"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4、不以任何形式为其他组织或个人进行证券交易。</w:t>
      </w:r>
    </w:p>
    <w:p w14:paraId="1F6F3B8F" w14:textId="77777777" w:rsidR="009D10D8" w:rsidRDefault="009E4577">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六、基金管理人的内部控制制度</w:t>
      </w:r>
      <w:bookmarkEnd w:id="67"/>
      <w:bookmarkEnd w:id="68"/>
      <w:bookmarkEnd w:id="69"/>
    </w:p>
    <w:p w14:paraId="094C9320"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bookmarkStart w:id="83" w:name="_Toc352229750"/>
      <w:bookmarkStart w:id="84" w:name="_Toc416264540"/>
      <w:bookmarkStart w:id="85" w:name="_Toc410197818"/>
      <w:bookmarkStart w:id="86" w:name="_Toc263092312"/>
      <w:r>
        <w:rPr>
          <w:rFonts w:asciiTheme="minorEastAsia" w:hAnsiTheme="minorEastAsia" w:cs="Arial" w:hint="eastAsia"/>
          <w:sz w:val="24"/>
          <w:szCs w:val="24"/>
        </w:rPr>
        <w:t>1、风险控制目标</w:t>
      </w:r>
    </w:p>
    <w:p w14:paraId="59B4F29D"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（1）在有效控制风险的前提下，实现基金份额持有人利益最大化；</w:t>
      </w:r>
    </w:p>
    <w:p w14:paraId="0DCC4F86"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（2）确保国家有关法律法规、行业规章和公司各项规章制度的贯彻执行；</w:t>
      </w:r>
    </w:p>
    <w:p w14:paraId="72137D07"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70B05BF8"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38C51E9F"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7D349865"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2、建立风险控制制度应遵循的原则</w:t>
      </w:r>
    </w:p>
    <w:p w14:paraId="65C74457"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28959BF1"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0E8C3A54"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34A670D3"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70430CFD"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w:t>
      </w:r>
      <w:r>
        <w:rPr>
          <w:rFonts w:asciiTheme="minorEastAsia" w:hAnsiTheme="minorEastAsia" w:cs="Arial" w:hint="eastAsia"/>
          <w:sz w:val="24"/>
          <w:szCs w:val="24"/>
        </w:rPr>
        <w:lastRenderedPageBreak/>
        <w:t>应的修改和完善</w:t>
      </w:r>
      <w:r>
        <w:rPr>
          <w:rFonts w:asciiTheme="minorEastAsia" w:hAnsiTheme="minorEastAsia" w:cs="Arial"/>
          <w:sz w:val="24"/>
          <w:szCs w:val="24"/>
        </w:rPr>
        <w:t>。</w:t>
      </w:r>
    </w:p>
    <w:p w14:paraId="57564AE8"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3、风险控制体系</w:t>
      </w:r>
    </w:p>
    <w:p w14:paraId="24849002"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（1）风险控制制度体系</w:t>
      </w:r>
    </w:p>
    <w:p w14:paraId="0C955B85"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58E4B908"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（2）风险控制组织体系</w:t>
      </w:r>
    </w:p>
    <w:p w14:paraId="599B5F31"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风险控制组织体系包括两个层次：</w:t>
      </w:r>
    </w:p>
    <w:p w14:paraId="389FBB3C"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62DEBDDE"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1626DC05"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6BD374A5"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2A2ECD10" w14:textId="77777777" w:rsidR="009D10D8" w:rsidRDefault="009E4577">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607DA0AC"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w:t>
      </w:r>
      <w:r>
        <w:rPr>
          <w:rFonts w:asciiTheme="minorEastAsia" w:hAnsiTheme="minorEastAsia" w:cs="Arial" w:hint="eastAsia"/>
          <w:sz w:val="24"/>
          <w:szCs w:val="24"/>
        </w:rPr>
        <w:lastRenderedPageBreak/>
        <w:t>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4E89D9B9"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197275FC"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4、关于授权、研究、投资、交易等方面的控制点</w:t>
      </w:r>
    </w:p>
    <w:p w14:paraId="57250DFA"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（1）授权制度</w:t>
      </w:r>
    </w:p>
    <w:p w14:paraId="439609F6"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6E08E98C"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（2）研究业务</w:t>
      </w:r>
    </w:p>
    <w:p w14:paraId="66F48F20"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4F23B4C9"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（3）基金投资业务</w:t>
      </w:r>
    </w:p>
    <w:p w14:paraId="27DB6E05"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281877FB"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（4）交易业务</w:t>
      </w:r>
    </w:p>
    <w:p w14:paraId="4DBF9A92"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w:t>
      </w:r>
      <w:r>
        <w:rPr>
          <w:rFonts w:asciiTheme="minorEastAsia" w:hAnsiTheme="minorEastAsia" w:cs="Arial" w:hint="eastAsia"/>
          <w:sz w:val="24"/>
          <w:szCs w:val="24"/>
        </w:rPr>
        <w:lastRenderedPageBreak/>
        <w:t>馈、核对和存档保管；建立科学的投资交易绩效评价体系。</w:t>
      </w:r>
    </w:p>
    <w:p w14:paraId="4A99AA55"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（5）基金会计核算</w:t>
      </w:r>
    </w:p>
    <w:p w14:paraId="042849D0"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18A45641"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（6）信息披露</w:t>
      </w:r>
    </w:p>
    <w:p w14:paraId="738DBD19"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1F9C5ED8"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（7）监察稽核</w:t>
      </w:r>
    </w:p>
    <w:p w14:paraId="4CEF5A90"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157214D7"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54963D5E"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5、风险管理和内部控制的措施</w:t>
      </w:r>
    </w:p>
    <w:p w14:paraId="22BD2102"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4CA805BE"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64F136D1"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（3）建立、健全岗位责任制：建立、健全了岗位责任制，使每个员工都明确自己的任务、职责，并及时将各自工作领域中的风险隐患上报，以防范和减少风险。</w:t>
      </w:r>
    </w:p>
    <w:p w14:paraId="14D0E63E"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2D1D84BC"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6079DA37"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3DB5597B"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713693EE" w14:textId="77777777" w:rsidR="009D10D8" w:rsidRDefault="009E4577">
      <w:pPr>
        <w:widowControl/>
        <w:adjustRightInd w:val="0"/>
        <w:snapToGrid w:val="0"/>
        <w:spacing w:line="360" w:lineRule="auto"/>
        <w:ind w:firstLineChars="200" w:firstLine="480"/>
        <w:rPr>
          <w:rFonts w:asciiTheme="minorEastAsia" w:hAnsiTheme="minorEastAsia" w:cs="Arial" w:hint="eastAsia"/>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7" w:name="_Toc238027832"/>
      <w:bookmarkStart w:id="88" w:name="_Toc238013745"/>
      <w:bookmarkEnd w:id="87"/>
      <w:bookmarkEnd w:id="88"/>
    </w:p>
    <w:p w14:paraId="172CF7A6" w14:textId="77777777" w:rsidR="009D10D8" w:rsidRDefault="009D10D8">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9D10D8">
          <w:footerReference w:type="default" r:id="rId17"/>
          <w:pgSz w:w="11906" w:h="16838"/>
          <w:pgMar w:top="1440" w:right="1800" w:bottom="1440" w:left="1800" w:header="851" w:footer="992" w:gutter="0"/>
          <w:pgNumType w:chapStyle="1"/>
          <w:cols w:space="720"/>
          <w:docGrid w:type="lines" w:linePitch="312"/>
        </w:sectPr>
      </w:pPr>
    </w:p>
    <w:p w14:paraId="33255E71" w14:textId="77777777" w:rsidR="009D10D8" w:rsidRDefault="009E4577">
      <w:pPr>
        <w:pStyle w:val="1"/>
        <w:jc w:val="center"/>
        <w:rPr>
          <w:sz w:val="30"/>
          <w:szCs w:val="30"/>
        </w:rPr>
      </w:pPr>
      <w:bookmarkStart w:id="89" w:name="_Toc173322780"/>
      <w:r>
        <w:rPr>
          <w:rFonts w:hint="eastAsia"/>
          <w:sz w:val="30"/>
          <w:szCs w:val="30"/>
        </w:rPr>
        <w:lastRenderedPageBreak/>
        <w:t>第四部分</w:t>
      </w:r>
      <w:r>
        <w:rPr>
          <w:sz w:val="30"/>
          <w:szCs w:val="30"/>
        </w:rPr>
        <w:t xml:space="preserve">  </w:t>
      </w:r>
      <w:r>
        <w:rPr>
          <w:rFonts w:hint="eastAsia"/>
          <w:sz w:val="30"/>
          <w:szCs w:val="30"/>
        </w:rPr>
        <w:t>基金托管人</w:t>
      </w:r>
      <w:bookmarkEnd w:id="89"/>
    </w:p>
    <w:p w14:paraId="3FFD830E" w14:textId="77777777" w:rsidR="009D10D8" w:rsidRDefault="009E4577">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一、基金托管人情况</w:t>
      </w:r>
    </w:p>
    <w:p w14:paraId="7B997FE2"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1、基本情况</w:t>
      </w:r>
    </w:p>
    <w:p w14:paraId="4586A720" w14:textId="77777777" w:rsidR="00855E87" w:rsidRPr="00855E87" w:rsidRDefault="00855E87" w:rsidP="00855E87">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55E87">
        <w:rPr>
          <w:rFonts w:asciiTheme="minorEastAsia" w:hAnsiTheme="minorEastAsia" w:cs="Arial" w:hint="eastAsia"/>
          <w:bCs/>
          <w:sz w:val="24"/>
          <w:szCs w:val="24"/>
        </w:rPr>
        <w:t>名称：</w:t>
      </w:r>
      <w:proofErr w:type="gramStart"/>
      <w:r w:rsidRPr="00855E87">
        <w:rPr>
          <w:rFonts w:asciiTheme="minorEastAsia" w:hAnsiTheme="minorEastAsia" w:cs="Arial" w:hint="eastAsia"/>
          <w:bCs/>
          <w:sz w:val="24"/>
          <w:szCs w:val="24"/>
        </w:rPr>
        <w:t>浙商银行</w:t>
      </w:r>
      <w:proofErr w:type="gramEnd"/>
      <w:r w:rsidRPr="00855E87">
        <w:rPr>
          <w:rFonts w:asciiTheme="minorEastAsia" w:hAnsiTheme="minorEastAsia" w:cs="Arial" w:hint="eastAsia"/>
          <w:bCs/>
          <w:sz w:val="24"/>
          <w:szCs w:val="24"/>
        </w:rPr>
        <w:t>股份有限公司</w:t>
      </w:r>
    </w:p>
    <w:p w14:paraId="59C64D51" w14:textId="77777777" w:rsidR="00855E87" w:rsidRPr="00855E87" w:rsidRDefault="00855E87" w:rsidP="00855E87">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55E87">
        <w:rPr>
          <w:rFonts w:asciiTheme="minorEastAsia" w:hAnsiTheme="minorEastAsia" w:cs="Arial" w:hint="eastAsia"/>
          <w:bCs/>
          <w:sz w:val="24"/>
          <w:szCs w:val="24"/>
        </w:rPr>
        <w:t>住所：浙江省杭州市</w:t>
      </w:r>
      <w:proofErr w:type="gramStart"/>
      <w:r w:rsidRPr="00855E87">
        <w:rPr>
          <w:rFonts w:asciiTheme="minorEastAsia" w:hAnsiTheme="minorEastAsia" w:cs="Arial" w:hint="eastAsia"/>
          <w:bCs/>
          <w:sz w:val="24"/>
          <w:szCs w:val="24"/>
        </w:rPr>
        <w:t>萧山区鸿宁</w:t>
      </w:r>
      <w:proofErr w:type="gramEnd"/>
      <w:r w:rsidRPr="00855E87">
        <w:rPr>
          <w:rFonts w:asciiTheme="minorEastAsia" w:hAnsiTheme="minorEastAsia" w:cs="Arial" w:hint="eastAsia"/>
          <w:bCs/>
          <w:sz w:val="24"/>
          <w:szCs w:val="24"/>
        </w:rPr>
        <w:t>路1788号</w:t>
      </w:r>
    </w:p>
    <w:p w14:paraId="2790FC56" w14:textId="77777777" w:rsidR="00855E87" w:rsidRPr="00855E87" w:rsidRDefault="00855E87" w:rsidP="00855E87">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55E87">
        <w:rPr>
          <w:rFonts w:asciiTheme="minorEastAsia" w:hAnsiTheme="minorEastAsia" w:cs="Arial" w:hint="eastAsia"/>
          <w:bCs/>
          <w:sz w:val="24"/>
          <w:szCs w:val="24"/>
        </w:rPr>
        <w:t>法定代表人：陈海强（代为履行法定代表人职责）</w:t>
      </w:r>
    </w:p>
    <w:p w14:paraId="002D35E7" w14:textId="77777777" w:rsidR="00855E87" w:rsidRPr="00855E87" w:rsidRDefault="00855E87" w:rsidP="00855E87">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55E87">
        <w:rPr>
          <w:rFonts w:asciiTheme="minorEastAsia" w:hAnsiTheme="minorEastAsia" w:cs="Arial" w:hint="eastAsia"/>
          <w:bCs/>
          <w:sz w:val="24"/>
          <w:szCs w:val="24"/>
        </w:rPr>
        <w:t>联系人：林彬</w:t>
      </w:r>
    </w:p>
    <w:p w14:paraId="61799D68" w14:textId="77777777" w:rsidR="00855E87" w:rsidRPr="00855E87" w:rsidRDefault="00855E87" w:rsidP="00855E87">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55E87">
        <w:rPr>
          <w:rFonts w:asciiTheme="minorEastAsia" w:hAnsiTheme="minorEastAsia" w:cs="Arial" w:hint="eastAsia"/>
          <w:bCs/>
          <w:sz w:val="24"/>
          <w:szCs w:val="24"/>
        </w:rPr>
        <w:t>电话：0571-88269636</w:t>
      </w:r>
    </w:p>
    <w:p w14:paraId="11988B5B" w14:textId="77777777" w:rsidR="00855E87" w:rsidRPr="00855E87" w:rsidRDefault="00855E87" w:rsidP="00855E87">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55E87">
        <w:rPr>
          <w:rFonts w:asciiTheme="minorEastAsia" w:hAnsiTheme="minorEastAsia" w:cs="Arial" w:hint="eastAsia"/>
          <w:bCs/>
          <w:sz w:val="24"/>
          <w:szCs w:val="24"/>
        </w:rPr>
        <w:t>传真：0571-88268688</w:t>
      </w:r>
    </w:p>
    <w:p w14:paraId="2426EB7E" w14:textId="77777777" w:rsidR="00855E87" w:rsidRPr="00855E87" w:rsidRDefault="00855E87" w:rsidP="00855E87">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55E87">
        <w:rPr>
          <w:rFonts w:asciiTheme="minorEastAsia" w:hAnsiTheme="minorEastAsia" w:cs="Arial" w:hint="eastAsia"/>
          <w:bCs/>
          <w:sz w:val="24"/>
          <w:szCs w:val="24"/>
        </w:rPr>
        <w:t>成立时间：1993年04月16日</w:t>
      </w:r>
    </w:p>
    <w:p w14:paraId="0424F48E" w14:textId="77777777" w:rsidR="00855E87" w:rsidRPr="00855E87" w:rsidRDefault="00855E87" w:rsidP="00855E87">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55E87">
        <w:rPr>
          <w:rFonts w:asciiTheme="minorEastAsia" w:hAnsiTheme="minorEastAsia" w:cs="Arial" w:hint="eastAsia"/>
          <w:bCs/>
          <w:sz w:val="24"/>
          <w:szCs w:val="24"/>
        </w:rPr>
        <w:t>组织形式：股份有限公司</w:t>
      </w:r>
    </w:p>
    <w:p w14:paraId="18C68C68" w14:textId="77777777" w:rsidR="00855E87" w:rsidRPr="00855E87" w:rsidRDefault="00855E87" w:rsidP="00855E87">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55E87">
        <w:rPr>
          <w:rFonts w:asciiTheme="minorEastAsia" w:hAnsiTheme="minorEastAsia" w:cs="Arial" w:hint="eastAsia"/>
          <w:bCs/>
          <w:sz w:val="24"/>
          <w:szCs w:val="24"/>
        </w:rPr>
        <w:t>注册资本：人民币27,464,635,963元</w:t>
      </w:r>
    </w:p>
    <w:p w14:paraId="14053AB1" w14:textId="77777777" w:rsidR="00855E87" w:rsidRPr="00855E87" w:rsidRDefault="00855E87" w:rsidP="00855E87">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55E87">
        <w:rPr>
          <w:rFonts w:asciiTheme="minorEastAsia" w:hAnsiTheme="minorEastAsia" w:cs="Arial" w:hint="eastAsia"/>
          <w:bCs/>
          <w:sz w:val="24"/>
          <w:szCs w:val="24"/>
        </w:rPr>
        <w:t>存续期间：持续经营</w:t>
      </w:r>
    </w:p>
    <w:p w14:paraId="27A941AA" w14:textId="77777777" w:rsidR="00855E87" w:rsidRPr="00855E87" w:rsidRDefault="00855E87" w:rsidP="00855E87">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55E87">
        <w:rPr>
          <w:rFonts w:asciiTheme="minorEastAsia" w:hAnsiTheme="minorEastAsia" w:cs="Arial" w:hint="eastAsia"/>
          <w:bCs/>
          <w:sz w:val="24"/>
          <w:szCs w:val="24"/>
        </w:rPr>
        <w:t>批准设立机关和批准设立文号：中国银行业监督管理委员会</w:t>
      </w:r>
      <w:proofErr w:type="gramStart"/>
      <w:r w:rsidRPr="00855E87">
        <w:rPr>
          <w:rFonts w:asciiTheme="minorEastAsia" w:hAnsiTheme="minorEastAsia" w:cs="Arial" w:hint="eastAsia"/>
          <w:bCs/>
          <w:sz w:val="24"/>
          <w:szCs w:val="24"/>
        </w:rPr>
        <w:t>银监复〔2004〕</w:t>
      </w:r>
      <w:proofErr w:type="gramEnd"/>
      <w:r w:rsidRPr="00855E87">
        <w:rPr>
          <w:rFonts w:asciiTheme="minorEastAsia" w:hAnsiTheme="minorEastAsia" w:cs="Arial" w:hint="eastAsia"/>
          <w:bCs/>
          <w:sz w:val="24"/>
          <w:szCs w:val="24"/>
        </w:rPr>
        <w:t>91号</w:t>
      </w:r>
    </w:p>
    <w:p w14:paraId="2348D46D" w14:textId="77777777" w:rsidR="00855E87" w:rsidRPr="00855E87" w:rsidRDefault="00855E87" w:rsidP="00855E87">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55E87">
        <w:rPr>
          <w:rFonts w:asciiTheme="minorEastAsia" w:hAnsiTheme="minorEastAsia" w:cs="Arial" w:hint="eastAsia"/>
          <w:bCs/>
          <w:sz w:val="24"/>
          <w:szCs w:val="24"/>
        </w:rPr>
        <w:t>基金托管资格批文及文号：《关于核准浙商银行股份有限公司证券投资基金托管资格的批复》；证监许可〔2013〕1519号</w:t>
      </w:r>
    </w:p>
    <w:p w14:paraId="3C0A1FE2" w14:textId="77777777" w:rsidR="00855E87" w:rsidRPr="00855E87" w:rsidRDefault="00855E87" w:rsidP="00855E87">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55E87">
        <w:rPr>
          <w:rFonts w:asciiTheme="minorEastAsia" w:hAnsiTheme="minorEastAsia" w:cs="Arial" w:hint="eastAsia"/>
          <w:bCs/>
          <w:sz w:val="24"/>
          <w:szCs w:val="24"/>
        </w:rPr>
        <w:t>经营范围：吸收公众存款；发放短期、中期和长期贷款；办理国内外结算；办理票据承兑与贴现；发行金融债券；代理发行、代理兑付、承销政府债券；买卖政府债券、金融债券；从事同业拆借；买卖、代理买卖外汇；从事银行卡业务；提供信用证服务及担保；代理收付款项及代理保险业务；提供保管箱服务；经国务院银行业监督管理机构批准的其他业务。本行经中国人民银行批准，可以经营结汇、售汇业务。</w:t>
      </w:r>
    </w:p>
    <w:p w14:paraId="6B75E31C" w14:textId="77777777" w:rsidR="00855E87" w:rsidRPr="00855E87" w:rsidRDefault="00855E87" w:rsidP="00855E87">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55E87">
        <w:rPr>
          <w:rFonts w:asciiTheme="minorEastAsia" w:hAnsiTheme="minorEastAsia" w:cs="Arial" w:hint="eastAsia"/>
          <w:bCs/>
          <w:sz w:val="24"/>
          <w:szCs w:val="24"/>
        </w:rPr>
        <w:t>2.主要人员情况</w:t>
      </w:r>
    </w:p>
    <w:p w14:paraId="2496AA5A" w14:textId="77777777" w:rsidR="00855E87" w:rsidRPr="00855E87" w:rsidRDefault="00855E87" w:rsidP="00855E87">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55E87">
        <w:rPr>
          <w:rFonts w:asciiTheme="minorEastAsia" w:hAnsiTheme="minorEastAsia" w:cs="Arial" w:hint="eastAsia"/>
          <w:bCs/>
          <w:sz w:val="24"/>
          <w:szCs w:val="24"/>
        </w:rPr>
        <w:t>赵刚先生，本公司资产托管部总经理。赵先生曾任中国工商银行四川省分行项目信贷处经理，</w:t>
      </w:r>
      <w:proofErr w:type="gramStart"/>
      <w:r w:rsidRPr="00855E87">
        <w:rPr>
          <w:rFonts w:asciiTheme="minorEastAsia" w:hAnsiTheme="minorEastAsia" w:cs="Arial" w:hint="eastAsia"/>
          <w:bCs/>
          <w:sz w:val="24"/>
          <w:szCs w:val="24"/>
        </w:rPr>
        <w:t>浙商银行</w:t>
      </w:r>
      <w:proofErr w:type="gramEnd"/>
      <w:r w:rsidRPr="00855E87">
        <w:rPr>
          <w:rFonts w:asciiTheme="minorEastAsia" w:hAnsiTheme="minorEastAsia" w:cs="Arial" w:hint="eastAsia"/>
          <w:bCs/>
          <w:sz w:val="24"/>
          <w:szCs w:val="24"/>
        </w:rPr>
        <w:t>成都分行风险管理、授信评审、公司银行部总经理助理、副总、总经理，</w:t>
      </w:r>
      <w:proofErr w:type="gramStart"/>
      <w:r w:rsidRPr="00855E87">
        <w:rPr>
          <w:rFonts w:asciiTheme="minorEastAsia" w:hAnsiTheme="minorEastAsia" w:cs="Arial" w:hint="eastAsia"/>
          <w:bCs/>
          <w:sz w:val="24"/>
          <w:szCs w:val="24"/>
        </w:rPr>
        <w:t>浙商银行</w:t>
      </w:r>
      <w:proofErr w:type="gramEnd"/>
      <w:r w:rsidRPr="00855E87">
        <w:rPr>
          <w:rFonts w:asciiTheme="minorEastAsia" w:hAnsiTheme="minorEastAsia" w:cs="Arial" w:hint="eastAsia"/>
          <w:bCs/>
          <w:sz w:val="24"/>
          <w:szCs w:val="24"/>
        </w:rPr>
        <w:t>兰州分行风险监控官、副行长，</w:t>
      </w:r>
      <w:proofErr w:type="gramStart"/>
      <w:r w:rsidRPr="00855E87">
        <w:rPr>
          <w:rFonts w:asciiTheme="minorEastAsia" w:hAnsiTheme="minorEastAsia" w:cs="Arial" w:hint="eastAsia"/>
          <w:bCs/>
          <w:sz w:val="24"/>
          <w:szCs w:val="24"/>
        </w:rPr>
        <w:t>浙商银行</w:t>
      </w:r>
      <w:proofErr w:type="gramEnd"/>
      <w:r w:rsidRPr="00855E87">
        <w:rPr>
          <w:rFonts w:asciiTheme="minorEastAsia" w:hAnsiTheme="minorEastAsia" w:cs="Arial" w:hint="eastAsia"/>
          <w:bCs/>
          <w:sz w:val="24"/>
          <w:szCs w:val="24"/>
        </w:rPr>
        <w:t>成都分行副行长，</w:t>
      </w:r>
      <w:proofErr w:type="gramStart"/>
      <w:r w:rsidRPr="00855E87">
        <w:rPr>
          <w:rFonts w:asciiTheme="minorEastAsia" w:hAnsiTheme="minorEastAsia" w:cs="Arial" w:hint="eastAsia"/>
          <w:bCs/>
          <w:sz w:val="24"/>
          <w:szCs w:val="24"/>
        </w:rPr>
        <w:t>浙商银行</w:t>
      </w:r>
      <w:proofErr w:type="gramEnd"/>
      <w:r w:rsidRPr="00855E87">
        <w:rPr>
          <w:rFonts w:asciiTheme="minorEastAsia" w:hAnsiTheme="minorEastAsia" w:cs="Arial" w:hint="eastAsia"/>
          <w:bCs/>
          <w:sz w:val="24"/>
          <w:szCs w:val="24"/>
        </w:rPr>
        <w:t>重庆分行行长。</w:t>
      </w:r>
    </w:p>
    <w:p w14:paraId="4311F7DE" w14:textId="77777777" w:rsidR="00855E87" w:rsidRPr="00855E87" w:rsidRDefault="00855E87" w:rsidP="00855E87">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55E87">
        <w:rPr>
          <w:rFonts w:asciiTheme="minorEastAsia" w:hAnsiTheme="minorEastAsia" w:cs="Arial" w:hint="eastAsia"/>
          <w:bCs/>
          <w:sz w:val="24"/>
          <w:szCs w:val="24"/>
        </w:rPr>
        <w:t>3.发展概况及基金托管业务经营情况</w:t>
      </w:r>
    </w:p>
    <w:p w14:paraId="235EC9D4" w14:textId="77777777" w:rsidR="00855E87" w:rsidRPr="00855E87" w:rsidRDefault="00855E87" w:rsidP="00855E87">
      <w:pPr>
        <w:tabs>
          <w:tab w:val="left" w:pos="1110"/>
        </w:tabs>
        <w:adjustRightInd w:val="0"/>
        <w:snapToGrid w:val="0"/>
        <w:spacing w:line="360" w:lineRule="auto"/>
        <w:ind w:firstLineChars="200" w:firstLine="480"/>
        <w:rPr>
          <w:rFonts w:asciiTheme="minorEastAsia" w:hAnsiTheme="minorEastAsia" w:cs="Arial" w:hint="eastAsia"/>
          <w:bCs/>
          <w:sz w:val="24"/>
          <w:szCs w:val="24"/>
        </w:rPr>
      </w:pPr>
      <w:proofErr w:type="gramStart"/>
      <w:r w:rsidRPr="00855E87">
        <w:rPr>
          <w:rFonts w:asciiTheme="minorEastAsia" w:hAnsiTheme="minorEastAsia" w:cs="Arial" w:hint="eastAsia"/>
          <w:bCs/>
          <w:sz w:val="24"/>
          <w:szCs w:val="24"/>
        </w:rPr>
        <w:lastRenderedPageBreak/>
        <w:t>浙商银行</w:t>
      </w:r>
      <w:proofErr w:type="gramEnd"/>
      <w:r w:rsidRPr="00855E87">
        <w:rPr>
          <w:rFonts w:asciiTheme="minorEastAsia" w:hAnsiTheme="minorEastAsia" w:cs="Arial" w:hint="eastAsia"/>
          <w:bCs/>
          <w:sz w:val="24"/>
          <w:szCs w:val="24"/>
        </w:rPr>
        <w:t>股份有限公司（以下简称“浙商银行”）是十二家全国性股份制商业银行之一，于2004年8月18日正式开业，总部设在浙江杭州，系全国第13家“A+H”上市银行。开业以来，</w:t>
      </w:r>
      <w:proofErr w:type="gramStart"/>
      <w:r w:rsidRPr="00855E87">
        <w:rPr>
          <w:rFonts w:asciiTheme="minorEastAsia" w:hAnsiTheme="minorEastAsia" w:cs="Arial" w:hint="eastAsia"/>
          <w:bCs/>
          <w:sz w:val="24"/>
          <w:szCs w:val="24"/>
        </w:rPr>
        <w:t>浙商银行</w:t>
      </w:r>
      <w:proofErr w:type="gramEnd"/>
      <w:r w:rsidRPr="00855E87">
        <w:rPr>
          <w:rFonts w:asciiTheme="minorEastAsia" w:hAnsiTheme="minorEastAsia" w:cs="Arial" w:hint="eastAsia"/>
          <w:bCs/>
          <w:sz w:val="24"/>
          <w:szCs w:val="24"/>
        </w:rPr>
        <w:t>立足浙江，放眼全球，稳健发展，已成为一家基础扎实、效益优良、</w:t>
      </w:r>
      <w:proofErr w:type="gramStart"/>
      <w:r w:rsidRPr="00855E87">
        <w:rPr>
          <w:rFonts w:asciiTheme="minorEastAsia" w:hAnsiTheme="minorEastAsia" w:cs="Arial" w:hint="eastAsia"/>
          <w:bCs/>
          <w:sz w:val="24"/>
          <w:szCs w:val="24"/>
        </w:rPr>
        <w:t>风控完善</w:t>
      </w:r>
      <w:proofErr w:type="gramEnd"/>
      <w:r w:rsidRPr="00855E87">
        <w:rPr>
          <w:rFonts w:asciiTheme="minorEastAsia" w:hAnsiTheme="minorEastAsia" w:cs="Arial" w:hint="eastAsia"/>
          <w:bCs/>
          <w:sz w:val="24"/>
          <w:szCs w:val="24"/>
        </w:rPr>
        <w:t>的优质商业银行。</w:t>
      </w:r>
    </w:p>
    <w:p w14:paraId="06719D1D" w14:textId="77777777" w:rsidR="00855E87" w:rsidRPr="00855E87" w:rsidRDefault="00855E87" w:rsidP="00855E87">
      <w:pPr>
        <w:tabs>
          <w:tab w:val="left" w:pos="1110"/>
        </w:tabs>
        <w:adjustRightInd w:val="0"/>
        <w:snapToGrid w:val="0"/>
        <w:spacing w:line="360" w:lineRule="auto"/>
        <w:ind w:firstLineChars="200" w:firstLine="480"/>
        <w:rPr>
          <w:rFonts w:asciiTheme="minorEastAsia" w:hAnsiTheme="minorEastAsia" w:cs="Arial" w:hint="eastAsia"/>
          <w:bCs/>
          <w:sz w:val="24"/>
          <w:szCs w:val="24"/>
        </w:rPr>
      </w:pPr>
      <w:proofErr w:type="gramStart"/>
      <w:r w:rsidRPr="00855E87">
        <w:rPr>
          <w:rFonts w:asciiTheme="minorEastAsia" w:hAnsiTheme="minorEastAsia" w:cs="Arial" w:hint="eastAsia"/>
          <w:bCs/>
          <w:sz w:val="24"/>
          <w:szCs w:val="24"/>
        </w:rPr>
        <w:t>浙商银行</w:t>
      </w:r>
      <w:proofErr w:type="gramEnd"/>
      <w:r w:rsidRPr="00855E87">
        <w:rPr>
          <w:rFonts w:asciiTheme="minorEastAsia" w:hAnsiTheme="minorEastAsia" w:cs="Arial" w:hint="eastAsia"/>
          <w:bCs/>
          <w:sz w:val="24"/>
          <w:szCs w:val="24"/>
        </w:rPr>
        <w:t>以</w:t>
      </w:r>
      <w:proofErr w:type="gramStart"/>
      <w:r w:rsidRPr="00855E87">
        <w:rPr>
          <w:rFonts w:asciiTheme="minorEastAsia" w:hAnsiTheme="minorEastAsia" w:cs="Arial" w:hint="eastAsia"/>
          <w:bCs/>
          <w:sz w:val="24"/>
          <w:szCs w:val="24"/>
        </w:rPr>
        <w:t>“一流的商业银行”愿景为</w:t>
      </w:r>
      <w:proofErr w:type="gramEnd"/>
      <w:r w:rsidRPr="00855E87">
        <w:rPr>
          <w:rFonts w:asciiTheme="minorEastAsia" w:hAnsiTheme="minorEastAsia" w:cs="Arial" w:hint="eastAsia"/>
          <w:bCs/>
          <w:sz w:val="24"/>
          <w:szCs w:val="24"/>
        </w:rPr>
        <w:t>统领，全面构建“正、简、专、协、廉”五</w:t>
      </w:r>
      <w:proofErr w:type="gramStart"/>
      <w:r w:rsidRPr="00855E87">
        <w:rPr>
          <w:rFonts w:asciiTheme="minorEastAsia" w:hAnsiTheme="minorEastAsia" w:cs="Arial" w:hint="eastAsia"/>
          <w:bCs/>
          <w:sz w:val="24"/>
          <w:szCs w:val="24"/>
        </w:rPr>
        <w:t>字政治</w:t>
      </w:r>
      <w:proofErr w:type="gramEnd"/>
      <w:r w:rsidRPr="00855E87">
        <w:rPr>
          <w:rFonts w:asciiTheme="minorEastAsia" w:hAnsiTheme="minorEastAsia" w:cs="Arial" w:hint="eastAsia"/>
          <w:bCs/>
          <w:sz w:val="24"/>
          <w:szCs w:val="24"/>
        </w:rPr>
        <w:t>生态，</w:t>
      </w:r>
      <w:proofErr w:type="gramStart"/>
      <w:r w:rsidRPr="00855E87">
        <w:rPr>
          <w:rFonts w:asciiTheme="minorEastAsia" w:hAnsiTheme="minorEastAsia" w:cs="Arial" w:hint="eastAsia"/>
          <w:bCs/>
          <w:sz w:val="24"/>
          <w:szCs w:val="24"/>
        </w:rPr>
        <w:t>践行</w:t>
      </w:r>
      <w:proofErr w:type="gramEnd"/>
      <w:r w:rsidRPr="00855E87">
        <w:rPr>
          <w:rFonts w:asciiTheme="minorEastAsia" w:hAnsiTheme="minorEastAsia" w:cs="Arial" w:hint="eastAsia"/>
          <w:bCs/>
          <w:sz w:val="24"/>
          <w:szCs w:val="24"/>
        </w:rPr>
        <w:t>善本金融，坚持智慧经营，建设人文浙银，全面开展以客户为中心的综合协同改革，以数字化改革为主线，以“深耕浙江”为首要战略，大零售、大公司、大投行、</w:t>
      </w:r>
      <w:proofErr w:type="gramStart"/>
      <w:r w:rsidRPr="00855E87">
        <w:rPr>
          <w:rFonts w:asciiTheme="minorEastAsia" w:hAnsiTheme="minorEastAsia" w:cs="Arial" w:hint="eastAsia"/>
          <w:bCs/>
          <w:sz w:val="24"/>
          <w:szCs w:val="24"/>
        </w:rPr>
        <w:t>大资管</w:t>
      </w:r>
      <w:proofErr w:type="gramEnd"/>
      <w:r w:rsidRPr="00855E87">
        <w:rPr>
          <w:rFonts w:asciiTheme="minorEastAsia" w:hAnsiTheme="minorEastAsia" w:cs="Arial" w:hint="eastAsia"/>
          <w:bCs/>
          <w:sz w:val="24"/>
          <w:szCs w:val="24"/>
        </w:rPr>
        <w:t>、大跨境五大业务板块齐头并进、综合协同发展，财富管理全新启航，实施“客户基础、人才基础、系统基础、投</w:t>
      </w:r>
      <w:proofErr w:type="gramStart"/>
      <w:r w:rsidRPr="00855E87">
        <w:rPr>
          <w:rFonts w:asciiTheme="minorEastAsia" w:hAnsiTheme="minorEastAsia" w:cs="Arial" w:hint="eastAsia"/>
          <w:bCs/>
          <w:sz w:val="24"/>
          <w:szCs w:val="24"/>
        </w:rPr>
        <w:t>研</w:t>
      </w:r>
      <w:proofErr w:type="gramEnd"/>
      <w:r w:rsidRPr="00855E87">
        <w:rPr>
          <w:rFonts w:asciiTheme="minorEastAsia" w:hAnsiTheme="minorEastAsia" w:cs="Arial" w:hint="eastAsia"/>
          <w:bCs/>
          <w:sz w:val="24"/>
          <w:szCs w:val="24"/>
        </w:rPr>
        <w:t>基础”四大攻坚，全面开启高质量发展的新征程。</w:t>
      </w:r>
    </w:p>
    <w:p w14:paraId="4FA525DE" w14:textId="77777777" w:rsidR="00855E87" w:rsidRPr="00855E87" w:rsidRDefault="00855E87" w:rsidP="00855E87">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55E87">
        <w:rPr>
          <w:rFonts w:asciiTheme="minorEastAsia" w:hAnsiTheme="minorEastAsia" w:cs="Arial" w:hint="eastAsia"/>
          <w:bCs/>
          <w:sz w:val="24"/>
          <w:szCs w:val="24"/>
        </w:rPr>
        <w:t>2024年，</w:t>
      </w:r>
      <w:proofErr w:type="gramStart"/>
      <w:r w:rsidRPr="00855E87">
        <w:rPr>
          <w:rFonts w:asciiTheme="minorEastAsia" w:hAnsiTheme="minorEastAsia" w:cs="Arial" w:hint="eastAsia"/>
          <w:bCs/>
          <w:sz w:val="24"/>
          <w:szCs w:val="24"/>
        </w:rPr>
        <w:t>浙商银行</w:t>
      </w:r>
      <w:proofErr w:type="gramEnd"/>
      <w:r w:rsidRPr="00855E87">
        <w:rPr>
          <w:rFonts w:asciiTheme="minorEastAsia" w:hAnsiTheme="minorEastAsia" w:cs="Arial" w:hint="eastAsia"/>
          <w:bCs/>
          <w:sz w:val="24"/>
          <w:szCs w:val="24"/>
        </w:rPr>
        <w:t>营业收入676.50亿元，较上年增长6.19%；归属于本行股东的净利润151.86亿元，较上年增长0.92%。截至报告期末，总资产3.33</w:t>
      </w:r>
      <w:proofErr w:type="gramStart"/>
      <w:r w:rsidRPr="00855E87">
        <w:rPr>
          <w:rFonts w:asciiTheme="minorEastAsia" w:hAnsiTheme="minorEastAsia" w:cs="Arial" w:hint="eastAsia"/>
          <w:bCs/>
          <w:sz w:val="24"/>
          <w:szCs w:val="24"/>
        </w:rPr>
        <w:t>万亿</w:t>
      </w:r>
      <w:proofErr w:type="gramEnd"/>
      <w:r w:rsidRPr="00855E87">
        <w:rPr>
          <w:rFonts w:asciiTheme="minorEastAsia" w:hAnsiTheme="minorEastAsia" w:cs="Arial" w:hint="eastAsia"/>
          <w:bCs/>
          <w:sz w:val="24"/>
          <w:szCs w:val="24"/>
        </w:rPr>
        <w:t>元，较上年末增长5.78%，其中：发放贷款和垫款总额1.86</w:t>
      </w:r>
      <w:proofErr w:type="gramStart"/>
      <w:r w:rsidRPr="00855E87">
        <w:rPr>
          <w:rFonts w:asciiTheme="minorEastAsia" w:hAnsiTheme="minorEastAsia" w:cs="Arial" w:hint="eastAsia"/>
          <w:bCs/>
          <w:sz w:val="24"/>
          <w:szCs w:val="24"/>
        </w:rPr>
        <w:t>万亿</w:t>
      </w:r>
      <w:proofErr w:type="gramEnd"/>
      <w:r w:rsidRPr="00855E87">
        <w:rPr>
          <w:rFonts w:asciiTheme="minorEastAsia" w:hAnsiTheme="minorEastAsia" w:cs="Arial" w:hint="eastAsia"/>
          <w:bCs/>
          <w:sz w:val="24"/>
          <w:szCs w:val="24"/>
        </w:rPr>
        <w:t>元，较上年末增长8.21%；总负债3.12</w:t>
      </w:r>
      <w:proofErr w:type="gramStart"/>
      <w:r w:rsidRPr="00855E87">
        <w:rPr>
          <w:rFonts w:asciiTheme="minorEastAsia" w:hAnsiTheme="minorEastAsia" w:cs="Arial" w:hint="eastAsia"/>
          <w:bCs/>
          <w:sz w:val="24"/>
          <w:szCs w:val="24"/>
        </w:rPr>
        <w:t>万亿</w:t>
      </w:r>
      <w:proofErr w:type="gramEnd"/>
      <w:r w:rsidRPr="00855E87">
        <w:rPr>
          <w:rFonts w:asciiTheme="minorEastAsia" w:hAnsiTheme="minorEastAsia" w:cs="Arial" w:hint="eastAsia"/>
          <w:bCs/>
          <w:sz w:val="24"/>
          <w:szCs w:val="24"/>
        </w:rPr>
        <w:t>元，较上年末增长5.70%，其中：吸收存款余额1.92</w:t>
      </w:r>
      <w:proofErr w:type="gramStart"/>
      <w:r w:rsidRPr="00855E87">
        <w:rPr>
          <w:rFonts w:asciiTheme="minorEastAsia" w:hAnsiTheme="minorEastAsia" w:cs="Arial" w:hint="eastAsia"/>
          <w:bCs/>
          <w:sz w:val="24"/>
          <w:szCs w:val="24"/>
        </w:rPr>
        <w:t>万亿</w:t>
      </w:r>
      <w:proofErr w:type="gramEnd"/>
      <w:r w:rsidRPr="00855E87">
        <w:rPr>
          <w:rFonts w:asciiTheme="minorEastAsia" w:hAnsiTheme="minorEastAsia" w:cs="Arial" w:hint="eastAsia"/>
          <w:bCs/>
          <w:sz w:val="24"/>
          <w:szCs w:val="24"/>
        </w:rPr>
        <w:t>元，较上年末增长2.87%。不良贷款率1.38%、拨备覆盖率178.67%；资本充足率12.61%、一级资本充足率9.61%、核心一级资本充足率8.38%，均保持合理水平。</w:t>
      </w:r>
    </w:p>
    <w:p w14:paraId="0DAAA8AB" w14:textId="77777777" w:rsidR="00855E87" w:rsidRPr="00855E87" w:rsidRDefault="00855E87" w:rsidP="00855E87">
      <w:pPr>
        <w:tabs>
          <w:tab w:val="left" w:pos="1110"/>
        </w:tabs>
        <w:adjustRightInd w:val="0"/>
        <w:snapToGrid w:val="0"/>
        <w:spacing w:line="360" w:lineRule="auto"/>
        <w:ind w:firstLineChars="200" w:firstLine="480"/>
        <w:rPr>
          <w:rFonts w:asciiTheme="minorEastAsia" w:hAnsiTheme="minorEastAsia" w:cs="Arial" w:hint="eastAsia"/>
          <w:bCs/>
          <w:sz w:val="24"/>
          <w:szCs w:val="24"/>
        </w:rPr>
      </w:pPr>
      <w:proofErr w:type="gramStart"/>
      <w:r w:rsidRPr="00855E87">
        <w:rPr>
          <w:rFonts w:asciiTheme="minorEastAsia" w:hAnsiTheme="minorEastAsia" w:cs="Arial" w:hint="eastAsia"/>
          <w:bCs/>
          <w:sz w:val="24"/>
          <w:szCs w:val="24"/>
        </w:rPr>
        <w:t>浙商银行</w:t>
      </w:r>
      <w:proofErr w:type="gramEnd"/>
      <w:r w:rsidRPr="00855E87">
        <w:rPr>
          <w:rFonts w:asciiTheme="minorEastAsia" w:hAnsiTheme="minorEastAsia" w:cs="Arial" w:hint="eastAsia"/>
          <w:bCs/>
          <w:sz w:val="24"/>
          <w:szCs w:val="24"/>
        </w:rPr>
        <w:t>在全国22个省（自治区、直辖市）及香港特别行政区，设立了362家分支机构，实现了对浙江大本营、长三角、粤港澳大湾区、环渤海、海西地区和部分中西部地区的有效覆盖。在英国《银行家》(The Banker)杂志“2024年全球银行1000强”榜单中，</w:t>
      </w:r>
      <w:proofErr w:type="gramStart"/>
      <w:r w:rsidRPr="00855E87">
        <w:rPr>
          <w:rFonts w:asciiTheme="minorEastAsia" w:hAnsiTheme="minorEastAsia" w:cs="Arial" w:hint="eastAsia"/>
          <w:bCs/>
          <w:sz w:val="24"/>
          <w:szCs w:val="24"/>
        </w:rPr>
        <w:t>浙商银行</w:t>
      </w:r>
      <w:proofErr w:type="gramEnd"/>
      <w:r w:rsidRPr="00855E87">
        <w:rPr>
          <w:rFonts w:asciiTheme="minorEastAsia" w:hAnsiTheme="minorEastAsia" w:cs="Arial" w:hint="eastAsia"/>
          <w:bCs/>
          <w:sz w:val="24"/>
          <w:szCs w:val="24"/>
        </w:rPr>
        <w:t>按一级资本计位列84位。中诚信国际</w:t>
      </w:r>
      <w:proofErr w:type="gramStart"/>
      <w:r w:rsidRPr="00855E87">
        <w:rPr>
          <w:rFonts w:asciiTheme="minorEastAsia" w:hAnsiTheme="minorEastAsia" w:cs="Arial" w:hint="eastAsia"/>
          <w:bCs/>
          <w:sz w:val="24"/>
          <w:szCs w:val="24"/>
        </w:rPr>
        <w:t>给予浙商银行</w:t>
      </w:r>
      <w:proofErr w:type="gramEnd"/>
      <w:r w:rsidRPr="00855E87">
        <w:rPr>
          <w:rFonts w:asciiTheme="minorEastAsia" w:hAnsiTheme="minorEastAsia" w:cs="Arial" w:hint="eastAsia"/>
          <w:bCs/>
          <w:sz w:val="24"/>
          <w:szCs w:val="24"/>
        </w:rPr>
        <w:t xml:space="preserve">金融机构评级中最高等级AAA主体信用评级。　</w:t>
      </w:r>
    </w:p>
    <w:p w14:paraId="671554A0" w14:textId="77777777" w:rsidR="00855E87" w:rsidRPr="00855E87" w:rsidRDefault="00855E87" w:rsidP="00855E87">
      <w:pPr>
        <w:tabs>
          <w:tab w:val="left" w:pos="1110"/>
        </w:tabs>
        <w:adjustRightInd w:val="0"/>
        <w:snapToGrid w:val="0"/>
        <w:spacing w:line="360" w:lineRule="auto"/>
        <w:ind w:firstLineChars="200" w:firstLine="480"/>
        <w:rPr>
          <w:rFonts w:asciiTheme="minorEastAsia" w:hAnsiTheme="minorEastAsia" w:cs="Arial" w:hint="eastAsia"/>
          <w:bCs/>
          <w:sz w:val="24"/>
          <w:szCs w:val="24"/>
        </w:rPr>
      </w:pPr>
      <w:proofErr w:type="gramStart"/>
      <w:r w:rsidRPr="00855E87">
        <w:rPr>
          <w:rFonts w:asciiTheme="minorEastAsia" w:hAnsiTheme="minorEastAsia" w:cs="Arial" w:hint="eastAsia"/>
          <w:bCs/>
          <w:sz w:val="24"/>
          <w:szCs w:val="24"/>
        </w:rPr>
        <w:t>浙商银行</w:t>
      </w:r>
      <w:proofErr w:type="gramEnd"/>
      <w:r w:rsidRPr="00855E87">
        <w:rPr>
          <w:rFonts w:asciiTheme="minorEastAsia" w:hAnsiTheme="minorEastAsia" w:cs="Arial" w:hint="eastAsia"/>
          <w:bCs/>
          <w:sz w:val="24"/>
          <w:szCs w:val="24"/>
        </w:rPr>
        <w:t>资产托管部是总行独立的一级管理部门，下设业务管理中心、营销中心、运营中心、监督中心、数字化中心等5个二级部门，保证了托管业务前、中、后台的完整与独立。截至2024年12月31日，</w:t>
      </w:r>
      <w:proofErr w:type="gramStart"/>
      <w:r w:rsidRPr="00855E87">
        <w:rPr>
          <w:rFonts w:asciiTheme="minorEastAsia" w:hAnsiTheme="minorEastAsia" w:cs="Arial" w:hint="eastAsia"/>
          <w:bCs/>
          <w:sz w:val="24"/>
          <w:szCs w:val="24"/>
        </w:rPr>
        <w:t>浙商银行</w:t>
      </w:r>
      <w:proofErr w:type="gramEnd"/>
      <w:r w:rsidRPr="00855E87">
        <w:rPr>
          <w:rFonts w:asciiTheme="minorEastAsia" w:hAnsiTheme="minorEastAsia" w:cs="Arial" w:hint="eastAsia"/>
          <w:bCs/>
          <w:sz w:val="24"/>
          <w:szCs w:val="24"/>
        </w:rPr>
        <w:t>资产托管部从业人员共50名，估值清算合作机构派驻人员18人。</w:t>
      </w:r>
    </w:p>
    <w:p w14:paraId="6253BC55" w14:textId="77777777" w:rsidR="00855E87" w:rsidRDefault="00855E87" w:rsidP="00855E87">
      <w:pPr>
        <w:tabs>
          <w:tab w:val="left" w:pos="1110"/>
        </w:tabs>
        <w:adjustRightInd w:val="0"/>
        <w:snapToGrid w:val="0"/>
        <w:spacing w:line="360" w:lineRule="auto"/>
        <w:ind w:firstLineChars="200" w:firstLine="480"/>
        <w:rPr>
          <w:rFonts w:asciiTheme="minorEastAsia" w:hAnsiTheme="minorEastAsia" w:cs="Arial" w:hint="eastAsia"/>
          <w:bCs/>
          <w:sz w:val="24"/>
          <w:szCs w:val="24"/>
        </w:rPr>
      </w:pPr>
      <w:proofErr w:type="gramStart"/>
      <w:r w:rsidRPr="00855E87">
        <w:rPr>
          <w:rFonts w:asciiTheme="minorEastAsia" w:hAnsiTheme="minorEastAsia" w:cs="Arial" w:hint="eastAsia"/>
          <w:bCs/>
          <w:sz w:val="24"/>
          <w:szCs w:val="24"/>
        </w:rPr>
        <w:t>浙商银行</w:t>
      </w:r>
      <w:proofErr w:type="gramEnd"/>
      <w:r w:rsidRPr="00855E87">
        <w:rPr>
          <w:rFonts w:asciiTheme="minorEastAsia" w:hAnsiTheme="minorEastAsia" w:cs="Arial" w:hint="eastAsia"/>
          <w:bCs/>
          <w:sz w:val="24"/>
          <w:szCs w:val="24"/>
        </w:rPr>
        <w:t>于2013年11月13日取得基金托管资格。截至2024年12月31日，</w:t>
      </w:r>
      <w:proofErr w:type="gramStart"/>
      <w:r w:rsidRPr="00855E87">
        <w:rPr>
          <w:rFonts w:asciiTheme="minorEastAsia" w:hAnsiTheme="minorEastAsia" w:cs="Arial" w:hint="eastAsia"/>
          <w:bCs/>
          <w:sz w:val="24"/>
          <w:szCs w:val="24"/>
        </w:rPr>
        <w:t>浙商银行</w:t>
      </w:r>
      <w:proofErr w:type="gramEnd"/>
      <w:r w:rsidRPr="00855E87">
        <w:rPr>
          <w:rFonts w:asciiTheme="minorEastAsia" w:hAnsiTheme="minorEastAsia" w:cs="Arial" w:hint="eastAsia"/>
          <w:bCs/>
          <w:sz w:val="24"/>
          <w:szCs w:val="24"/>
        </w:rPr>
        <w:t>托管证券投资基金265只，托管基金的基金资产净值合计5237.68亿元，基金份额合计5055.80亿份。</w:t>
      </w:r>
    </w:p>
    <w:p w14:paraId="26895CE7" w14:textId="4759FD35" w:rsidR="00534DF8" w:rsidRPr="00534DF8" w:rsidRDefault="00534DF8" w:rsidP="00855E87">
      <w:pPr>
        <w:tabs>
          <w:tab w:val="left" w:pos="1110"/>
        </w:tabs>
        <w:adjustRightInd w:val="0"/>
        <w:snapToGrid w:val="0"/>
        <w:spacing w:line="360" w:lineRule="auto"/>
        <w:ind w:firstLineChars="200" w:firstLine="482"/>
        <w:rPr>
          <w:rFonts w:asciiTheme="minorEastAsia" w:hAnsiTheme="minorEastAsia" w:cs="Arial" w:hint="eastAsia"/>
          <w:bCs/>
          <w:sz w:val="24"/>
          <w:szCs w:val="24"/>
        </w:rPr>
      </w:pPr>
      <w:r w:rsidRPr="00693DDD">
        <w:rPr>
          <w:rFonts w:asciiTheme="minorEastAsia" w:hAnsiTheme="minorEastAsia" w:cs="Arial" w:hint="eastAsia"/>
          <w:b/>
          <w:bCs/>
          <w:sz w:val="24"/>
          <w:szCs w:val="24"/>
        </w:rPr>
        <w:t xml:space="preserve">二、基金托管人内部风险控制制度说明 </w:t>
      </w:r>
    </w:p>
    <w:p w14:paraId="7EBDC5EF" w14:textId="77777777" w:rsidR="00534DF8" w:rsidRPr="00534DF8" w:rsidRDefault="00534DF8" w:rsidP="00534DF8">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534DF8">
        <w:rPr>
          <w:rFonts w:asciiTheme="minorEastAsia" w:hAnsiTheme="minorEastAsia" w:cs="Arial" w:hint="eastAsia"/>
          <w:bCs/>
          <w:sz w:val="24"/>
          <w:szCs w:val="24"/>
        </w:rPr>
        <w:lastRenderedPageBreak/>
        <w:t>1.内部控制目标</w:t>
      </w:r>
    </w:p>
    <w:p w14:paraId="515F4E9F" w14:textId="77777777" w:rsidR="00534DF8" w:rsidRPr="00534DF8" w:rsidRDefault="00534DF8" w:rsidP="00534DF8">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534DF8">
        <w:rPr>
          <w:rFonts w:asciiTheme="minorEastAsia" w:hAnsiTheme="minorEastAsia" w:cs="Arial" w:hint="eastAsia"/>
          <w:bCs/>
          <w:sz w:val="24"/>
          <w:szCs w:val="24"/>
        </w:rPr>
        <w:t>严格遵守国家有关托管业务的法律、法规、规章、行政性规定、行业准则和行内有关管理规定，守法经营、规范运作、严格监察，确保业务的稳健运行，保证基金资产的安全完整，确保有关信息的真实、准确、完整、及时，保护基金份额持有人的合法权益。</w:t>
      </w:r>
    </w:p>
    <w:p w14:paraId="5057F9B6" w14:textId="77777777" w:rsidR="00534DF8" w:rsidRPr="00534DF8" w:rsidRDefault="00534DF8" w:rsidP="00534DF8">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534DF8">
        <w:rPr>
          <w:rFonts w:asciiTheme="minorEastAsia" w:hAnsiTheme="minorEastAsia" w:cs="Arial" w:hint="eastAsia"/>
          <w:bCs/>
          <w:sz w:val="24"/>
          <w:szCs w:val="24"/>
        </w:rPr>
        <w:t>2.内部控制组织结构</w:t>
      </w:r>
    </w:p>
    <w:p w14:paraId="5A138DB0" w14:textId="77777777" w:rsidR="00534DF8" w:rsidRPr="00534DF8" w:rsidRDefault="00534DF8" w:rsidP="00534DF8">
      <w:pPr>
        <w:tabs>
          <w:tab w:val="left" w:pos="1110"/>
        </w:tabs>
        <w:adjustRightInd w:val="0"/>
        <w:snapToGrid w:val="0"/>
        <w:spacing w:line="360" w:lineRule="auto"/>
        <w:ind w:firstLineChars="200" w:firstLine="480"/>
        <w:rPr>
          <w:rFonts w:asciiTheme="minorEastAsia" w:hAnsiTheme="minorEastAsia" w:cs="Arial" w:hint="eastAsia"/>
          <w:bCs/>
          <w:sz w:val="24"/>
          <w:szCs w:val="24"/>
        </w:rPr>
      </w:pPr>
      <w:proofErr w:type="gramStart"/>
      <w:r w:rsidRPr="00534DF8">
        <w:rPr>
          <w:rFonts w:asciiTheme="minorEastAsia" w:hAnsiTheme="minorEastAsia" w:cs="Arial" w:hint="eastAsia"/>
          <w:bCs/>
          <w:sz w:val="24"/>
          <w:szCs w:val="24"/>
        </w:rPr>
        <w:t>浙商银行</w:t>
      </w:r>
      <w:proofErr w:type="gramEnd"/>
      <w:r w:rsidRPr="00534DF8">
        <w:rPr>
          <w:rFonts w:asciiTheme="minorEastAsia" w:hAnsiTheme="minorEastAsia" w:cs="Arial" w:hint="eastAsia"/>
          <w:bCs/>
          <w:sz w:val="24"/>
          <w:szCs w:val="24"/>
        </w:rPr>
        <w:t>总行资产托管部是全行资产托管业务的管理和运营部门，资产托管部专门设置了监督稽核团队，配备了专职内部监察稽核人员负责托管业务的内部控制和风险管理工作，具有独立行使监督稽核工作的职权和能力。</w:t>
      </w:r>
    </w:p>
    <w:p w14:paraId="3B2F7939" w14:textId="77777777" w:rsidR="00534DF8" w:rsidRPr="00534DF8" w:rsidRDefault="00534DF8" w:rsidP="00534DF8">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534DF8">
        <w:rPr>
          <w:rFonts w:asciiTheme="minorEastAsia" w:hAnsiTheme="minorEastAsia" w:cs="Arial" w:hint="eastAsia"/>
          <w:bCs/>
          <w:sz w:val="24"/>
          <w:szCs w:val="24"/>
        </w:rPr>
        <w:t>3.内部风险控制原则</w:t>
      </w:r>
    </w:p>
    <w:p w14:paraId="274A42D8" w14:textId="77777777" w:rsidR="00534DF8" w:rsidRPr="00534DF8" w:rsidRDefault="00534DF8" w:rsidP="00534DF8">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534DF8">
        <w:rPr>
          <w:rFonts w:asciiTheme="minorEastAsia" w:hAnsiTheme="minorEastAsia" w:cs="Arial" w:hint="eastAsia"/>
          <w:bCs/>
          <w:sz w:val="24"/>
          <w:szCs w:val="24"/>
        </w:rPr>
        <w:t>资产托管部建立了托管系统和完善的制度控制体系。制度体系包含管理制度、实施细则、岗位职责、业务操作流程，可以保证托管业务的规范操作、顺利进行；业务人员具备从业资格；业务管理严格实行复核、审核、检查制度，授权工作实行集中控制，业务印章按规程保管、存放、使用，账户资料严格保管，制约机制严格有效；业务</w:t>
      </w:r>
      <w:proofErr w:type="gramStart"/>
      <w:r w:rsidRPr="00534DF8">
        <w:rPr>
          <w:rFonts w:asciiTheme="minorEastAsia" w:hAnsiTheme="minorEastAsia" w:cs="Arial" w:hint="eastAsia"/>
          <w:bCs/>
          <w:sz w:val="24"/>
          <w:szCs w:val="24"/>
        </w:rPr>
        <w:t>操作区</w:t>
      </w:r>
      <w:proofErr w:type="gramEnd"/>
      <w:r w:rsidRPr="00534DF8">
        <w:rPr>
          <w:rFonts w:asciiTheme="minorEastAsia" w:hAnsiTheme="minorEastAsia" w:cs="Arial" w:hint="eastAsia"/>
          <w:bCs/>
          <w:sz w:val="24"/>
          <w:szCs w:val="24"/>
        </w:rPr>
        <w:t>专门设置，封闭管理，实施音像监控；业务信息由专职信息披露人负责，防止泄密；业务实现自动化操作，防止人为事故的发生，技术系统完整、独立。</w:t>
      </w:r>
    </w:p>
    <w:p w14:paraId="66F328B7" w14:textId="77777777" w:rsidR="00534DF8" w:rsidRPr="00534DF8" w:rsidRDefault="00534DF8" w:rsidP="00693DDD">
      <w:pPr>
        <w:tabs>
          <w:tab w:val="left" w:pos="1110"/>
        </w:tabs>
        <w:adjustRightInd w:val="0"/>
        <w:snapToGrid w:val="0"/>
        <w:spacing w:line="360" w:lineRule="auto"/>
        <w:ind w:firstLineChars="200" w:firstLine="482"/>
        <w:rPr>
          <w:rFonts w:asciiTheme="minorEastAsia" w:hAnsiTheme="minorEastAsia" w:cs="Arial" w:hint="eastAsia"/>
          <w:bCs/>
          <w:sz w:val="24"/>
          <w:szCs w:val="24"/>
        </w:rPr>
      </w:pPr>
      <w:r w:rsidRPr="00693DDD">
        <w:rPr>
          <w:rFonts w:asciiTheme="minorEastAsia" w:hAnsiTheme="minorEastAsia" w:cs="Arial" w:hint="eastAsia"/>
          <w:b/>
          <w:bCs/>
          <w:sz w:val="24"/>
          <w:szCs w:val="24"/>
        </w:rPr>
        <w:t>三、基金托管人对基金管理人运作基金进行监督的方法和程序</w:t>
      </w:r>
    </w:p>
    <w:p w14:paraId="196DE2ED" w14:textId="19A9AE2C" w:rsidR="00534DF8" w:rsidRPr="00534DF8" w:rsidRDefault="00534DF8" w:rsidP="00534DF8">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534DF8">
        <w:rPr>
          <w:rFonts w:asciiTheme="minorEastAsia" w:hAnsiTheme="minorEastAsia" w:cs="Arial" w:hint="eastAsia"/>
          <w:bCs/>
          <w:sz w:val="24"/>
          <w:szCs w:val="24"/>
        </w:rPr>
        <w:t>基金托管人负有对基金管理人的投资运作行使监督权的职责。根据《基金法》、《运作办法》、基金合同及其他有关规定，托管人对基金的投资对象和范围、投资组合比例、投资限制、费用的计提和支付方式、基金会计核算、基金资产估值和基金净值的计算、收益分配、申购赎回以及其他有关基金投资和运作的事项，对基金管理人进行业务监督、核查。</w:t>
      </w:r>
    </w:p>
    <w:p w14:paraId="27A76DE6" w14:textId="0D6AEC9A" w:rsidR="00534DF8" w:rsidRPr="00534DF8" w:rsidRDefault="00534DF8" w:rsidP="00534DF8">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534DF8">
        <w:rPr>
          <w:rFonts w:asciiTheme="minorEastAsia" w:hAnsiTheme="minorEastAsia" w:cs="Arial" w:hint="eastAsia"/>
          <w:bCs/>
          <w:sz w:val="24"/>
          <w:szCs w:val="24"/>
        </w:rPr>
        <w:t xml:space="preserve">基金托管人发现基金管理人有违反《基金法》、《运作办法》、基金合同和有关法律法规规定的行为，应及时以书面形式通知基金管理人限期纠正，基金管理人收到通知后应及时核对并以书面形式对基金托管人发出回函。在限期内，基金托管人有权随时对通知事项进行复查，督促基金管理人改正。基金管理人对基金托管人通知的违规事项未能在限期内纠正的，基金托管人应报告中国证监会。  </w:t>
      </w:r>
    </w:p>
    <w:p w14:paraId="5D2FD530" w14:textId="77777777" w:rsidR="00534DF8" w:rsidRPr="00534DF8" w:rsidRDefault="00534DF8" w:rsidP="00534DF8">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534DF8">
        <w:rPr>
          <w:rFonts w:asciiTheme="minorEastAsia" w:hAnsiTheme="minorEastAsia" w:cs="Arial" w:hint="eastAsia"/>
          <w:bCs/>
          <w:sz w:val="24"/>
          <w:szCs w:val="24"/>
        </w:rPr>
        <w:t>基金托管人发现基金管理人有重大违规行为，立即报告中国证监会，同时，通知基金管理人限期纠正，并将纠正结果报告中国证监会。</w:t>
      </w:r>
    </w:p>
    <w:p w14:paraId="0F127AF7" w14:textId="77777777" w:rsidR="00534DF8" w:rsidRPr="00534DF8" w:rsidRDefault="00534DF8" w:rsidP="00534DF8">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534DF8">
        <w:rPr>
          <w:rFonts w:asciiTheme="minorEastAsia" w:hAnsiTheme="minorEastAsia" w:cs="Arial" w:hint="eastAsia"/>
          <w:bCs/>
          <w:sz w:val="24"/>
          <w:szCs w:val="24"/>
        </w:rPr>
        <w:lastRenderedPageBreak/>
        <w:t>基金托管人发现基金管理人的指令违反法律、行政法规和其他有关规定，或者违反基金合同约定的，应当拒绝执行，立即通知基金管理人，并及时向中国证监会报告。</w:t>
      </w:r>
    </w:p>
    <w:p w14:paraId="783F038D" w14:textId="59CDF322" w:rsidR="009D10D8" w:rsidRDefault="00534DF8" w:rsidP="00693DDD">
      <w:pPr>
        <w:widowControl/>
        <w:spacing w:line="360" w:lineRule="auto"/>
        <w:ind w:firstLine="420"/>
        <w:jc w:val="left"/>
        <w:rPr>
          <w:rFonts w:asciiTheme="minorEastAsia" w:hAnsiTheme="minorEastAsia" w:cs="Arial" w:hint="eastAsia"/>
          <w:bCs/>
          <w:sz w:val="24"/>
          <w:szCs w:val="24"/>
        </w:rPr>
      </w:pPr>
      <w:r w:rsidRPr="00534DF8">
        <w:rPr>
          <w:rFonts w:asciiTheme="minorEastAsia" w:hAnsiTheme="minorEastAsia" w:cs="Arial" w:hint="eastAsia"/>
          <w:bCs/>
          <w:sz w:val="24"/>
          <w:szCs w:val="24"/>
        </w:rPr>
        <w:t>基金托管人发现基金管理人依据交易程序已经生效的指令违反法律、行政法规和其他有关规定，或者违反基金合同约定的，应当立即通知基金管理人，并及时向中国证监会报告。</w:t>
      </w:r>
      <w:r w:rsidR="009E4577">
        <w:rPr>
          <w:rFonts w:asciiTheme="minorEastAsia" w:hAnsiTheme="minorEastAsia" w:cs="Arial"/>
          <w:bCs/>
          <w:sz w:val="24"/>
          <w:szCs w:val="24"/>
        </w:rPr>
        <w:br w:type="page"/>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p>
    <w:p w14:paraId="247834AE" w14:textId="77777777" w:rsidR="009D10D8" w:rsidRDefault="009E4577">
      <w:pPr>
        <w:pStyle w:val="1"/>
        <w:jc w:val="center"/>
        <w:rPr>
          <w:sz w:val="30"/>
          <w:szCs w:val="30"/>
        </w:rPr>
      </w:pPr>
      <w:bookmarkStart w:id="90" w:name="_Toc416264541"/>
      <w:bookmarkStart w:id="91" w:name="_Toc263092313"/>
      <w:bookmarkStart w:id="92" w:name="_Toc214873594"/>
      <w:bookmarkStart w:id="93" w:name="_Toc173322781"/>
      <w:bookmarkStart w:id="94" w:name="_Toc141703886"/>
      <w:bookmarkStart w:id="95" w:name="_Toc123102453"/>
      <w:bookmarkStart w:id="96" w:name="_Toc17244"/>
      <w:bookmarkStart w:id="97" w:name="_Toc79392606"/>
      <w:bookmarkStart w:id="98" w:name="_Toc139991736"/>
      <w:bookmarkStart w:id="99" w:name="_Toc7920"/>
      <w:bookmarkStart w:id="100" w:name="_Toc352229752"/>
      <w:bookmarkStart w:id="101" w:name="_Toc11081"/>
      <w:bookmarkStart w:id="102" w:name="_Toc123112234"/>
      <w:bookmarkStart w:id="103" w:name="_Toc20733"/>
      <w:bookmarkStart w:id="104" w:name="_Toc23822"/>
      <w:bookmarkStart w:id="105" w:name="_Toc4003"/>
      <w:bookmarkStart w:id="106" w:name="_Toc1427"/>
      <w:bookmarkStart w:id="107" w:name="_Toc610"/>
      <w:bookmarkStart w:id="108" w:name="_Toc48649707"/>
      <w:bookmarkStart w:id="109" w:name="_Toc352229751"/>
      <w:bookmarkStart w:id="110" w:name="_Toc123051452"/>
      <w:bookmarkStart w:id="111" w:name="_Toc10463"/>
      <w:bookmarkStart w:id="112" w:name="_Toc1270"/>
      <w:bookmarkStart w:id="113" w:name="_Toc98560352"/>
      <w:bookmarkStart w:id="114" w:name="_Toc23261"/>
      <w:r>
        <w:rPr>
          <w:rFonts w:hint="eastAsia"/>
          <w:sz w:val="30"/>
          <w:szCs w:val="30"/>
        </w:rPr>
        <w:lastRenderedPageBreak/>
        <w:t>第五部分</w:t>
      </w:r>
      <w:r>
        <w:rPr>
          <w:sz w:val="30"/>
          <w:szCs w:val="30"/>
        </w:rPr>
        <w:t xml:space="preserve">  </w:t>
      </w:r>
      <w:r>
        <w:rPr>
          <w:rFonts w:hint="eastAsia"/>
          <w:sz w:val="30"/>
          <w:szCs w:val="30"/>
        </w:rPr>
        <w:t>相关服务机构</w:t>
      </w:r>
      <w:bookmarkEnd w:id="90"/>
      <w:bookmarkEnd w:id="91"/>
      <w:bookmarkEnd w:id="92"/>
      <w:bookmarkEnd w:id="93"/>
    </w:p>
    <w:p w14:paraId="3289C5D0" w14:textId="77777777" w:rsidR="009D10D8" w:rsidRDefault="009E4577">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一、基金份额发售机构</w:t>
      </w:r>
    </w:p>
    <w:p w14:paraId="6A7684CB" w14:textId="77777777" w:rsidR="009D10D8" w:rsidRDefault="009E4577">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1、直销机构：富荣基金管理有限公司直销中心</w:t>
      </w:r>
    </w:p>
    <w:p w14:paraId="5B8CCBF9" w14:textId="5D5D6738" w:rsidR="00B54D6B" w:rsidRPr="00B54D6B" w:rsidRDefault="009E4577">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注册地址：</w:t>
      </w:r>
      <w:r w:rsidR="00B54D6B" w:rsidRPr="00B54D6B">
        <w:rPr>
          <w:rFonts w:asciiTheme="minorEastAsia" w:hAnsiTheme="minorEastAsia" w:cs="Arial" w:hint="eastAsia"/>
          <w:sz w:val="24"/>
          <w:szCs w:val="24"/>
        </w:rPr>
        <w:t>广东省广州市南沙区横</w:t>
      </w:r>
      <w:proofErr w:type="gramStart"/>
      <w:r w:rsidR="00B54D6B" w:rsidRPr="00B54D6B">
        <w:rPr>
          <w:rFonts w:asciiTheme="minorEastAsia" w:hAnsiTheme="minorEastAsia" w:cs="Arial" w:hint="eastAsia"/>
          <w:sz w:val="24"/>
          <w:szCs w:val="24"/>
        </w:rPr>
        <w:t>沥</w:t>
      </w:r>
      <w:proofErr w:type="gramEnd"/>
      <w:r w:rsidR="00B54D6B" w:rsidRPr="00B54D6B">
        <w:rPr>
          <w:rFonts w:asciiTheme="minorEastAsia" w:hAnsiTheme="minorEastAsia" w:cs="Arial" w:hint="eastAsia"/>
          <w:sz w:val="24"/>
          <w:szCs w:val="24"/>
        </w:rPr>
        <w:t>镇汇通二街2号3110房</w:t>
      </w:r>
    </w:p>
    <w:p w14:paraId="79307A70" w14:textId="77777777" w:rsidR="009D10D8" w:rsidRDefault="009E4577">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深圳市福田区八卦四路52号安吉尔大厦24层</w:t>
      </w:r>
    </w:p>
    <w:p w14:paraId="53D603F6" w14:textId="634DC8E0" w:rsidR="009D10D8" w:rsidRDefault="009E4577">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w:t>
      </w:r>
      <w:r w:rsidR="00B54D6B" w:rsidRPr="00B54D6B">
        <w:rPr>
          <w:rFonts w:asciiTheme="minorEastAsia" w:hAnsiTheme="minorEastAsia" w:cs="Arial" w:hint="eastAsia"/>
          <w:sz w:val="24"/>
          <w:szCs w:val="24"/>
        </w:rPr>
        <w:t>王亦伟</w:t>
      </w:r>
    </w:p>
    <w:p w14:paraId="5462D626" w14:textId="77777777" w:rsidR="009D10D8" w:rsidRDefault="009E4577">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电话：0755-84356629</w:t>
      </w:r>
    </w:p>
    <w:p w14:paraId="6EBE4B37" w14:textId="77777777" w:rsidR="009D10D8" w:rsidRDefault="009E4577">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15586DE6" w14:textId="404ED51C" w:rsidR="009D10D8" w:rsidRDefault="009E4577">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客服电话：4006855600</w:t>
      </w:r>
    </w:p>
    <w:p w14:paraId="2B525F87" w14:textId="3A202B0B" w:rsidR="00BE5886" w:rsidRDefault="00BE5886">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联系人：</w:t>
      </w:r>
      <w:r w:rsidR="000820F4" w:rsidRPr="000820F4">
        <w:rPr>
          <w:rFonts w:asciiTheme="minorEastAsia" w:hAnsiTheme="minorEastAsia" w:cs="Arial" w:hint="eastAsia"/>
          <w:sz w:val="24"/>
          <w:szCs w:val="24"/>
        </w:rPr>
        <w:t>罗艳</w:t>
      </w:r>
    </w:p>
    <w:p w14:paraId="7C7CE033" w14:textId="77777777" w:rsidR="009D10D8" w:rsidRDefault="009E4577">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网址：www.furamc.com.cn</w:t>
      </w:r>
    </w:p>
    <w:p w14:paraId="6E4D0946" w14:textId="77777777" w:rsidR="00DF2AC6" w:rsidRDefault="00627E69" w:rsidP="00026284">
      <w:pPr>
        <w:tabs>
          <w:tab w:val="left" w:pos="540"/>
        </w:tabs>
        <w:adjustRightInd w:val="0"/>
        <w:snapToGrid w:val="0"/>
        <w:spacing w:line="360" w:lineRule="auto"/>
        <w:rPr>
          <w:rFonts w:asciiTheme="minorEastAsia" w:hAnsiTheme="minorEastAsia" w:cs="Arial" w:hint="eastAsia"/>
          <w:sz w:val="24"/>
          <w:szCs w:val="24"/>
        </w:rPr>
      </w:pPr>
      <w:r>
        <w:rPr>
          <w:rFonts w:asciiTheme="minorEastAsia" w:hAnsiTheme="minorEastAsia" w:cs="Arial"/>
          <w:sz w:val="24"/>
          <w:szCs w:val="24"/>
        </w:rPr>
        <w:tab/>
      </w:r>
      <w:r w:rsidR="009E4577">
        <w:rPr>
          <w:rFonts w:asciiTheme="minorEastAsia" w:hAnsiTheme="minorEastAsia" w:cs="Arial" w:hint="eastAsia"/>
          <w:sz w:val="24"/>
          <w:szCs w:val="24"/>
        </w:rPr>
        <w:t>2、其他销售机构：</w:t>
      </w:r>
    </w:p>
    <w:p w14:paraId="7BC0D110" w14:textId="79DBB939" w:rsidR="00627E69" w:rsidRPr="00461C13" w:rsidRDefault="009E4577" w:rsidP="00693DDD">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具体名单详</w:t>
      </w:r>
      <w:r w:rsidR="00DF2AC6">
        <w:rPr>
          <w:rFonts w:asciiTheme="minorEastAsia" w:hAnsiTheme="minorEastAsia" w:cs="Arial" w:hint="eastAsia"/>
          <w:sz w:val="24"/>
          <w:szCs w:val="24"/>
        </w:rPr>
        <w:t>见</w:t>
      </w:r>
      <w:r>
        <w:rPr>
          <w:rFonts w:asciiTheme="minorEastAsia" w:hAnsiTheme="minorEastAsia" w:cs="Arial" w:hint="eastAsia"/>
          <w:sz w:val="24"/>
          <w:szCs w:val="24"/>
        </w:rPr>
        <w:t>基金管理人</w:t>
      </w:r>
      <w:r w:rsidR="00DF2AC6">
        <w:rPr>
          <w:rFonts w:asciiTheme="minorEastAsia" w:hAnsiTheme="minorEastAsia" w:cs="Arial" w:hint="eastAsia"/>
          <w:sz w:val="24"/>
          <w:szCs w:val="24"/>
        </w:rPr>
        <w:t>官方</w:t>
      </w:r>
      <w:r>
        <w:rPr>
          <w:rFonts w:asciiTheme="minorEastAsia" w:hAnsiTheme="minorEastAsia" w:cs="Arial" w:hint="eastAsia"/>
          <w:sz w:val="24"/>
          <w:szCs w:val="24"/>
        </w:rPr>
        <w:t>网站。</w:t>
      </w:r>
    </w:p>
    <w:p w14:paraId="11E7E633" w14:textId="77777777" w:rsidR="009D10D8" w:rsidRDefault="009E4577">
      <w:pPr>
        <w:tabs>
          <w:tab w:val="left" w:pos="540"/>
        </w:tabs>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sz w:val="24"/>
          <w:szCs w:val="24"/>
        </w:rPr>
        <w:t>二、登记机构</w:t>
      </w:r>
    </w:p>
    <w:p w14:paraId="0876DBBE" w14:textId="77777777" w:rsidR="009D10D8" w:rsidRDefault="009E4577">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5F0E35A3" w14:textId="002F87DD" w:rsidR="009D10D8" w:rsidRDefault="009E4577" w:rsidP="00207EFA">
      <w:pPr>
        <w:snapToGrid w:val="0"/>
        <w:spacing w:line="360" w:lineRule="auto"/>
        <w:ind w:leftChars="225" w:left="473"/>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w:t>
      </w:r>
      <w:r w:rsidR="00CF24F4" w:rsidRPr="00CF24F4">
        <w:rPr>
          <w:rFonts w:asciiTheme="minorEastAsia" w:hAnsiTheme="minorEastAsia" w:cs="Arial" w:hint="eastAsia"/>
          <w:color w:val="000000"/>
          <w:kern w:val="0"/>
          <w:sz w:val="24"/>
          <w:szCs w:val="24"/>
        </w:rPr>
        <w:t>广东省广州市南沙区横</w:t>
      </w:r>
      <w:proofErr w:type="gramStart"/>
      <w:r w:rsidR="00CF24F4" w:rsidRPr="00CF24F4">
        <w:rPr>
          <w:rFonts w:asciiTheme="minorEastAsia" w:hAnsiTheme="minorEastAsia" w:cs="Arial" w:hint="eastAsia"/>
          <w:color w:val="000000"/>
          <w:kern w:val="0"/>
          <w:sz w:val="24"/>
          <w:szCs w:val="24"/>
        </w:rPr>
        <w:t>沥</w:t>
      </w:r>
      <w:proofErr w:type="gramEnd"/>
      <w:r w:rsidR="00CF24F4" w:rsidRPr="00CF24F4">
        <w:rPr>
          <w:rFonts w:asciiTheme="minorEastAsia" w:hAnsiTheme="minorEastAsia" w:cs="Arial" w:hint="eastAsia"/>
          <w:color w:val="000000"/>
          <w:kern w:val="0"/>
          <w:sz w:val="24"/>
          <w:szCs w:val="24"/>
        </w:rPr>
        <w:t>镇汇通二街2号3110房</w:t>
      </w:r>
      <w:r w:rsidR="00CF24F4">
        <w:rPr>
          <w:rFonts w:asciiTheme="minorEastAsia" w:hAnsiTheme="minorEastAsia" w:cs="Arial"/>
          <w:color w:val="000000"/>
          <w:kern w:val="0"/>
          <w:sz w:val="24"/>
          <w:szCs w:val="24"/>
        </w:rPr>
        <w:br/>
      </w: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color w:val="000000"/>
          <w:kern w:val="0"/>
          <w:sz w:val="24"/>
          <w:szCs w:val="24"/>
        </w:rPr>
        <w:t xml:space="preserve"> </w:t>
      </w:r>
    </w:p>
    <w:p w14:paraId="3F2C95D7" w14:textId="3D5AF04E" w:rsidR="009D10D8" w:rsidRDefault="009E4577">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法定代表人：</w:t>
      </w:r>
      <w:r w:rsidR="00A15FE7" w:rsidRPr="00A15FE7">
        <w:rPr>
          <w:rFonts w:asciiTheme="minorEastAsia" w:hAnsiTheme="minorEastAsia" w:cs="Arial" w:hint="eastAsia"/>
          <w:color w:val="000000"/>
          <w:kern w:val="0"/>
          <w:sz w:val="24"/>
          <w:szCs w:val="24"/>
        </w:rPr>
        <w:t>王亦伟</w:t>
      </w:r>
    </w:p>
    <w:p w14:paraId="2C7D3AF7" w14:textId="77777777" w:rsidR="009D10D8" w:rsidRDefault="009E4577">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联系人：黄文飞</w:t>
      </w:r>
    </w:p>
    <w:p w14:paraId="5B4BD1BF" w14:textId="77777777" w:rsidR="009D10D8" w:rsidRDefault="009E4577">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电话： 0755-84356604</w:t>
      </w:r>
    </w:p>
    <w:p w14:paraId="06BA7930" w14:textId="77777777" w:rsidR="009D10D8" w:rsidRDefault="009E4577">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 0755-83230787</w:t>
      </w:r>
    </w:p>
    <w:p w14:paraId="3AC7D006" w14:textId="77777777" w:rsidR="009D10D8" w:rsidRDefault="009E4577">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1E8448C1"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名称：上海市通力律师事务所</w:t>
      </w:r>
    </w:p>
    <w:p w14:paraId="53E7CE08"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住所：上海市银城中路68号时代金融中心19楼</w:t>
      </w:r>
    </w:p>
    <w:p w14:paraId="7ED7F267"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办公地址：上海市银城中路68号时代金融中心19楼</w:t>
      </w:r>
    </w:p>
    <w:p w14:paraId="3D7B5008"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负责人：韩炯</w:t>
      </w:r>
    </w:p>
    <w:p w14:paraId="3EBA0B10"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电话：021-31358666</w:t>
      </w:r>
    </w:p>
    <w:p w14:paraId="02473B95"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传真：021-31358600</w:t>
      </w:r>
    </w:p>
    <w:p w14:paraId="01C583A5"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经办律师：陆奇、安冬</w:t>
      </w:r>
    </w:p>
    <w:p w14:paraId="1158137C" w14:textId="77777777" w:rsidR="009D10D8" w:rsidRDefault="009E4577">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lastRenderedPageBreak/>
        <w:t>联系人： 陆奇</w:t>
      </w:r>
    </w:p>
    <w:p w14:paraId="7AF02B8B" w14:textId="77777777" w:rsidR="009D10D8" w:rsidRDefault="009E4577">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6AC37237"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名称：安永华明会计师事务所（特殊普通合伙）</w:t>
      </w:r>
    </w:p>
    <w:p w14:paraId="6701A662" w14:textId="7D5DC1DB"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住所：中国北京市东城区东长安街1号东方广场安永大楼</w:t>
      </w:r>
      <w:r w:rsidR="00496E65">
        <w:rPr>
          <w:rFonts w:asciiTheme="minorEastAsia" w:hAnsiTheme="minorEastAsia" w:cs="Arial" w:hint="eastAsia"/>
          <w:kern w:val="0"/>
          <w:sz w:val="24"/>
          <w:szCs w:val="24"/>
        </w:rPr>
        <w:t>17</w:t>
      </w:r>
      <w:r>
        <w:rPr>
          <w:rFonts w:asciiTheme="minorEastAsia" w:hAnsiTheme="minorEastAsia" w:cs="Arial" w:hint="eastAsia"/>
          <w:kern w:val="0"/>
          <w:sz w:val="24"/>
          <w:szCs w:val="24"/>
        </w:rPr>
        <w:t>层</w:t>
      </w:r>
    </w:p>
    <w:p w14:paraId="4558E7DA" w14:textId="10E2DC08"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办公地址：中国北京市东城区东长安街1号东方广场安永大楼</w:t>
      </w:r>
      <w:r w:rsidR="00496E65">
        <w:rPr>
          <w:rFonts w:asciiTheme="minorEastAsia" w:hAnsiTheme="minorEastAsia" w:cs="Arial" w:hint="eastAsia"/>
          <w:kern w:val="0"/>
          <w:sz w:val="24"/>
          <w:szCs w:val="24"/>
        </w:rPr>
        <w:t>17</w:t>
      </w:r>
      <w:r>
        <w:rPr>
          <w:rFonts w:asciiTheme="minorEastAsia" w:hAnsiTheme="minorEastAsia" w:cs="Arial" w:hint="eastAsia"/>
          <w:kern w:val="0"/>
          <w:sz w:val="24"/>
          <w:szCs w:val="24"/>
        </w:rPr>
        <w:t>层</w:t>
      </w:r>
    </w:p>
    <w:p w14:paraId="7EC35F66"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282FB7A7"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49A55536"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66C2E6C2" w14:textId="63CCA7B2"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签字注册会计师：吴翠蓉</w:t>
      </w:r>
      <w:r w:rsidR="00A06F1A">
        <w:rPr>
          <w:rFonts w:asciiTheme="minorEastAsia" w:hAnsiTheme="minorEastAsia" w:cs="Arial" w:hint="eastAsia"/>
          <w:kern w:val="0"/>
          <w:sz w:val="24"/>
          <w:szCs w:val="24"/>
        </w:rPr>
        <w:t>、</w:t>
      </w:r>
      <w:r>
        <w:rPr>
          <w:rFonts w:asciiTheme="minorEastAsia" w:hAnsiTheme="minorEastAsia" w:cs="Arial" w:hint="eastAsia"/>
          <w:kern w:val="0"/>
          <w:sz w:val="24"/>
          <w:szCs w:val="24"/>
        </w:rPr>
        <w:t>高鹤</w:t>
      </w:r>
    </w:p>
    <w:p w14:paraId="5E1BA120"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联系人：吴翠蓉</w:t>
      </w:r>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14:paraId="30854DE5" w14:textId="77777777" w:rsidR="009D10D8" w:rsidRDefault="009D10D8">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9D10D8">
          <w:footerReference w:type="default" r:id="rId18"/>
          <w:pgSz w:w="11906" w:h="16838"/>
          <w:pgMar w:top="1440" w:right="1800" w:bottom="1440" w:left="1800" w:header="851" w:footer="992" w:gutter="0"/>
          <w:pgNumType w:chapStyle="1"/>
          <w:cols w:space="720"/>
          <w:docGrid w:type="lines" w:linePitch="312"/>
        </w:sectPr>
      </w:pPr>
      <w:bookmarkStart w:id="115" w:name="_Toc263092314"/>
      <w:bookmarkStart w:id="116" w:name="_Toc416264542"/>
      <w:bookmarkStart w:id="117" w:name="_Toc29251"/>
      <w:bookmarkStart w:id="118" w:name="_Toc31653"/>
      <w:bookmarkStart w:id="119" w:name="_Toc16859"/>
      <w:bookmarkStart w:id="120" w:name="_Toc123112235"/>
      <w:bookmarkStart w:id="121" w:name="_Toc6405"/>
      <w:bookmarkStart w:id="122" w:name="_Toc12245"/>
      <w:bookmarkStart w:id="123" w:name="_Toc26207"/>
      <w:bookmarkStart w:id="124" w:name="_Toc123051453"/>
      <w:bookmarkStart w:id="125" w:name="_Toc31644"/>
      <w:bookmarkStart w:id="126" w:name="_Toc352229753"/>
      <w:bookmarkStart w:id="127" w:name="_Toc123102454"/>
      <w:bookmarkStart w:id="128" w:name="_Toc31235"/>
      <w:bookmarkStart w:id="129" w:name="_Toc14835"/>
      <w:bookmarkStart w:id="130" w:name="_Toc141703887"/>
      <w:bookmarkStart w:id="131" w:name="_Toc3601"/>
      <w:bookmarkStart w:id="132" w:name="_Toc15143"/>
      <w:bookmarkStart w:id="133" w:name="_Toc98560353"/>
      <w:bookmarkStart w:id="134" w:name="_Toc139991737"/>
    </w:p>
    <w:p w14:paraId="050A0564" w14:textId="396B03EB" w:rsidR="009D10D8" w:rsidRDefault="009E4577">
      <w:pPr>
        <w:pStyle w:val="1"/>
        <w:jc w:val="center"/>
        <w:rPr>
          <w:sz w:val="30"/>
          <w:szCs w:val="30"/>
        </w:rPr>
      </w:pPr>
      <w:bookmarkStart w:id="135" w:name="_Toc173322782"/>
      <w:r>
        <w:rPr>
          <w:rFonts w:hint="eastAsia"/>
          <w:sz w:val="30"/>
          <w:szCs w:val="30"/>
        </w:rPr>
        <w:lastRenderedPageBreak/>
        <w:t>第六部分</w:t>
      </w:r>
      <w:r>
        <w:rPr>
          <w:sz w:val="30"/>
          <w:szCs w:val="30"/>
        </w:rPr>
        <w:t xml:space="preserve">  </w:t>
      </w:r>
      <w:r>
        <w:rPr>
          <w:rFonts w:hint="eastAsia"/>
          <w:sz w:val="30"/>
          <w:szCs w:val="30"/>
        </w:rPr>
        <w:t>基金</w:t>
      </w:r>
      <w:bookmarkEnd w:id="115"/>
      <w:bookmarkEnd w:id="116"/>
      <w:r w:rsidR="005C6A23">
        <w:rPr>
          <w:rFonts w:hint="eastAsia"/>
          <w:sz w:val="30"/>
          <w:szCs w:val="30"/>
        </w:rPr>
        <w:t>的募集</w:t>
      </w:r>
      <w:bookmarkEnd w:id="135"/>
    </w:p>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14:paraId="6C7D6D78" w14:textId="77777777" w:rsidR="009D10D8" w:rsidRDefault="009D10D8">
      <w:pPr>
        <w:autoSpaceDE w:val="0"/>
        <w:autoSpaceDN w:val="0"/>
        <w:adjustRightInd w:val="0"/>
        <w:snapToGrid w:val="0"/>
        <w:spacing w:line="360" w:lineRule="auto"/>
        <w:ind w:firstLineChars="200" w:firstLine="480"/>
        <w:rPr>
          <w:rFonts w:asciiTheme="minorEastAsia" w:hAnsiTheme="minorEastAsia" w:cs="Arial" w:hint="eastAsia"/>
          <w:sz w:val="24"/>
          <w:szCs w:val="24"/>
        </w:rPr>
      </w:pPr>
    </w:p>
    <w:p w14:paraId="22DD91E0" w14:textId="6CDFAF50" w:rsidR="009D10D8" w:rsidRDefault="009E4577">
      <w:pPr>
        <w:autoSpaceDE w:val="0"/>
        <w:autoSpaceDN w:val="0"/>
        <w:adjustRightInd w:val="0"/>
        <w:snapToGrid w:val="0"/>
        <w:spacing w:line="360" w:lineRule="auto"/>
        <w:ind w:firstLineChars="200" w:firstLine="480"/>
        <w:rPr>
          <w:rFonts w:ascii="宋体" w:eastAsia="宋体" w:hAnsi="宋体" w:cs="Arial" w:hint="eastAsia"/>
          <w:sz w:val="24"/>
          <w:szCs w:val="24"/>
        </w:rPr>
      </w:pPr>
      <w:bookmarkStart w:id="136" w:name="_Toc263092315"/>
      <w:bookmarkStart w:id="137" w:name="_Toc214873596"/>
      <w:bookmarkStart w:id="138" w:name="_Toc416264543"/>
      <w:bookmarkStart w:id="139" w:name="_Toc123102455"/>
      <w:bookmarkStart w:id="140" w:name="_Toc25783"/>
      <w:bookmarkStart w:id="141" w:name="_Toc18567"/>
      <w:bookmarkStart w:id="142" w:name="_Toc141703888"/>
      <w:bookmarkStart w:id="143" w:name="_Toc3771"/>
      <w:bookmarkStart w:id="144" w:name="_Toc6447"/>
      <w:bookmarkStart w:id="145" w:name="_Toc352229754"/>
      <w:bookmarkStart w:id="146" w:name="_Toc7058"/>
      <w:bookmarkStart w:id="147" w:name="_Toc11030"/>
      <w:bookmarkStart w:id="148" w:name="_Toc123051454"/>
      <w:bookmarkStart w:id="149" w:name="_Toc123112236"/>
      <w:bookmarkStart w:id="150" w:name="_Toc9706"/>
      <w:bookmarkStart w:id="151" w:name="_Toc139991738"/>
      <w:bookmarkStart w:id="152" w:name="_Toc20768"/>
      <w:bookmarkStart w:id="153" w:name="_Toc3321"/>
      <w:bookmarkStart w:id="154" w:name="_Toc4559"/>
      <w:bookmarkStart w:id="155" w:name="_Toc98560354"/>
      <w:bookmarkStart w:id="156" w:name="_Toc10650"/>
      <w:bookmarkStart w:id="157" w:name="_Toc79392583"/>
      <w:r>
        <w:rPr>
          <w:rFonts w:ascii="宋体" w:eastAsia="宋体" w:hAnsi="宋体" w:cs="Arial" w:hint="eastAsia"/>
          <w:sz w:val="24"/>
          <w:szCs w:val="24"/>
        </w:rPr>
        <w:t>基金管理人按照《基金法》、《运作办法》、《销售办法》、基金合同及其他有关规定募集本基金，于</w:t>
      </w:r>
      <w:r w:rsidR="008C709A">
        <w:rPr>
          <w:rFonts w:ascii="宋体" w:eastAsia="宋体" w:hAnsi="宋体" w:cs="Arial" w:hint="eastAsia"/>
          <w:sz w:val="24"/>
          <w:szCs w:val="24"/>
        </w:rPr>
        <w:t>2</w:t>
      </w:r>
      <w:r w:rsidR="008C709A">
        <w:rPr>
          <w:rFonts w:ascii="宋体" w:eastAsia="宋体" w:hAnsi="宋体" w:cs="Arial"/>
          <w:sz w:val="24"/>
          <w:szCs w:val="24"/>
        </w:rPr>
        <w:t>022</w:t>
      </w:r>
      <w:r>
        <w:rPr>
          <w:rFonts w:ascii="宋体" w:eastAsia="宋体" w:hAnsi="宋体" w:cs="Arial" w:hint="eastAsia"/>
          <w:sz w:val="24"/>
          <w:szCs w:val="24"/>
        </w:rPr>
        <w:t>年</w:t>
      </w:r>
      <w:r w:rsidR="008C709A">
        <w:rPr>
          <w:rFonts w:ascii="宋体" w:eastAsia="宋体" w:hAnsi="宋体" w:cs="Arial"/>
          <w:sz w:val="24"/>
          <w:szCs w:val="24"/>
        </w:rPr>
        <w:t>4</w:t>
      </w:r>
      <w:r>
        <w:rPr>
          <w:rFonts w:ascii="宋体" w:eastAsia="宋体" w:hAnsi="宋体" w:cs="Arial" w:hint="eastAsia"/>
          <w:sz w:val="24"/>
          <w:szCs w:val="24"/>
        </w:rPr>
        <w:t>月</w:t>
      </w:r>
      <w:r w:rsidR="008C709A">
        <w:rPr>
          <w:rFonts w:ascii="宋体" w:eastAsia="宋体" w:hAnsi="宋体" w:cs="Arial"/>
          <w:sz w:val="24"/>
          <w:szCs w:val="24"/>
        </w:rPr>
        <w:t>14</w:t>
      </w:r>
      <w:r>
        <w:rPr>
          <w:rFonts w:ascii="宋体" w:eastAsia="宋体" w:hAnsi="宋体" w:cs="Arial" w:hint="eastAsia"/>
          <w:sz w:val="24"/>
          <w:szCs w:val="24"/>
        </w:rPr>
        <w:t>日</w:t>
      </w:r>
      <w:r>
        <w:rPr>
          <w:rFonts w:ascii="宋体" w:eastAsia="宋体" w:hAnsi="宋体" w:cs="Arial" w:hint="eastAsia"/>
          <w:kern w:val="0"/>
          <w:sz w:val="24"/>
          <w:szCs w:val="24"/>
        </w:rPr>
        <w:t>经中国证监会证监许可</w:t>
      </w:r>
      <w:r w:rsidR="008C709A">
        <w:rPr>
          <w:rFonts w:ascii="宋体" w:eastAsia="宋体" w:hAnsi="宋体" w:cs="Arial" w:hint="eastAsia"/>
          <w:kern w:val="0"/>
          <w:sz w:val="24"/>
          <w:szCs w:val="24"/>
        </w:rPr>
        <w:t>【2</w:t>
      </w:r>
      <w:r w:rsidR="008C709A">
        <w:rPr>
          <w:rFonts w:ascii="宋体" w:eastAsia="宋体" w:hAnsi="宋体" w:cs="Arial"/>
          <w:kern w:val="0"/>
          <w:sz w:val="24"/>
          <w:szCs w:val="24"/>
        </w:rPr>
        <w:t>022</w:t>
      </w:r>
      <w:r w:rsidR="008C709A">
        <w:rPr>
          <w:rFonts w:ascii="宋体" w:eastAsia="宋体" w:hAnsi="宋体" w:cs="Arial" w:hint="eastAsia"/>
          <w:kern w:val="0"/>
          <w:sz w:val="24"/>
          <w:szCs w:val="24"/>
        </w:rPr>
        <w:t>】7</w:t>
      </w:r>
      <w:r w:rsidR="008C709A">
        <w:rPr>
          <w:rFonts w:ascii="宋体" w:eastAsia="宋体" w:hAnsi="宋体" w:cs="Arial"/>
          <w:kern w:val="0"/>
          <w:sz w:val="24"/>
          <w:szCs w:val="24"/>
        </w:rPr>
        <w:t>62</w:t>
      </w:r>
      <w:r>
        <w:rPr>
          <w:rFonts w:ascii="宋体" w:eastAsia="宋体" w:hAnsi="宋体" w:cs="Arial" w:hint="eastAsia"/>
          <w:kern w:val="0"/>
          <w:sz w:val="24"/>
          <w:szCs w:val="24"/>
        </w:rPr>
        <w:t>号文</w:t>
      </w:r>
      <w:r>
        <w:rPr>
          <w:rFonts w:ascii="宋体" w:eastAsia="宋体" w:hAnsi="宋体" w:cs="Arial" w:hint="eastAsia"/>
          <w:sz w:val="24"/>
          <w:szCs w:val="24"/>
        </w:rPr>
        <w:t>准予注册募集</w:t>
      </w:r>
      <w:r w:rsidR="00F06043">
        <w:rPr>
          <w:rFonts w:ascii="宋体" w:eastAsia="宋体" w:hAnsi="宋体" w:cs="Arial" w:hint="eastAsia"/>
          <w:sz w:val="24"/>
          <w:szCs w:val="24"/>
        </w:rPr>
        <w:t>，并于</w:t>
      </w:r>
      <w:r w:rsidR="00F06043" w:rsidRPr="00F06043">
        <w:rPr>
          <w:rFonts w:ascii="宋体" w:eastAsia="宋体" w:hAnsi="宋体" w:cs="Arial" w:hint="eastAsia"/>
          <w:sz w:val="24"/>
          <w:szCs w:val="24"/>
        </w:rPr>
        <w:t>2023年3月8日</w:t>
      </w:r>
      <w:r w:rsidR="00F06043">
        <w:rPr>
          <w:rFonts w:ascii="宋体" w:eastAsia="宋体" w:hAnsi="宋体" w:cs="Arial" w:hint="eastAsia"/>
          <w:sz w:val="24"/>
          <w:szCs w:val="24"/>
        </w:rPr>
        <w:t>获得</w:t>
      </w:r>
      <w:r w:rsidR="00F06043" w:rsidRPr="00F06043">
        <w:rPr>
          <w:rFonts w:ascii="宋体" w:eastAsia="宋体" w:hAnsi="宋体" w:cs="Arial" w:hint="eastAsia"/>
          <w:sz w:val="24"/>
          <w:szCs w:val="24"/>
        </w:rPr>
        <w:t>中国证监会《关于富荣研究优选混合型证券投资基金延期募集备案的回函》（</w:t>
      </w:r>
      <w:proofErr w:type="gramStart"/>
      <w:r w:rsidR="00F06043" w:rsidRPr="00F06043">
        <w:rPr>
          <w:rFonts w:ascii="宋体" w:eastAsia="宋体" w:hAnsi="宋体" w:cs="Arial" w:hint="eastAsia"/>
          <w:sz w:val="24"/>
          <w:szCs w:val="24"/>
        </w:rPr>
        <w:t>机构部函【2023】</w:t>
      </w:r>
      <w:proofErr w:type="gramEnd"/>
      <w:r w:rsidR="00F06043" w:rsidRPr="00F06043">
        <w:rPr>
          <w:rFonts w:ascii="宋体" w:eastAsia="宋体" w:hAnsi="宋体" w:cs="Arial" w:hint="eastAsia"/>
          <w:sz w:val="24"/>
          <w:szCs w:val="24"/>
        </w:rPr>
        <w:t>280号）</w:t>
      </w:r>
      <w:r>
        <w:rPr>
          <w:rFonts w:ascii="宋体" w:eastAsia="宋体" w:hAnsi="宋体" w:cs="Arial" w:hint="eastAsia"/>
          <w:sz w:val="24"/>
          <w:szCs w:val="24"/>
        </w:rPr>
        <w:t>。</w:t>
      </w:r>
      <w:r w:rsidR="005C6A23">
        <w:rPr>
          <w:rFonts w:ascii="宋体" w:eastAsia="宋体" w:hAnsi="宋体" w:cs="Arial" w:hint="eastAsia"/>
          <w:sz w:val="24"/>
          <w:szCs w:val="24"/>
        </w:rPr>
        <w:t>本基金</w:t>
      </w:r>
      <w:r w:rsidR="005C6A23" w:rsidRPr="005C6A23">
        <w:rPr>
          <w:rFonts w:ascii="宋体" w:eastAsia="宋体" w:hAnsi="宋体" w:cs="Arial" w:hint="eastAsia"/>
          <w:sz w:val="24"/>
          <w:szCs w:val="24"/>
        </w:rPr>
        <w:t>于20</w:t>
      </w:r>
      <w:r w:rsidR="005C6A23">
        <w:rPr>
          <w:rFonts w:ascii="宋体" w:eastAsia="宋体" w:hAnsi="宋体" w:cs="Arial" w:hint="eastAsia"/>
          <w:sz w:val="24"/>
          <w:szCs w:val="24"/>
        </w:rPr>
        <w:t>2</w:t>
      </w:r>
      <w:r w:rsidR="00195BA6">
        <w:rPr>
          <w:rFonts w:ascii="宋体" w:eastAsia="宋体" w:hAnsi="宋体" w:cs="Arial" w:hint="eastAsia"/>
          <w:sz w:val="24"/>
          <w:szCs w:val="24"/>
        </w:rPr>
        <w:t>3</w:t>
      </w:r>
      <w:r w:rsidR="005C6A23" w:rsidRPr="005C6A23">
        <w:rPr>
          <w:rFonts w:ascii="宋体" w:eastAsia="宋体" w:hAnsi="宋体" w:cs="Arial" w:hint="eastAsia"/>
          <w:sz w:val="24"/>
          <w:szCs w:val="24"/>
        </w:rPr>
        <w:t>年</w:t>
      </w:r>
      <w:r w:rsidR="00195BA6">
        <w:rPr>
          <w:rFonts w:ascii="宋体" w:eastAsia="宋体" w:hAnsi="宋体" w:cs="Arial" w:hint="eastAsia"/>
          <w:sz w:val="24"/>
          <w:szCs w:val="24"/>
        </w:rPr>
        <w:t>8</w:t>
      </w:r>
      <w:r w:rsidR="005C6A23" w:rsidRPr="005C6A23">
        <w:rPr>
          <w:rFonts w:ascii="宋体" w:eastAsia="宋体" w:hAnsi="宋体" w:cs="Arial" w:hint="eastAsia"/>
          <w:sz w:val="24"/>
          <w:szCs w:val="24"/>
        </w:rPr>
        <w:t>月</w:t>
      </w:r>
      <w:r w:rsidR="00195BA6">
        <w:rPr>
          <w:rFonts w:ascii="宋体" w:eastAsia="宋体" w:hAnsi="宋体" w:cs="Arial" w:hint="eastAsia"/>
          <w:sz w:val="24"/>
          <w:szCs w:val="24"/>
        </w:rPr>
        <w:t>28</w:t>
      </w:r>
      <w:r w:rsidR="005C6A23" w:rsidRPr="005C6A23">
        <w:rPr>
          <w:rFonts w:ascii="宋体" w:eastAsia="宋体" w:hAnsi="宋体" w:cs="Arial" w:hint="eastAsia"/>
          <w:sz w:val="24"/>
          <w:szCs w:val="24"/>
        </w:rPr>
        <w:t>日起通过各销售机构向社会公开募集，截至20</w:t>
      </w:r>
      <w:r w:rsidR="00195BA6">
        <w:rPr>
          <w:rFonts w:ascii="宋体" w:eastAsia="宋体" w:hAnsi="宋体" w:cs="Arial" w:hint="eastAsia"/>
          <w:sz w:val="24"/>
          <w:szCs w:val="24"/>
        </w:rPr>
        <w:t>23</w:t>
      </w:r>
      <w:r w:rsidR="005C6A23" w:rsidRPr="005C6A23">
        <w:rPr>
          <w:rFonts w:ascii="宋体" w:eastAsia="宋体" w:hAnsi="宋体" w:cs="Arial" w:hint="eastAsia"/>
          <w:sz w:val="24"/>
          <w:szCs w:val="24"/>
        </w:rPr>
        <w:t>年</w:t>
      </w:r>
      <w:r w:rsidR="00195BA6">
        <w:rPr>
          <w:rFonts w:ascii="宋体" w:eastAsia="宋体" w:hAnsi="宋体" w:cs="Arial" w:hint="eastAsia"/>
          <w:sz w:val="24"/>
          <w:szCs w:val="24"/>
        </w:rPr>
        <w:t>9</w:t>
      </w:r>
      <w:r w:rsidR="005C6A23" w:rsidRPr="005C6A23">
        <w:rPr>
          <w:rFonts w:ascii="宋体" w:eastAsia="宋体" w:hAnsi="宋体" w:cs="Arial" w:hint="eastAsia"/>
          <w:sz w:val="24"/>
          <w:szCs w:val="24"/>
        </w:rPr>
        <w:t>月</w:t>
      </w:r>
      <w:r w:rsidR="00195BA6">
        <w:rPr>
          <w:rFonts w:ascii="宋体" w:eastAsia="宋体" w:hAnsi="宋体" w:cs="Arial" w:hint="eastAsia"/>
          <w:sz w:val="24"/>
          <w:szCs w:val="24"/>
        </w:rPr>
        <w:t>15</w:t>
      </w:r>
      <w:r w:rsidR="005C6A23" w:rsidRPr="005C6A23">
        <w:rPr>
          <w:rFonts w:ascii="宋体" w:eastAsia="宋体" w:hAnsi="宋体" w:cs="Arial" w:hint="eastAsia"/>
          <w:sz w:val="24"/>
          <w:szCs w:val="24"/>
        </w:rPr>
        <w:t>日，基金募集工作已顺利结束。</w:t>
      </w:r>
    </w:p>
    <w:p w14:paraId="6816A322" w14:textId="66248E8F" w:rsidR="009D10D8" w:rsidRDefault="009D10D8">
      <w:pPr>
        <w:snapToGrid w:val="0"/>
        <w:spacing w:line="360" w:lineRule="auto"/>
        <w:ind w:firstLineChars="200" w:firstLine="482"/>
        <w:rPr>
          <w:rFonts w:ascii="宋体" w:eastAsia="宋体" w:hAnsi="宋体" w:cs="Arial" w:hint="eastAsia"/>
          <w:b/>
          <w:sz w:val="24"/>
          <w:szCs w:val="24"/>
        </w:rPr>
      </w:pPr>
    </w:p>
    <w:p w14:paraId="0C5F6DEE" w14:textId="77777777" w:rsidR="009D10D8" w:rsidRDefault="009D10D8">
      <w:pPr>
        <w:keepNext/>
        <w:keepLines/>
        <w:spacing w:line="360" w:lineRule="auto"/>
        <w:jc w:val="center"/>
        <w:outlineLvl w:val="0"/>
        <w:rPr>
          <w:rFonts w:ascii="Times New Roman" w:eastAsia="宋体" w:hAnsi="Times New Roman" w:cs="Times New Roman"/>
          <w:b/>
          <w:kern w:val="0"/>
          <w:sz w:val="24"/>
          <w:szCs w:val="24"/>
        </w:rPr>
        <w:sectPr w:rsidR="009D10D8">
          <w:footerReference w:type="default" r:id="rId19"/>
          <w:pgSz w:w="11906" w:h="16838"/>
          <w:pgMar w:top="1440" w:right="1800" w:bottom="1440" w:left="1800" w:header="851" w:footer="992" w:gutter="0"/>
          <w:pgNumType w:chapStyle="1"/>
          <w:cols w:space="720"/>
          <w:docGrid w:type="lines" w:linePitch="312"/>
        </w:sectPr>
      </w:pPr>
    </w:p>
    <w:p w14:paraId="4408F836" w14:textId="237DE68F" w:rsidR="009D10D8" w:rsidRDefault="009E4577">
      <w:pPr>
        <w:pStyle w:val="1"/>
        <w:jc w:val="center"/>
        <w:rPr>
          <w:sz w:val="30"/>
          <w:szCs w:val="30"/>
        </w:rPr>
      </w:pPr>
      <w:bookmarkStart w:id="158" w:name="_Toc173322783"/>
      <w:r>
        <w:rPr>
          <w:rFonts w:hint="eastAsia"/>
          <w:sz w:val="30"/>
          <w:szCs w:val="30"/>
        </w:rPr>
        <w:lastRenderedPageBreak/>
        <w:t>第七部分</w:t>
      </w:r>
      <w:r>
        <w:rPr>
          <w:sz w:val="30"/>
          <w:szCs w:val="30"/>
        </w:rPr>
        <w:t xml:space="preserve">  </w:t>
      </w:r>
      <w:r>
        <w:rPr>
          <w:rFonts w:hint="eastAsia"/>
          <w:sz w:val="30"/>
          <w:szCs w:val="30"/>
        </w:rPr>
        <w:t>基金</w:t>
      </w:r>
      <w:bookmarkEnd w:id="136"/>
      <w:bookmarkEnd w:id="137"/>
      <w:r w:rsidR="00195BA6">
        <w:rPr>
          <w:rFonts w:hint="eastAsia"/>
          <w:sz w:val="30"/>
          <w:szCs w:val="30"/>
        </w:rPr>
        <w:t>合同的生效</w:t>
      </w:r>
      <w:bookmarkEnd w:id="138"/>
      <w:bookmarkEnd w:id="158"/>
    </w:p>
    <w:p w14:paraId="71843E16" w14:textId="77777777" w:rsidR="006D0E54" w:rsidRPr="00026284" w:rsidRDefault="00195BA6" w:rsidP="00026284">
      <w:pPr>
        <w:spacing w:line="360" w:lineRule="auto"/>
        <w:ind w:firstLineChars="200" w:firstLine="480"/>
        <w:rPr>
          <w:rFonts w:asciiTheme="minorEastAsia" w:hAnsiTheme="minorEastAsia" w:cs="Times New Roman" w:hint="eastAsia"/>
          <w:sz w:val="24"/>
          <w:szCs w:val="24"/>
        </w:rPr>
      </w:pPr>
      <w:r w:rsidRPr="00026284">
        <w:rPr>
          <w:rFonts w:asciiTheme="minorEastAsia" w:hAnsiTheme="minorEastAsia" w:cs="Times New Roman" w:hint="eastAsia"/>
          <w:sz w:val="24"/>
          <w:szCs w:val="24"/>
        </w:rPr>
        <w:t>根据《基金法》、《运作办法》以及基金合同、招募说明书、基金份额发售公告的有关规定，本基金募集结果符合有关条件，本基金管理人于</w:t>
      </w:r>
      <w:r w:rsidRPr="00026284">
        <w:rPr>
          <w:rFonts w:asciiTheme="minorEastAsia" w:hAnsiTheme="minorEastAsia" w:cs="Times New Roman"/>
          <w:sz w:val="24"/>
          <w:szCs w:val="24"/>
        </w:rPr>
        <w:t xml:space="preserve"> 202</w:t>
      </w:r>
      <w:r w:rsidR="006D0E54" w:rsidRPr="00026284">
        <w:rPr>
          <w:rFonts w:asciiTheme="minorEastAsia" w:hAnsiTheme="minorEastAsia" w:cs="Times New Roman"/>
          <w:sz w:val="24"/>
          <w:szCs w:val="24"/>
        </w:rPr>
        <w:t>3</w:t>
      </w:r>
      <w:r w:rsidRPr="00026284">
        <w:rPr>
          <w:rFonts w:asciiTheme="minorEastAsia" w:hAnsiTheme="minorEastAsia" w:cs="Times New Roman" w:hint="eastAsia"/>
          <w:sz w:val="24"/>
          <w:szCs w:val="24"/>
        </w:rPr>
        <w:t>年</w:t>
      </w:r>
      <w:r w:rsidR="006D0E54" w:rsidRPr="00026284">
        <w:rPr>
          <w:rFonts w:asciiTheme="minorEastAsia" w:hAnsiTheme="minorEastAsia" w:cs="Times New Roman"/>
          <w:sz w:val="24"/>
          <w:szCs w:val="24"/>
        </w:rPr>
        <w:t>9</w:t>
      </w:r>
      <w:r w:rsidRPr="00026284">
        <w:rPr>
          <w:rFonts w:asciiTheme="minorEastAsia" w:hAnsiTheme="minorEastAsia" w:cs="Times New Roman" w:hint="eastAsia"/>
          <w:sz w:val="24"/>
          <w:szCs w:val="24"/>
        </w:rPr>
        <w:t>月</w:t>
      </w:r>
      <w:r w:rsidR="006D0E54" w:rsidRPr="00026284">
        <w:rPr>
          <w:rFonts w:asciiTheme="minorEastAsia" w:hAnsiTheme="minorEastAsia" w:cs="Times New Roman"/>
          <w:sz w:val="24"/>
          <w:szCs w:val="24"/>
        </w:rPr>
        <w:t>19</w:t>
      </w:r>
      <w:r w:rsidRPr="00026284">
        <w:rPr>
          <w:rFonts w:asciiTheme="minorEastAsia" w:hAnsiTheme="minorEastAsia" w:cs="Times New Roman"/>
          <w:sz w:val="24"/>
          <w:szCs w:val="24"/>
        </w:rPr>
        <w:t xml:space="preserve"> </w:t>
      </w:r>
      <w:r w:rsidRPr="00026284">
        <w:rPr>
          <w:rFonts w:asciiTheme="minorEastAsia" w:hAnsiTheme="minorEastAsia" w:cs="Times New Roman" w:hint="eastAsia"/>
          <w:sz w:val="24"/>
          <w:szCs w:val="24"/>
        </w:rPr>
        <w:t>日向中国证监会办理完毕基金备案手续并已获书面确认，基金合同自该日期正式生效。自基金合同生效之日起，本基金管理人正式开始管理本基金。</w:t>
      </w:r>
    </w:p>
    <w:p w14:paraId="0F9F4C62" w14:textId="7F1B0A35" w:rsidR="009D10D8" w:rsidRDefault="009E4577" w:rsidP="00026284">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当在10个工作日内向中国证监会报告并提出解决方案，如持续运作、转换运作方式、与其他基金合并或者终止基金合同等，并在6个月内召集基金份额持有人大会。</w:t>
      </w:r>
    </w:p>
    <w:p w14:paraId="68BF6A6B" w14:textId="77777777" w:rsidR="009D10D8" w:rsidRDefault="009E4577">
      <w:pPr>
        <w:widowControl/>
        <w:spacing w:line="360" w:lineRule="auto"/>
        <w:ind w:firstLineChars="200" w:firstLine="480"/>
        <w:jc w:val="left"/>
        <w:rPr>
          <w:rFonts w:ascii="Arial" w:eastAsia="宋体" w:hAnsi="Arial" w:cs="Times New Roman"/>
          <w:szCs w:val="20"/>
        </w:rPr>
        <w:sectPr w:rsidR="009D10D8">
          <w:footerReference w:type="default" r:id="rId20"/>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 xml:space="preserve">法律法规或中国证监会另有规定时，从其规定。 </w:t>
      </w:r>
      <w:bookmarkStart w:id="159" w:name="_Toc12357171"/>
      <w:bookmarkStart w:id="160" w:name="_Toc416264544"/>
      <w:bookmarkStart w:id="161" w:name="_Toc147463118"/>
      <w:bookmarkStart w:id="162" w:name="_Toc214873597"/>
      <w:bookmarkStart w:id="163" w:name="_Toc263092316"/>
      <w:bookmarkStart w:id="164" w:name="_Toc21073391"/>
      <w:bookmarkStart w:id="165" w:name="_Toc123051455"/>
      <w:bookmarkStart w:id="166" w:name="_Toc16164"/>
      <w:bookmarkStart w:id="167" w:name="_Toc139991739"/>
      <w:bookmarkStart w:id="168" w:name="_Toc21735"/>
      <w:bookmarkStart w:id="169" w:name="_Toc10398"/>
      <w:bookmarkStart w:id="170" w:name="_Toc31821"/>
      <w:bookmarkStart w:id="171" w:name="_Toc3080"/>
      <w:bookmarkStart w:id="172" w:name="_Toc3572"/>
      <w:bookmarkStart w:id="173" w:name="_Toc18769"/>
      <w:bookmarkStart w:id="174" w:name="_Toc1745"/>
      <w:bookmarkStart w:id="175" w:name="_Toc18206"/>
      <w:bookmarkStart w:id="176" w:name="_Toc123102456"/>
      <w:bookmarkStart w:id="177" w:name="_Toc98560355"/>
      <w:bookmarkStart w:id="178" w:name="_Toc725"/>
      <w:bookmarkStart w:id="179" w:name="_Toc141703889"/>
      <w:bookmarkStart w:id="180" w:name="_Toc123112237"/>
      <w:bookmarkStart w:id="181" w:name="_Toc352229755"/>
      <w:bookmarkStart w:id="182" w:name="_Toc3963"/>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14:paraId="12627127" w14:textId="77777777" w:rsidR="009D10D8" w:rsidRDefault="009E4577">
      <w:pPr>
        <w:pStyle w:val="1"/>
        <w:jc w:val="center"/>
        <w:rPr>
          <w:rFonts w:ascii="Arial" w:hAnsi="Arial" w:cs="Arial"/>
          <w:bCs/>
          <w:sz w:val="30"/>
          <w:szCs w:val="30"/>
        </w:rPr>
      </w:pPr>
      <w:bookmarkStart w:id="183" w:name="_Toc173322784"/>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9"/>
      <w:bookmarkEnd w:id="160"/>
      <w:bookmarkEnd w:id="161"/>
      <w:bookmarkEnd w:id="162"/>
      <w:bookmarkEnd w:id="163"/>
      <w:bookmarkEnd w:id="164"/>
      <w:bookmarkEnd w:id="183"/>
    </w:p>
    <w:p w14:paraId="659B9652" w14:textId="77777777" w:rsidR="009D10D8" w:rsidRDefault="009E4577">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一、申购和赎回场所</w:t>
      </w:r>
    </w:p>
    <w:p w14:paraId="1CE2A7A0"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申购与赎回将通过销售机构进行。具体的销售网点将由基金管理人在更新的招募说明书或其他相关公告中列明。基金管理人可根据情况变更或增减销售机构，并在基金管理人网站公示。基金投资者应当在销售机构办理基金销售业务的营业场所或按销售机构提供的其他方式办理基金份额的申购与赎回。</w:t>
      </w:r>
    </w:p>
    <w:p w14:paraId="3E4564D1" w14:textId="77777777" w:rsidR="009D10D8" w:rsidRDefault="009E4577">
      <w:pPr>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二、申购和赎回的开放日及时间</w:t>
      </w:r>
    </w:p>
    <w:p w14:paraId="0739688A"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1、开放日及开放时间</w:t>
      </w:r>
    </w:p>
    <w:p w14:paraId="406C3BF7"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134557A9"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规定媒介上公告。</w:t>
      </w:r>
    </w:p>
    <w:p w14:paraId="6640BB92"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2、申购、赎回开始日及业务办理时间</w:t>
      </w:r>
    </w:p>
    <w:p w14:paraId="1DF31282" w14:textId="39A00777" w:rsidR="009D10D8" w:rsidRDefault="003E608B">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本基金已于2023年10月18日开始办理申购、赎回业务。</w:t>
      </w:r>
    </w:p>
    <w:p w14:paraId="1119BE53"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机构确认接受的，其基金份额申购、赎回价格为下一开放日该类基金份额申购、赎回的价格。</w:t>
      </w:r>
    </w:p>
    <w:p w14:paraId="23A7395D" w14:textId="77777777" w:rsidR="009D10D8" w:rsidRDefault="009E4577">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三、申购与赎回的原则</w:t>
      </w:r>
    </w:p>
    <w:p w14:paraId="61507C00"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1、“未知价”原则，即申购、赎回价格以申请当日收市后计算的该类基金份额净值为基准进行计算；</w:t>
      </w:r>
    </w:p>
    <w:p w14:paraId="67B1F652"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2、“金额申购、份额赎回”原则，即申购以金额申请，赎回以份额申请；</w:t>
      </w:r>
    </w:p>
    <w:p w14:paraId="31439E54"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3、当日的申购与赎回申请可以在基金管理人规定的时间以内撤销；</w:t>
      </w:r>
    </w:p>
    <w:p w14:paraId="0A1DBDA2" w14:textId="6FFA2E3A"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4、赎回遵循“先进先出”原则，即按照投资人认购、申购的先后次序进行顺序赎回；</w:t>
      </w:r>
    </w:p>
    <w:p w14:paraId="32009D69"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5、办理申购、赎回业务时，应当遵循基金份额持有人利益优先原则，确保投资者的合法权益不受损害并得到公平对待。</w:t>
      </w:r>
    </w:p>
    <w:p w14:paraId="5CA38967"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基金管理人可在法律法规允许的情况下，对上述原则进行调整。基金管理人必须在新规则开始实施前依照《信息披露办法》的有关规定在规定媒介上公告。</w:t>
      </w:r>
    </w:p>
    <w:p w14:paraId="08DB2078" w14:textId="77777777" w:rsidR="009D10D8" w:rsidRDefault="009E4577">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四、申购与赎回的程序</w:t>
      </w:r>
    </w:p>
    <w:p w14:paraId="59794C39"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1、申购和赎回的申请方式</w:t>
      </w:r>
    </w:p>
    <w:p w14:paraId="1D6DFC21"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1F6E342A"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2、申购和赎回的款项支付</w:t>
      </w:r>
    </w:p>
    <w:p w14:paraId="61D3EF3F"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申购基金份额时，必须全额交付申购款项，投资人交付申购款项，申购成立；基金份额登记机构确认基金份额时，申购生效。基金份额持有人递交赎回申请，赎回成立；基金份额登记机构确认赎回时，赎回生效。</w:t>
      </w:r>
    </w:p>
    <w:p w14:paraId="1A8E2260"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投资人赎回申请成功后，基金管理人将在T＋7日(包括该日)内支付赎回款项。在发生巨额赎回时或基金合同载明的延缓支付赎回款项的情形时，款项的支付办法参照基金合同有关条款处理。</w:t>
      </w:r>
    </w:p>
    <w:p w14:paraId="59C97239" w14:textId="313169F5" w:rsidR="009D10D8" w:rsidRDefault="00007F8E">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如</w:t>
      </w:r>
      <w:r w:rsidR="009E4577">
        <w:rPr>
          <w:rFonts w:asciiTheme="minorEastAsia" w:hAnsiTheme="minorEastAsia" w:cs="Arial" w:hint="eastAsia"/>
          <w:sz w:val="24"/>
          <w:szCs w:val="24"/>
        </w:rPr>
        <w:t>遇证券、期货交易所或交易市场数据传输延迟、通讯系统故障、银行数据交换系统故障或其它</w:t>
      </w:r>
      <w:proofErr w:type="gramStart"/>
      <w:r w:rsidR="009E4577">
        <w:rPr>
          <w:rFonts w:asciiTheme="minorEastAsia" w:hAnsiTheme="minorEastAsia" w:cs="Arial" w:hint="eastAsia"/>
          <w:sz w:val="24"/>
          <w:szCs w:val="24"/>
        </w:rPr>
        <w:t>非基金</w:t>
      </w:r>
      <w:proofErr w:type="gramEnd"/>
      <w:r w:rsidR="009E4577">
        <w:rPr>
          <w:rFonts w:asciiTheme="minorEastAsia" w:hAnsiTheme="minorEastAsia" w:cs="Arial" w:hint="eastAsia"/>
          <w:sz w:val="24"/>
          <w:szCs w:val="24"/>
        </w:rPr>
        <w:t>管理人及基金托管人所能控制的因素影响业务处理流程时，</w:t>
      </w:r>
      <w:r>
        <w:rPr>
          <w:rFonts w:asciiTheme="minorEastAsia" w:hAnsiTheme="minorEastAsia" w:cs="Arial" w:hint="eastAsia"/>
          <w:sz w:val="24"/>
          <w:szCs w:val="24"/>
        </w:rPr>
        <w:t>则</w:t>
      </w:r>
      <w:r w:rsidR="009E4577">
        <w:rPr>
          <w:rFonts w:asciiTheme="minorEastAsia" w:hAnsiTheme="minorEastAsia" w:cs="Arial" w:hint="eastAsia"/>
          <w:sz w:val="24"/>
          <w:szCs w:val="24"/>
        </w:rPr>
        <w:t>赎回款项顺延至前述影响因素消除的下一个工作日划出。</w:t>
      </w:r>
    </w:p>
    <w:p w14:paraId="202FDB23"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3、申购和赎回申请的确认</w:t>
      </w:r>
    </w:p>
    <w:p w14:paraId="66F68CCD"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则申购款项本金退还给投资人。</w:t>
      </w:r>
    </w:p>
    <w:p w14:paraId="1B84926E"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销售机构对申购、赎回申请的受理并不代表该申请一定成功，而仅代表销售机构确实接收到申购、赎回申请。申购、赎回的确认以基金份额登记机构的确认结果为准。对于申购、赎回申请的确认情况，投资人应及时查询并妥善行使合法权利。</w:t>
      </w:r>
    </w:p>
    <w:p w14:paraId="47F24666"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基金管理人可以在法律法规允许的范围内，依法对上述申购和赎回申请的确认时间进行调整，并必须在调整实施日前按照《信息披露办法》的有关规定在规定媒介上公告。</w:t>
      </w:r>
    </w:p>
    <w:p w14:paraId="348398FD" w14:textId="77777777" w:rsidR="009D10D8" w:rsidRDefault="009E4577">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五、申购与赎回的数量限制</w:t>
      </w:r>
    </w:p>
    <w:p w14:paraId="3790E4E6" w14:textId="5677304D" w:rsidR="009D10D8" w:rsidRDefault="009E4577">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1、投资人申购A类基金份额，首次单笔最低申购金额为人民币1.00元，追加申购单笔最低金额为人民币1.00元。投资人申购C类基金份额，首次单笔最低申购金额为人民币1.00元，追加申购单笔最低金额为人民币1.00元。各销售机构在不低于上述规定的前提下，可根据自己的情况调整首次最低申购金额和追加最低申购金额和追加最低申购金额限制，具体以销售机构公布的为准。</w:t>
      </w:r>
      <w:r w:rsidR="00E17756" w:rsidRPr="00E17756">
        <w:rPr>
          <w:rFonts w:asciiTheme="minorEastAsia" w:hAnsiTheme="minorEastAsia" w:cs="Arial" w:hint="eastAsia"/>
          <w:sz w:val="24"/>
          <w:szCs w:val="24"/>
        </w:rPr>
        <w:t>基金管理人可以规定每次赎回的最低份额，具体规定请参见</w:t>
      </w:r>
      <w:r w:rsidR="00E17756">
        <w:rPr>
          <w:rFonts w:asciiTheme="minorEastAsia" w:hAnsiTheme="minorEastAsia" w:cs="Arial" w:hint="eastAsia"/>
          <w:sz w:val="24"/>
          <w:szCs w:val="24"/>
        </w:rPr>
        <w:t>更新的</w:t>
      </w:r>
      <w:r w:rsidR="00E17756" w:rsidRPr="00E17756">
        <w:rPr>
          <w:rFonts w:asciiTheme="minorEastAsia" w:hAnsiTheme="minorEastAsia" w:cs="Arial" w:hint="eastAsia"/>
          <w:sz w:val="24"/>
          <w:szCs w:val="24"/>
        </w:rPr>
        <w:t>招募说明书或相关公告。</w:t>
      </w:r>
    </w:p>
    <w:p w14:paraId="4CAA0DDE" w14:textId="77777777" w:rsidR="009D10D8" w:rsidRDefault="009E4577">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2、每个基金交易账户最低持有基金份额余额为1份，若某笔赎回导致单个基金交易账户的基金份额余额少于1份时，余额部分基金份额必须一同赎回。</w:t>
      </w:r>
    </w:p>
    <w:p w14:paraId="32E2CDF9" w14:textId="77777777" w:rsidR="009D10D8" w:rsidRDefault="009E4577">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3、本基金目前对单个投资人累计持有份额不设上限限制，基金管理人可以规定单个投资者累计持有的基金份额数量限制，具体规定见更新的招募说明书或相关公告。</w:t>
      </w:r>
    </w:p>
    <w:p w14:paraId="42049882" w14:textId="77777777" w:rsidR="009D10D8" w:rsidRDefault="009E4577">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Pr>
          <w:rFonts w:asciiTheme="minorEastAsia" w:hAnsiTheme="minorEastAsia" w:cs="Arial" w:hint="eastAsia"/>
          <w:sz w:val="24"/>
          <w:szCs w:val="24"/>
        </w:rPr>
        <w:t>见基金</w:t>
      </w:r>
      <w:proofErr w:type="gramEnd"/>
      <w:r>
        <w:rPr>
          <w:rFonts w:asciiTheme="minorEastAsia" w:hAnsiTheme="minorEastAsia" w:cs="Arial" w:hint="eastAsia"/>
          <w:sz w:val="24"/>
          <w:szCs w:val="24"/>
        </w:rPr>
        <w:t>管理人相关公告。</w:t>
      </w:r>
    </w:p>
    <w:p w14:paraId="455B7EE7" w14:textId="77777777" w:rsidR="009D10D8" w:rsidRDefault="009E4577">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5、基金管理人可在法律法规允许的情况下，调整上述规定申购金额和赎回份额等数量限制。基金管理人必须在调整实施前依照《信息披露办法》的有关规定在规定媒介上公告。</w:t>
      </w:r>
    </w:p>
    <w:p w14:paraId="62204F4A" w14:textId="77777777" w:rsidR="009D10D8" w:rsidRDefault="009E4577">
      <w:pPr>
        <w:tabs>
          <w:tab w:val="left" w:pos="1110"/>
          <w:tab w:val="left" w:pos="630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六、申购费用、赎回费用</w:t>
      </w:r>
    </w:p>
    <w:p w14:paraId="0C8EAEE4" w14:textId="77777777" w:rsidR="009D10D8" w:rsidRDefault="009E4577">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58D80E9C" w14:textId="77777777" w:rsidR="009D10D8" w:rsidRDefault="009E4577">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9D10D8" w14:paraId="0DC4A46E"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73B54FD5" w14:textId="77777777" w:rsidR="009D10D8" w:rsidRDefault="009E4577">
            <w:pPr>
              <w:widowControl/>
              <w:spacing w:line="264" w:lineRule="auto"/>
              <w:jc w:val="center"/>
              <w:rPr>
                <w:rFonts w:asciiTheme="minorEastAsia" w:hAnsiTheme="minorEastAsia" w:cs="Arial" w:hint="eastAsia"/>
                <w:bCs/>
                <w:kern w:val="0"/>
                <w:sz w:val="24"/>
                <w:szCs w:val="24"/>
              </w:rPr>
            </w:pPr>
            <w:r>
              <w:rPr>
                <w:rFonts w:asciiTheme="minorEastAsia" w:hAnsiTheme="minorEastAsia" w:cs="Arial" w:hint="eastAsia"/>
                <w:b/>
                <w:bCs/>
                <w:kern w:val="0"/>
                <w:sz w:val="24"/>
                <w:szCs w:val="24"/>
              </w:rPr>
              <w:t>A类基金份额</w:t>
            </w:r>
          </w:p>
        </w:tc>
      </w:tr>
      <w:tr w:rsidR="009D10D8" w14:paraId="573E9637"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BE4C1CA" w14:textId="77777777" w:rsidR="009D10D8" w:rsidRDefault="009E4577">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21EB3435" w14:textId="77777777" w:rsidR="009D10D8" w:rsidRDefault="009E4577">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申购费率</w:t>
            </w:r>
          </w:p>
        </w:tc>
      </w:tr>
      <w:tr w:rsidR="009D10D8" w14:paraId="2D0163C0"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715A854" w14:textId="77777777" w:rsidR="009D10D8" w:rsidRDefault="009E4577">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w:t>
            </w:r>
            <w:r>
              <w:rPr>
                <w:rFonts w:asciiTheme="minorEastAsia" w:hAnsiTheme="minorEastAsia" w:cs="Arial"/>
                <w:kern w:val="0"/>
                <w:sz w:val="24"/>
                <w:szCs w:val="24"/>
              </w:rPr>
              <w:t>10</w:t>
            </w:r>
            <w:r>
              <w:rPr>
                <w:rFonts w:asciiTheme="minorEastAsia" w:hAnsiTheme="minorEastAsia" w:cs="Arial" w:hint="eastAsia"/>
                <w:kern w:val="0"/>
                <w:sz w:val="24"/>
                <w:szCs w:val="24"/>
              </w:rPr>
              <w:t>0万元</w:t>
            </w:r>
          </w:p>
        </w:tc>
        <w:tc>
          <w:tcPr>
            <w:tcW w:w="4430" w:type="dxa"/>
            <w:tcBorders>
              <w:top w:val="single" w:sz="4" w:space="0" w:color="auto"/>
              <w:left w:val="single" w:sz="4" w:space="0" w:color="auto"/>
              <w:bottom w:val="single" w:sz="4" w:space="0" w:color="auto"/>
              <w:right w:val="single" w:sz="4" w:space="0" w:color="auto"/>
            </w:tcBorders>
          </w:tcPr>
          <w:p w14:paraId="34E76B05" w14:textId="77777777" w:rsidR="009D10D8" w:rsidRDefault="009E4577">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1.50%</w:t>
            </w:r>
          </w:p>
        </w:tc>
      </w:tr>
      <w:tr w:rsidR="009D10D8" w14:paraId="17C46E50"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295C9AC9" w14:textId="77777777" w:rsidR="009D10D8" w:rsidRDefault="009E4577">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10</w:t>
            </w:r>
            <w:r>
              <w:rPr>
                <w:rFonts w:asciiTheme="minorEastAsia" w:hAnsiTheme="minorEastAsia" w:cs="Arial" w:hint="eastAsia"/>
                <w:kern w:val="0"/>
                <w:sz w:val="24"/>
                <w:szCs w:val="24"/>
              </w:rPr>
              <w:t>0万元≤M＜</w:t>
            </w:r>
            <w:r>
              <w:rPr>
                <w:rFonts w:asciiTheme="minorEastAsia" w:hAnsiTheme="minorEastAsia" w:cs="Arial"/>
                <w:kern w:val="0"/>
                <w:sz w:val="24"/>
                <w:szCs w:val="24"/>
              </w:rPr>
              <w:t>3</w:t>
            </w:r>
            <w:r>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60AAE949" w14:textId="77777777" w:rsidR="009D10D8" w:rsidRDefault="009E4577">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w:t>
            </w:r>
          </w:p>
        </w:tc>
      </w:tr>
      <w:tr w:rsidR="009D10D8" w14:paraId="2EAAE58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65C8AFE7" w14:textId="77777777" w:rsidR="009D10D8" w:rsidRDefault="009E4577">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3</w:t>
            </w:r>
            <w:r>
              <w:rPr>
                <w:rFonts w:asciiTheme="minorEastAsia" w:hAnsiTheme="minorEastAsia" w:cs="Arial" w:hint="eastAsia"/>
                <w:kern w:val="0"/>
                <w:sz w:val="24"/>
                <w:szCs w:val="24"/>
              </w:rPr>
              <w:t>00万元≤M＜500万元</w:t>
            </w:r>
          </w:p>
        </w:tc>
        <w:tc>
          <w:tcPr>
            <w:tcW w:w="4430" w:type="dxa"/>
            <w:tcBorders>
              <w:top w:val="single" w:sz="4" w:space="0" w:color="auto"/>
              <w:left w:val="single" w:sz="4" w:space="0" w:color="auto"/>
              <w:bottom w:val="single" w:sz="4" w:space="0" w:color="auto"/>
              <w:right w:val="single" w:sz="4" w:space="0" w:color="auto"/>
            </w:tcBorders>
          </w:tcPr>
          <w:p w14:paraId="5F111DA3" w14:textId="77777777" w:rsidR="009D10D8" w:rsidRDefault="009E4577">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0.50%</w:t>
            </w:r>
          </w:p>
        </w:tc>
      </w:tr>
      <w:tr w:rsidR="009D10D8" w14:paraId="08262612"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6D3575A4" w14:textId="77777777" w:rsidR="009D10D8" w:rsidRDefault="009E4577">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M≥500万元</w:t>
            </w:r>
          </w:p>
        </w:tc>
        <w:tc>
          <w:tcPr>
            <w:tcW w:w="4430" w:type="dxa"/>
            <w:tcBorders>
              <w:top w:val="single" w:sz="4" w:space="0" w:color="auto"/>
              <w:left w:val="single" w:sz="4" w:space="0" w:color="auto"/>
              <w:bottom w:val="single" w:sz="4" w:space="0" w:color="auto"/>
              <w:right w:val="single" w:sz="4" w:space="0" w:color="auto"/>
            </w:tcBorders>
          </w:tcPr>
          <w:p w14:paraId="36EEF47D" w14:textId="77777777" w:rsidR="009D10D8" w:rsidRDefault="009E4577">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1000元/笔</w:t>
            </w:r>
          </w:p>
        </w:tc>
      </w:tr>
      <w:tr w:rsidR="009D10D8" w14:paraId="2471DC1E"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3A8F3F08" w14:textId="77777777" w:rsidR="009D10D8" w:rsidRDefault="009E4577">
            <w:pPr>
              <w:widowControl/>
              <w:spacing w:line="264" w:lineRule="auto"/>
              <w:jc w:val="center"/>
              <w:rPr>
                <w:rFonts w:asciiTheme="minorEastAsia" w:hAnsiTheme="minorEastAsia" w:cs="Arial" w:hint="eastAsia"/>
                <w:b/>
                <w:kern w:val="0"/>
                <w:sz w:val="24"/>
                <w:szCs w:val="24"/>
              </w:rPr>
            </w:pPr>
            <w:r>
              <w:rPr>
                <w:rFonts w:asciiTheme="minorEastAsia" w:hAnsiTheme="minorEastAsia" w:cs="Arial" w:hint="eastAsia"/>
                <w:b/>
                <w:bCs/>
                <w:kern w:val="0"/>
                <w:sz w:val="24"/>
                <w:szCs w:val="24"/>
              </w:rPr>
              <w:lastRenderedPageBreak/>
              <w:t>C类基金份额</w:t>
            </w:r>
          </w:p>
        </w:tc>
      </w:tr>
      <w:tr w:rsidR="009D10D8" w14:paraId="4FBA6D7C"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3F1625F1" w14:textId="77777777" w:rsidR="009D10D8" w:rsidRDefault="009E4577">
            <w:pPr>
              <w:widowControl/>
              <w:spacing w:line="264" w:lineRule="auto"/>
              <w:jc w:val="center"/>
              <w:rPr>
                <w:rFonts w:asciiTheme="minorEastAsia" w:hAnsiTheme="minorEastAsia" w:cs="Arial" w:hint="eastAsia"/>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3E070D35" w14:textId="77777777" w:rsidR="009D10D8" w:rsidRDefault="009D10D8">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p w14:paraId="2F9277F5" w14:textId="6BCC5CEE" w:rsidR="009D10D8" w:rsidRDefault="009E4577">
      <w:pPr>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hint="eastAsia"/>
          <w:bCs/>
          <w:color w:val="000000"/>
          <w:sz w:val="24"/>
        </w:rPr>
        <w:t>A</w:t>
      </w:r>
      <w:r>
        <w:rPr>
          <w:rFonts w:hint="eastAsia"/>
          <w:bCs/>
          <w:color w:val="000000"/>
          <w:sz w:val="24"/>
        </w:rPr>
        <w:t>类基金份额</w:t>
      </w:r>
      <w:r>
        <w:rPr>
          <w:bCs/>
          <w:color w:val="000000"/>
          <w:sz w:val="24"/>
        </w:rPr>
        <w:t>的</w:t>
      </w:r>
      <w:r>
        <w:rPr>
          <w:rFonts w:asciiTheme="minorEastAsia" w:hAnsiTheme="minorEastAsia" w:cs="Arial" w:hint="eastAsia"/>
          <w:sz w:val="24"/>
          <w:szCs w:val="24"/>
        </w:rPr>
        <w:t>申购费用由申购</w:t>
      </w:r>
      <w:r>
        <w:rPr>
          <w:rFonts w:hint="eastAsia"/>
          <w:bCs/>
          <w:color w:val="000000"/>
          <w:sz w:val="24"/>
        </w:rPr>
        <w:t>A</w:t>
      </w:r>
      <w:r>
        <w:rPr>
          <w:rFonts w:hint="eastAsia"/>
          <w:bCs/>
          <w:color w:val="000000"/>
          <w:sz w:val="24"/>
        </w:rPr>
        <w:t>类</w:t>
      </w:r>
      <w:r>
        <w:rPr>
          <w:rFonts w:asciiTheme="minorEastAsia" w:hAnsiTheme="minorEastAsia" w:cs="Arial" w:hint="eastAsia"/>
          <w:sz w:val="24"/>
          <w:szCs w:val="24"/>
        </w:rPr>
        <w:t>基金份额的投资人承担，不列入基金资产，用于基金的市场推广、销售、登记等各项费用。</w:t>
      </w:r>
      <w:r>
        <w:rPr>
          <w:rFonts w:hint="eastAsia"/>
          <w:bCs/>
          <w:color w:val="000000"/>
          <w:sz w:val="24"/>
        </w:rPr>
        <w:t>C</w:t>
      </w:r>
      <w:r>
        <w:rPr>
          <w:rFonts w:hint="eastAsia"/>
          <w:bCs/>
          <w:color w:val="000000"/>
          <w:sz w:val="24"/>
        </w:rPr>
        <w:t>类基金份额不收取申购费用</w:t>
      </w:r>
      <w:r>
        <w:rPr>
          <w:bCs/>
          <w:sz w:val="24"/>
        </w:rPr>
        <w:t>。</w:t>
      </w:r>
    </w:p>
    <w:p w14:paraId="2110B358"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8BCF96F"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9D10D8" w14:paraId="39CBD591"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4B9CF39" w14:textId="77777777" w:rsidR="009D10D8" w:rsidRDefault="009E4577">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074F8485" w14:textId="77777777" w:rsidR="009D10D8" w:rsidRDefault="009E4577">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109B8862" w14:textId="77777777" w:rsidR="009D10D8" w:rsidRDefault="009E4577">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C类份额赎回费率</w:t>
            </w:r>
          </w:p>
        </w:tc>
      </w:tr>
      <w:tr w:rsidR="009D10D8" w14:paraId="3ADFEDB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BCCFDD5" w14:textId="77777777" w:rsidR="009D10D8" w:rsidRDefault="009E4577">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6232AC45" w14:textId="77777777" w:rsidR="009D10D8" w:rsidRDefault="009E4577">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4D07AF61" w14:textId="77777777" w:rsidR="009D10D8" w:rsidRDefault="009E4577">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r>
      <w:tr w:rsidR="009D10D8" w14:paraId="135007B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BAE3D6C" w14:textId="77777777" w:rsidR="009D10D8" w:rsidRDefault="009E4577">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267732D3" w14:textId="77777777" w:rsidR="009D10D8" w:rsidRDefault="009E4577">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45E59348" w14:textId="77777777" w:rsidR="009D10D8" w:rsidRDefault="009E4577">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r>
      <w:tr w:rsidR="009D10D8" w14:paraId="3CD4EC08"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0443001" w14:textId="77777777" w:rsidR="009D10D8" w:rsidRDefault="009E4577">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30日 ≤ Y ＜180日</w:t>
            </w:r>
          </w:p>
        </w:tc>
        <w:tc>
          <w:tcPr>
            <w:tcW w:w="2127" w:type="dxa"/>
            <w:tcBorders>
              <w:top w:val="single" w:sz="4" w:space="0" w:color="auto"/>
              <w:left w:val="single" w:sz="4" w:space="0" w:color="auto"/>
              <w:bottom w:val="single" w:sz="4" w:space="0" w:color="auto"/>
              <w:right w:val="single" w:sz="4" w:space="0" w:color="auto"/>
            </w:tcBorders>
          </w:tcPr>
          <w:p w14:paraId="52F23EE6" w14:textId="77777777" w:rsidR="009D10D8" w:rsidRDefault="009E4577">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3263E1A9" w14:textId="77777777" w:rsidR="009D10D8" w:rsidRDefault="009E4577">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r w:rsidR="009D10D8" w14:paraId="18F9DE8A"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F6FCE5D" w14:textId="77777777" w:rsidR="009D10D8" w:rsidRDefault="009E4577">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Y≥180日</w:t>
            </w:r>
          </w:p>
        </w:tc>
        <w:tc>
          <w:tcPr>
            <w:tcW w:w="2127" w:type="dxa"/>
            <w:tcBorders>
              <w:top w:val="single" w:sz="4" w:space="0" w:color="auto"/>
              <w:left w:val="single" w:sz="4" w:space="0" w:color="auto"/>
              <w:bottom w:val="single" w:sz="4" w:space="0" w:color="auto"/>
              <w:right w:val="single" w:sz="4" w:space="0" w:color="auto"/>
            </w:tcBorders>
          </w:tcPr>
          <w:p w14:paraId="0F4CAF5D" w14:textId="77777777" w:rsidR="009D10D8" w:rsidRDefault="009E4577">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0BF033A4" w14:textId="77777777" w:rsidR="009D10D8" w:rsidRDefault="009E4577">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bl>
    <w:p w14:paraId="44DB244E" w14:textId="77777777" w:rsidR="009D10D8" w:rsidRDefault="009D10D8">
      <w:pPr>
        <w:adjustRightInd w:val="0"/>
        <w:snapToGrid w:val="0"/>
        <w:spacing w:line="360" w:lineRule="auto"/>
        <w:rPr>
          <w:rFonts w:asciiTheme="minorEastAsia" w:hAnsiTheme="minorEastAsia" w:cs="Arial" w:hint="eastAsia"/>
          <w:sz w:val="24"/>
          <w:szCs w:val="24"/>
        </w:rPr>
      </w:pPr>
    </w:p>
    <w:p w14:paraId="260CABD0"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4F281E7B"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注：1个月按30日计算）</w:t>
      </w:r>
    </w:p>
    <w:p w14:paraId="51263F4E"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、基金管理人可以在基金合同约定的范围内调整费率或收费方式，并最迟应于新的费率或收费方式实施日前依照《信息披露办法》的有关规定在规定媒介上公告。</w:t>
      </w:r>
    </w:p>
    <w:p w14:paraId="43577F62" w14:textId="7BB4B830" w:rsidR="009D10D8" w:rsidRDefault="009E4577">
      <w:pPr>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背法律法规规定、基金合同约定及基金持有人利益的情况下根据市场情况制定基金促销计划，定期和不定期地开展基金促销活动。在基金促销活动期间，基金管理人可以按中国证监会要求履行必要手续后，对基金投资者适当调低基金申购费率、赎回费率。</w:t>
      </w:r>
    </w:p>
    <w:p w14:paraId="5F0B0930" w14:textId="6AB3906A" w:rsidR="00514E09" w:rsidRPr="00514E09" w:rsidRDefault="00514E09">
      <w:pPr>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5、</w:t>
      </w:r>
      <w:r w:rsidRPr="009C4AE8">
        <w:rPr>
          <w:rFonts w:asciiTheme="minorEastAsia" w:hAnsiTheme="minorEastAsia" w:cs="Times New Roman" w:hint="eastAsia"/>
          <w:sz w:val="24"/>
          <w:szCs w:val="24"/>
        </w:rPr>
        <w:t>当本基金发生大额申购或赎回情形时，基金管理人可以对本基金采用摆动定价机制，以确保基金估值的公平性。具体处理原则与操作规范遵循相关法律法规以及监管部门、自律规则的规定</w:t>
      </w:r>
      <w:r>
        <w:rPr>
          <w:rFonts w:asciiTheme="minorEastAsia" w:hAnsiTheme="minorEastAsia" w:cs="Times New Roman" w:hint="eastAsia"/>
          <w:sz w:val="24"/>
          <w:szCs w:val="24"/>
        </w:rPr>
        <w:t>。</w:t>
      </w:r>
    </w:p>
    <w:p w14:paraId="0EBEA999" w14:textId="77777777" w:rsidR="009D10D8" w:rsidRDefault="009E4577">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437D01A3"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1、A类基金份额申购份额的计算方式：</w:t>
      </w:r>
    </w:p>
    <w:p w14:paraId="2DB4A6C1"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（1）当申购费用适用比例费率时，申购份额的计算公式如下：</w:t>
      </w:r>
    </w:p>
    <w:p w14:paraId="066DFA1B"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净申购金额=申购金额/（1+申购费率）</w:t>
      </w:r>
    </w:p>
    <w:p w14:paraId="442095EE"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申购费用=申购金额－净申购金额</w:t>
      </w:r>
    </w:p>
    <w:p w14:paraId="3124A72D" w14:textId="1A160C0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申购份额=净申购金额/T日A类基金份额净值</w:t>
      </w:r>
    </w:p>
    <w:p w14:paraId="662E2969"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（2）当申购费用为固定金额时，申购份额的计算方法如下：</w:t>
      </w:r>
    </w:p>
    <w:p w14:paraId="13F7869A"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申购费用＝固定费用</w:t>
      </w:r>
    </w:p>
    <w:p w14:paraId="19F3732D"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净申购金额＝申购金额－申购费用</w:t>
      </w:r>
    </w:p>
    <w:p w14:paraId="2B9645CA"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申购份额＝净申购金额/T日A类基金份额净值</w:t>
      </w:r>
    </w:p>
    <w:p w14:paraId="3F0011F4"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00BD80A1" w14:textId="5AD81BDE"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例：某投资者投资50,000元申购本基金A类基金份额，且该申购申请被全额确认，对应的申购费率为1.5</w:t>
      </w:r>
      <w:r>
        <w:rPr>
          <w:rFonts w:asciiTheme="minorEastAsia" w:hAnsiTheme="minorEastAsia" w:cs="Arial"/>
          <w:sz w:val="24"/>
          <w:szCs w:val="24"/>
        </w:rPr>
        <w:t>0</w:t>
      </w:r>
      <w:r>
        <w:rPr>
          <w:rFonts w:asciiTheme="minorEastAsia" w:hAnsiTheme="minorEastAsia" w:cs="Arial" w:hint="eastAsia"/>
          <w:sz w:val="24"/>
          <w:szCs w:val="24"/>
        </w:rPr>
        <w:t>%，假定申购当日A类基金份额净值为1.0500元，则可得到的申购份额为：</w:t>
      </w:r>
    </w:p>
    <w:p w14:paraId="00FC62CE"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净申购金额＝50,000/(1+1.5</w:t>
      </w:r>
      <w:r>
        <w:rPr>
          <w:rFonts w:asciiTheme="minorEastAsia" w:hAnsiTheme="minorEastAsia" w:cs="Arial"/>
          <w:sz w:val="24"/>
          <w:szCs w:val="24"/>
        </w:rPr>
        <w:t>0</w:t>
      </w:r>
      <w:r>
        <w:rPr>
          <w:rFonts w:asciiTheme="minorEastAsia" w:hAnsiTheme="minorEastAsia" w:cs="Arial" w:hint="eastAsia"/>
          <w:sz w:val="24"/>
          <w:szCs w:val="24"/>
        </w:rPr>
        <w:t>%)＝49,261.08元</w:t>
      </w:r>
    </w:p>
    <w:p w14:paraId="6D6722CB"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申购费用＝50,000－49,261.08＝738.92元</w:t>
      </w:r>
    </w:p>
    <w:p w14:paraId="28AEC6A9"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申购份额＝49,261.08/1.0500＝46,915.31 份</w:t>
      </w:r>
    </w:p>
    <w:p w14:paraId="540804C1"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52AB4544"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2、C类基金份额申购份额的计算方式：</w:t>
      </w:r>
    </w:p>
    <w:p w14:paraId="0F8D23CA"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申购份额＝申购金额/T日C类基金份额净值</w:t>
      </w:r>
    </w:p>
    <w:p w14:paraId="34A2A6F1"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5EEB4BFB" w14:textId="2FB1FDC0"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03CED3A0" w14:textId="124857B9"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w:t>
      </w:r>
      <w:r>
        <w:rPr>
          <w:rFonts w:asciiTheme="minorEastAsia" w:hAnsiTheme="minorEastAsia" w:cs="Arial"/>
          <w:sz w:val="24"/>
          <w:szCs w:val="24"/>
        </w:rPr>
        <w:t>3</w:t>
      </w:r>
      <w:r>
        <w:rPr>
          <w:rFonts w:asciiTheme="minorEastAsia" w:hAnsiTheme="minorEastAsia" w:cs="Arial" w:hint="eastAsia"/>
          <w:sz w:val="24"/>
          <w:szCs w:val="24"/>
        </w:rPr>
        <w:t>00=</w:t>
      </w:r>
      <w:r>
        <w:rPr>
          <w:rFonts w:asciiTheme="minorEastAsia" w:hAnsiTheme="minorEastAsia" w:cs="Arial"/>
          <w:sz w:val="24"/>
          <w:szCs w:val="24"/>
        </w:rPr>
        <w:t>4</w:t>
      </w:r>
      <w:r w:rsidR="00700A1F">
        <w:rPr>
          <w:rFonts w:asciiTheme="minorEastAsia" w:hAnsiTheme="minorEastAsia" w:cs="Arial"/>
          <w:sz w:val="24"/>
          <w:szCs w:val="24"/>
        </w:rPr>
        <w:t>,</w:t>
      </w:r>
      <w:r>
        <w:rPr>
          <w:rFonts w:asciiTheme="minorEastAsia" w:hAnsiTheme="minorEastAsia" w:cs="Arial"/>
          <w:sz w:val="24"/>
          <w:szCs w:val="24"/>
        </w:rPr>
        <w:t>065</w:t>
      </w:r>
      <w:r w:rsidR="00700A1F">
        <w:rPr>
          <w:rFonts w:asciiTheme="minorEastAsia" w:hAnsiTheme="minorEastAsia" w:cs="Arial"/>
          <w:sz w:val="24"/>
          <w:szCs w:val="24"/>
        </w:rPr>
        <w:t>,</w:t>
      </w:r>
      <w:r>
        <w:rPr>
          <w:rFonts w:asciiTheme="minorEastAsia" w:hAnsiTheme="minorEastAsia" w:cs="Arial"/>
          <w:sz w:val="24"/>
          <w:szCs w:val="24"/>
        </w:rPr>
        <w:t>040.65</w:t>
      </w:r>
      <w:r>
        <w:rPr>
          <w:rFonts w:asciiTheme="minorEastAsia" w:hAnsiTheme="minorEastAsia" w:cs="Arial" w:hint="eastAsia"/>
          <w:sz w:val="24"/>
          <w:szCs w:val="24"/>
        </w:rPr>
        <w:t>份</w:t>
      </w:r>
    </w:p>
    <w:p w14:paraId="309942C5" w14:textId="5A606A04"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w:t>
      </w:r>
      <w:r>
        <w:rPr>
          <w:rFonts w:asciiTheme="minorEastAsia" w:hAnsiTheme="minorEastAsia" w:cs="Arial"/>
          <w:sz w:val="24"/>
          <w:szCs w:val="24"/>
        </w:rPr>
        <w:t>3</w:t>
      </w:r>
      <w:r>
        <w:rPr>
          <w:rFonts w:asciiTheme="minorEastAsia" w:hAnsiTheme="minorEastAsia" w:cs="Arial" w:hint="eastAsia"/>
          <w:sz w:val="24"/>
          <w:szCs w:val="24"/>
        </w:rPr>
        <w:t>00元，可得到</w:t>
      </w:r>
      <w:r>
        <w:rPr>
          <w:rFonts w:asciiTheme="minorEastAsia" w:hAnsiTheme="minorEastAsia" w:cs="Arial"/>
          <w:sz w:val="24"/>
          <w:szCs w:val="24"/>
        </w:rPr>
        <w:t>4</w:t>
      </w:r>
      <w:r w:rsidR="00700A1F">
        <w:rPr>
          <w:rFonts w:asciiTheme="minorEastAsia" w:hAnsiTheme="minorEastAsia" w:cs="Arial"/>
          <w:sz w:val="24"/>
          <w:szCs w:val="24"/>
        </w:rPr>
        <w:t>,</w:t>
      </w:r>
      <w:r>
        <w:rPr>
          <w:rFonts w:asciiTheme="minorEastAsia" w:hAnsiTheme="minorEastAsia" w:cs="Arial"/>
          <w:sz w:val="24"/>
          <w:szCs w:val="24"/>
        </w:rPr>
        <w:t>065</w:t>
      </w:r>
      <w:r w:rsidR="00700A1F">
        <w:rPr>
          <w:rFonts w:asciiTheme="minorEastAsia" w:hAnsiTheme="minorEastAsia" w:cs="Arial"/>
          <w:sz w:val="24"/>
          <w:szCs w:val="24"/>
        </w:rPr>
        <w:t>,</w:t>
      </w:r>
      <w:r>
        <w:rPr>
          <w:rFonts w:asciiTheme="minorEastAsia" w:hAnsiTheme="minorEastAsia" w:cs="Arial"/>
          <w:sz w:val="24"/>
          <w:szCs w:val="24"/>
        </w:rPr>
        <w:t>040.65</w:t>
      </w:r>
      <w:r>
        <w:rPr>
          <w:rFonts w:asciiTheme="minorEastAsia" w:hAnsiTheme="minorEastAsia" w:cs="Arial" w:hint="eastAsia"/>
          <w:sz w:val="24"/>
          <w:szCs w:val="24"/>
        </w:rPr>
        <w:t>份C类基金份额。</w:t>
      </w:r>
    </w:p>
    <w:p w14:paraId="02A34867" w14:textId="3FD00F4B"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3、赎回金额的计算方式：</w:t>
      </w:r>
    </w:p>
    <w:p w14:paraId="4D1D39CF"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753FA259"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2544339C"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447CA424"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7CB1C2F4" w14:textId="6B9B0BD1"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10,000</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类基金份额且持有时间为9</w:t>
      </w:r>
      <w:r>
        <w:rPr>
          <w:rFonts w:asciiTheme="minorEastAsia" w:hAnsiTheme="minorEastAsia" w:cs="Arial"/>
          <w:sz w:val="24"/>
          <w:szCs w:val="24"/>
        </w:rPr>
        <w:t>0</w:t>
      </w:r>
      <w:r>
        <w:rPr>
          <w:rFonts w:asciiTheme="minorEastAsia" w:hAnsiTheme="minorEastAsia" w:cs="Arial" w:hint="eastAsia"/>
          <w:sz w:val="24"/>
          <w:szCs w:val="24"/>
        </w:rPr>
        <w:t>日，赎回费率为</w:t>
      </w:r>
      <w:r>
        <w:rPr>
          <w:rFonts w:asciiTheme="minorEastAsia" w:hAnsiTheme="minorEastAsia" w:cs="Arial"/>
          <w:sz w:val="24"/>
          <w:szCs w:val="24"/>
        </w:rPr>
        <w:t>0.50%</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0元，则可得到的赎回金额为：</w:t>
      </w:r>
    </w:p>
    <w:p w14:paraId="4A910E97"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39E98BC0"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0.50% = 53.40 </w:t>
      </w:r>
      <w:r>
        <w:rPr>
          <w:rFonts w:asciiTheme="minorEastAsia" w:hAnsiTheme="minorEastAsia" w:cs="Arial" w:hint="eastAsia"/>
          <w:sz w:val="24"/>
          <w:szCs w:val="24"/>
        </w:rPr>
        <w:t>元</w:t>
      </w:r>
    </w:p>
    <w:p w14:paraId="4FA316DF"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3EB145D9" w14:textId="0F9EAFD9"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10,000</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类基金份额且持有时间为9</w:t>
      </w:r>
      <w:r>
        <w:rPr>
          <w:rFonts w:asciiTheme="minorEastAsia" w:hAnsiTheme="minorEastAsia" w:cs="Arial"/>
          <w:sz w:val="24"/>
          <w:szCs w:val="24"/>
        </w:rPr>
        <w:t>0</w:t>
      </w:r>
      <w:r>
        <w:rPr>
          <w:rFonts w:asciiTheme="minorEastAsia" w:hAnsiTheme="minorEastAsia" w:cs="Arial" w:hint="eastAsia"/>
          <w:sz w:val="24"/>
          <w:szCs w:val="24"/>
        </w:rPr>
        <w:t>日，假设赎回申请当日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31D171B2"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例2：某投资人赎回本基金10,000份C类基金份额，持有时间为20日，对应的赎回费率为0.5</w:t>
      </w:r>
      <w:r>
        <w:rPr>
          <w:rFonts w:asciiTheme="minorEastAsia" w:hAnsiTheme="minorEastAsia" w:cs="Arial"/>
          <w:sz w:val="24"/>
          <w:szCs w:val="24"/>
        </w:rPr>
        <w:t>0</w:t>
      </w:r>
      <w:r>
        <w:rPr>
          <w:rFonts w:asciiTheme="minorEastAsia" w:hAnsiTheme="minorEastAsia" w:cs="Arial" w:hint="eastAsia"/>
          <w:sz w:val="24"/>
          <w:szCs w:val="24"/>
        </w:rPr>
        <w:t>%，假设赎回当日C类基金份额净值是1.0680元，则其可得到的赎回金额为：</w:t>
      </w:r>
    </w:p>
    <w:p w14:paraId="4B0387AA"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赎回金额=10,000×1.0680=10,680</w:t>
      </w:r>
      <w:r>
        <w:rPr>
          <w:rFonts w:asciiTheme="minorEastAsia" w:hAnsiTheme="minorEastAsia" w:cs="Arial"/>
          <w:sz w:val="24"/>
          <w:szCs w:val="24"/>
        </w:rPr>
        <w:t>.00</w:t>
      </w:r>
      <w:r>
        <w:rPr>
          <w:rFonts w:asciiTheme="minorEastAsia" w:hAnsiTheme="minorEastAsia" w:cs="Arial" w:hint="eastAsia"/>
          <w:sz w:val="24"/>
          <w:szCs w:val="24"/>
        </w:rPr>
        <w:t>元</w:t>
      </w:r>
    </w:p>
    <w:p w14:paraId="617861F8"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赎回费用=10,680×0.5</w:t>
      </w:r>
      <w:r>
        <w:rPr>
          <w:rFonts w:asciiTheme="minorEastAsia" w:hAnsiTheme="minorEastAsia" w:cs="Arial"/>
          <w:sz w:val="24"/>
          <w:szCs w:val="24"/>
        </w:rPr>
        <w:t>0</w:t>
      </w:r>
      <w:r>
        <w:rPr>
          <w:rFonts w:asciiTheme="minorEastAsia" w:hAnsiTheme="minorEastAsia" w:cs="Arial" w:hint="eastAsia"/>
          <w:sz w:val="24"/>
          <w:szCs w:val="24"/>
        </w:rPr>
        <w:t>%=53.40元</w:t>
      </w:r>
    </w:p>
    <w:p w14:paraId="62533F6F"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净赎回金额=10,680-53.40=10,626.60元</w:t>
      </w:r>
    </w:p>
    <w:p w14:paraId="2EB56515"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7FF3B5B6"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份额净值的计算，保留到小数点后4位，小数点后第5位四舍五入，由此产生的收益或损失由基金财产承</w:t>
      </w:r>
      <w:r>
        <w:rPr>
          <w:rFonts w:asciiTheme="minorEastAsia" w:hAnsiTheme="minorEastAsia" w:cs="Times New Roman" w:hint="eastAsia"/>
          <w:sz w:val="24"/>
          <w:szCs w:val="24"/>
        </w:rPr>
        <w:lastRenderedPageBreak/>
        <w:t>担。</w:t>
      </w:r>
      <w:r>
        <w:rPr>
          <w:rFonts w:asciiTheme="minorEastAsia" w:hAnsiTheme="minorEastAsia" w:cs="Times New Roman"/>
          <w:sz w:val="24"/>
          <w:szCs w:val="24"/>
        </w:rPr>
        <w:t>T</w:t>
      </w:r>
      <w:r>
        <w:rPr>
          <w:rFonts w:asciiTheme="minorEastAsia" w:hAnsiTheme="minorEastAsia" w:cs="Times New Roman" w:hint="eastAsia"/>
          <w:sz w:val="24"/>
          <w:szCs w:val="24"/>
        </w:rPr>
        <w:t>日的各类基金份额净值在当天收市后计算，并在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日内公告。遇特殊情况，经履行适当程序，可以适当延迟计算或公告。</w:t>
      </w:r>
    </w:p>
    <w:p w14:paraId="438EF436" w14:textId="77777777" w:rsidR="009D10D8" w:rsidRDefault="009E4577">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t>八、申购与赎回的登记业务</w:t>
      </w:r>
    </w:p>
    <w:p w14:paraId="5E3BA770"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31935C24"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7D428C7E"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在规定媒介公告。</w:t>
      </w:r>
    </w:p>
    <w:p w14:paraId="7D14BF8C" w14:textId="77777777" w:rsidR="009D10D8" w:rsidRDefault="009E4577">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九、拒绝或暂停申购的情形及处理</w:t>
      </w:r>
    </w:p>
    <w:p w14:paraId="20054EC7"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发生下列情况时，基金管理人可拒绝或暂停接受投资人的申购申请：</w:t>
      </w:r>
    </w:p>
    <w:p w14:paraId="06ABF7F2"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1、因不可抗力导致基金无法正常运作。</w:t>
      </w:r>
    </w:p>
    <w:p w14:paraId="0E53B59D"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2、发生基金合同规定的暂停基金资产估值情况时，基金管理人可暂停接受投资人的申购申请。</w:t>
      </w:r>
    </w:p>
    <w:p w14:paraId="3C6B1271"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72AF3AAF"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4、接受某笔或某些申购申请可能会影响或损害现有基金份额持有人利益时。</w:t>
      </w:r>
    </w:p>
    <w:p w14:paraId="476B5046"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7AF35B47"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6、当前一估值日基金资产净值50%以上的资产出现无可参考的活跃市场价格且采用估值技术</w:t>
      </w:r>
      <w:proofErr w:type="gramStart"/>
      <w:r>
        <w:rPr>
          <w:rFonts w:asciiTheme="minorEastAsia" w:hAnsiTheme="minorEastAsia" w:cs="Arial" w:hint="eastAsia"/>
          <w:sz w:val="24"/>
          <w:szCs w:val="24"/>
        </w:rPr>
        <w:t>仍导致</w:t>
      </w:r>
      <w:proofErr w:type="gramEnd"/>
      <w:r>
        <w:rPr>
          <w:rFonts w:asciiTheme="minorEastAsia" w:hAnsiTheme="minorEastAsia" w:cs="Arial" w:hint="eastAsia"/>
          <w:sz w:val="24"/>
          <w:szCs w:val="24"/>
        </w:rPr>
        <w:t>公允价值存在重大不确定性时，经与基金托管人协商确认后，基金管理人应当暂停接受基金申购申请。</w:t>
      </w:r>
    </w:p>
    <w:p w14:paraId="6501A86E"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7、基金管理人接受某笔或者某些申购申请有可能导致单一投资者持有基金份额的比例达到或者超过50%，或者变相规避50%集中度的情形。</w:t>
      </w:r>
    </w:p>
    <w:p w14:paraId="0BA764B2"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8、法律法规规定或中国证监会认定的其他情形。</w:t>
      </w:r>
    </w:p>
    <w:p w14:paraId="2FCEC73F"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发生上述第1、2、3、5、6、8项暂停申购情形之一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管理人决定暂停接受投资人的申购申请时，基金管理人应当根据有关规定在</w:t>
      </w:r>
      <w:r>
        <w:rPr>
          <w:rFonts w:asciiTheme="minorEastAsia" w:hAnsiTheme="minorEastAsia" w:cs="Times New Roman" w:hint="eastAsia"/>
          <w:sz w:val="24"/>
          <w:szCs w:val="24"/>
        </w:rPr>
        <w:t>规定</w:t>
      </w:r>
      <w:r>
        <w:rPr>
          <w:rFonts w:asciiTheme="minorEastAsia" w:hAnsiTheme="minorEastAsia" w:cs="Arial" w:hint="eastAsia"/>
          <w:sz w:val="24"/>
          <w:szCs w:val="24"/>
        </w:rPr>
        <w:t>媒介上刊登暂停申购公告。如果投资人的申购申请被拒绝，被拒绝的申购款项将退还给投资人。</w:t>
      </w:r>
      <w:r>
        <w:rPr>
          <w:rFonts w:asciiTheme="minorEastAsia" w:hAnsiTheme="minorEastAsia" w:cs="Arial" w:hint="eastAsia"/>
          <w:sz w:val="24"/>
          <w:szCs w:val="24"/>
        </w:rPr>
        <w:lastRenderedPageBreak/>
        <w:t>在暂停申购的情况消除时，基金管理人应及时恢复申购业务的办理。</w:t>
      </w:r>
    </w:p>
    <w:p w14:paraId="2ABE99C6" w14:textId="77777777" w:rsidR="009D10D8" w:rsidRDefault="009E4577">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十、暂停赎回或延缓支付赎回款项的情形</w:t>
      </w:r>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14:paraId="6D1E0B42" w14:textId="77777777" w:rsidR="009D10D8" w:rsidRDefault="009E4577">
      <w:pPr>
        <w:widowControl/>
        <w:spacing w:line="360" w:lineRule="auto"/>
        <w:ind w:firstLineChars="200" w:firstLine="480"/>
        <w:jc w:val="left"/>
        <w:rPr>
          <w:rFonts w:asciiTheme="minorEastAsia" w:hAnsiTheme="minorEastAsia" w:cs="Arial" w:hint="eastAsia"/>
          <w:sz w:val="24"/>
          <w:szCs w:val="24"/>
        </w:rPr>
      </w:pPr>
      <w:bookmarkStart w:id="184" w:name="_Toc416264545"/>
      <w:bookmarkStart w:id="185" w:name="_Toc123051456"/>
      <w:bookmarkStart w:id="186" w:name="_Toc32092"/>
      <w:bookmarkStart w:id="187" w:name="_Toc17198"/>
      <w:bookmarkStart w:id="188" w:name="_Toc29408"/>
      <w:bookmarkStart w:id="189" w:name="_Toc123102457"/>
      <w:bookmarkStart w:id="190" w:name="_Toc21237"/>
      <w:bookmarkStart w:id="191" w:name="_Toc48649708"/>
      <w:bookmarkStart w:id="192" w:name="_Toc8791"/>
      <w:bookmarkStart w:id="193" w:name="_Toc5170"/>
      <w:bookmarkStart w:id="194" w:name="_Toc123112238"/>
      <w:bookmarkStart w:id="195" w:name="_Toc141703890"/>
      <w:bookmarkStart w:id="196" w:name="_Toc79392622"/>
      <w:bookmarkStart w:id="197" w:name="_Toc98560356"/>
      <w:bookmarkStart w:id="198" w:name="_Toc32584"/>
      <w:bookmarkStart w:id="199" w:name="_Toc3329"/>
      <w:bookmarkStart w:id="200" w:name="_Toc352229756"/>
      <w:bookmarkStart w:id="201" w:name="_Toc20976"/>
      <w:bookmarkStart w:id="202" w:name="_Toc739"/>
      <w:bookmarkStart w:id="203" w:name="_Toc17920"/>
      <w:bookmarkStart w:id="204" w:name="_Toc139991740"/>
      <w:r>
        <w:rPr>
          <w:rFonts w:asciiTheme="minorEastAsia" w:hAnsiTheme="minorEastAsia" w:cs="Arial" w:hint="eastAsia"/>
          <w:sz w:val="24"/>
          <w:szCs w:val="24"/>
        </w:rPr>
        <w:t>发生下列情形时，基金管理人可暂停接受投资人的赎回申请或延缓支付赎回款项：</w:t>
      </w:r>
    </w:p>
    <w:p w14:paraId="34A2C402"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1、因不可抗力导致基金管理人不能支付赎回款项。</w:t>
      </w:r>
    </w:p>
    <w:p w14:paraId="63466341"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1E5AAF59"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1805B10B"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4、连续两个或两个以上开放日发生巨额赎回。</w:t>
      </w:r>
    </w:p>
    <w:p w14:paraId="2D659FF4"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5、发生继续接受赎回申请将损害现有基金份额持有人利益的情形时，基金管理人可暂停接受基金份额持有人的赎回申请。</w:t>
      </w:r>
    </w:p>
    <w:p w14:paraId="2EB62CE2"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6、当前一估值日基金资产净值50%以上的资产出现无可参考的活跃市场价格且采用估值技术</w:t>
      </w:r>
      <w:proofErr w:type="gramStart"/>
      <w:r>
        <w:rPr>
          <w:rFonts w:asciiTheme="minorEastAsia" w:hAnsiTheme="minorEastAsia" w:cs="Arial" w:hint="eastAsia"/>
          <w:sz w:val="24"/>
          <w:szCs w:val="24"/>
        </w:rPr>
        <w:t>仍导致</w:t>
      </w:r>
      <w:proofErr w:type="gramEnd"/>
      <w:r>
        <w:rPr>
          <w:rFonts w:asciiTheme="minorEastAsia" w:hAnsiTheme="minorEastAsia" w:cs="Arial" w:hint="eastAsia"/>
          <w:sz w:val="24"/>
          <w:szCs w:val="24"/>
        </w:rPr>
        <w:t>公允价值存在重大不确定性时，经与基金托管人协商确认后，基金管理人应当延缓支付赎回款项或暂停接受基金赎回申请。</w:t>
      </w:r>
    </w:p>
    <w:p w14:paraId="1DE49A64"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7、法律法规规定或中国证监会认定的其他情形。</w:t>
      </w:r>
    </w:p>
    <w:p w14:paraId="6603C252"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p>
    <w:p w14:paraId="3942B562" w14:textId="77777777" w:rsidR="009D10D8" w:rsidRDefault="009E4577">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十一、巨额赎回的情形及处理方式</w:t>
      </w:r>
    </w:p>
    <w:p w14:paraId="4F35322A"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1、巨额赎回的认定</w:t>
      </w:r>
    </w:p>
    <w:p w14:paraId="46D24CA0"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0CD26806"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2、巨额赎回的处理方式</w:t>
      </w:r>
    </w:p>
    <w:p w14:paraId="7EED761B"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lastRenderedPageBreak/>
        <w:t>当基金出现巨额赎回时，基金管理人可以根据基金当时的资产组合状况决定全额赎回或部分延期赎回。</w:t>
      </w:r>
    </w:p>
    <w:p w14:paraId="76D8F865"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7CBE2E01"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Theme="minorEastAsia" w:hAnsiTheme="minorEastAsia" w:cs="Arial" w:hint="eastAsia"/>
          <w:sz w:val="24"/>
          <w:szCs w:val="24"/>
        </w:rPr>
        <w:t>并以下</w:t>
      </w:r>
      <w:proofErr w:type="gramEnd"/>
      <w:r>
        <w:rPr>
          <w:rFonts w:asciiTheme="minorEastAsia" w:hAnsiTheme="minorEastAsia" w:cs="Arial" w:hint="eastAsia"/>
          <w:sz w:val="24"/>
          <w:szCs w:val="24"/>
        </w:rPr>
        <w:t>一开放日的该类基金份额净值为基础计算赎回金额，以此类推，直到全部赎回为止。如投资人在提交赎回申请时未作明确选择，投资人未能赎回部分作自动延期赎回处理。</w:t>
      </w:r>
    </w:p>
    <w:p w14:paraId="26F7CB2F"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若本基金发生巨额赎回、在单个开放日内单个基金份额持有人申请赎回的基金份额超过上一开放日基金总份额20%的情形下，基金管理人有权对于该基金份额持有人当日超过上一开放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0B3A966E"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（4）暂停赎回：连续2个开放日以上（含本数）发生巨额赎回，如基金管理人认为有必要，可暂停接受基金的赎回申请；已经接受的赎回申请可以延缓支付赎回款项，但不得超过20个工作日，并应当在</w:t>
      </w:r>
      <w:r>
        <w:rPr>
          <w:rFonts w:asciiTheme="minorEastAsia" w:hAnsiTheme="minorEastAsia" w:cs="Times New Roman" w:hint="eastAsia"/>
          <w:sz w:val="24"/>
          <w:szCs w:val="24"/>
        </w:rPr>
        <w:t>规定</w:t>
      </w:r>
      <w:r>
        <w:rPr>
          <w:rFonts w:asciiTheme="minorEastAsia" w:hAnsiTheme="minorEastAsia" w:cs="Arial" w:hint="eastAsia"/>
          <w:sz w:val="24"/>
          <w:szCs w:val="24"/>
        </w:rPr>
        <w:t>媒介上进行公告。</w:t>
      </w:r>
    </w:p>
    <w:p w14:paraId="61A9B0F5"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3、巨额赎回的公告</w:t>
      </w:r>
    </w:p>
    <w:p w14:paraId="45F68D48"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当发生上述巨额赎回并触发“（2）部分延期赎回”情形时，基金管理人应当通过邮寄、传真或者招募说明书规定的其他方式在3个交易日内通知基金份额持</w:t>
      </w:r>
      <w:r>
        <w:rPr>
          <w:rFonts w:asciiTheme="minorEastAsia" w:hAnsiTheme="minorEastAsia" w:cs="Arial" w:hint="eastAsia"/>
          <w:sz w:val="24"/>
          <w:szCs w:val="24"/>
        </w:rPr>
        <w:lastRenderedPageBreak/>
        <w:t>有人，说明有关处理方法，并依照《信息披露办法》的有关规定在</w:t>
      </w:r>
      <w:r>
        <w:rPr>
          <w:rFonts w:asciiTheme="minorEastAsia" w:hAnsiTheme="minorEastAsia" w:cs="Times New Roman" w:hint="eastAsia"/>
          <w:sz w:val="24"/>
          <w:szCs w:val="24"/>
        </w:rPr>
        <w:t>规定</w:t>
      </w:r>
      <w:r>
        <w:rPr>
          <w:rFonts w:asciiTheme="minorEastAsia" w:hAnsiTheme="minorEastAsia" w:cs="Arial" w:hint="eastAsia"/>
          <w:sz w:val="24"/>
          <w:szCs w:val="24"/>
        </w:rPr>
        <w:t>媒介上刊登公告。</w:t>
      </w:r>
    </w:p>
    <w:p w14:paraId="1E96DAAD" w14:textId="77777777" w:rsidR="009D10D8" w:rsidRDefault="009E4577">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十二、暂停申购或赎回的公告和重新开放申购或赎回的公告</w:t>
      </w:r>
    </w:p>
    <w:p w14:paraId="1C4FD852"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1、发生上述暂停申购或赎回情况的，基金管理人应在规定期限内在</w:t>
      </w:r>
      <w:r>
        <w:rPr>
          <w:rFonts w:asciiTheme="minorEastAsia" w:hAnsiTheme="minorEastAsia" w:cs="Times New Roman" w:hint="eastAsia"/>
          <w:sz w:val="24"/>
          <w:szCs w:val="24"/>
        </w:rPr>
        <w:t>规定</w:t>
      </w:r>
      <w:r>
        <w:rPr>
          <w:rFonts w:asciiTheme="minorEastAsia" w:hAnsiTheme="minorEastAsia" w:cs="Arial" w:hint="eastAsia"/>
          <w:sz w:val="24"/>
          <w:szCs w:val="24"/>
        </w:rPr>
        <w:t>媒介上刊登暂停公告。</w:t>
      </w:r>
    </w:p>
    <w:p w14:paraId="3E2A817B"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2、如发生暂停的时间为1日，基金管理人应于重新开放日，在</w:t>
      </w:r>
      <w:r>
        <w:rPr>
          <w:rFonts w:asciiTheme="minorEastAsia" w:hAnsiTheme="minorEastAsia" w:cs="Times New Roman" w:hint="eastAsia"/>
          <w:sz w:val="24"/>
          <w:szCs w:val="24"/>
        </w:rPr>
        <w:t>规定</w:t>
      </w:r>
      <w:r>
        <w:rPr>
          <w:rFonts w:asciiTheme="minorEastAsia" w:hAnsiTheme="minorEastAsia" w:cs="Arial" w:hint="eastAsia"/>
          <w:sz w:val="24"/>
          <w:szCs w:val="24"/>
        </w:rPr>
        <w:t>媒介上刊登基金重新开放申购或赎回公告，并公布最近1个开放日的各类基金份额净值。</w:t>
      </w:r>
    </w:p>
    <w:p w14:paraId="7FB60E4B"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 xml:space="preserve">3、如发生暂停的时间超过1 日，基金管理人应提前1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工作日在</w:t>
      </w:r>
      <w:r>
        <w:rPr>
          <w:rFonts w:asciiTheme="minorEastAsia" w:hAnsiTheme="minorEastAsia" w:cs="Times New Roman" w:hint="eastAsia"/>
          <w:sz w:val="24"/>
          <w:szCs w:val="24"/>
        </w:rPr>
        <w:t>规定</w:t>
      </w:r>
      <w:r>
        <w:rPr>
          <w:rFonts w:asciiTheme="minorEastAsia" w:hAnsiTheme="minorEastAsia" w:cs="Arial" w:hint="eastAsia"/>
          <w:sz w:val="24"/>
          <w:szCs w:val="24"/>
        </w:rPr>
        <w:t xml:space="preserve">媒介刊登基金重新开放申购或赎回的公告，并在重新开始办理申购或赎回的开放日公告最近1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工作日的各类基金份额净值。</w:t>
      </w:r>
    </w:p>
    <w:p w14:paraId="064F3F72" w14:textId="77777777" w:rsidR="009D10D8" w:rsidRDefault="009E4577">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十三、基金转换</w:t>
      </w:r>
    </w:p>
    <w:p w14:paraId="2941B6FB"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5915885C" w14:textId="55CCCC0E" w:rsidR="009D10D8" w:rsidRDefault="009E4577">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十四、基金的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2A1D0EB6"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37CA1510"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5E96E273" w14:textId="2CBD2614" w:rsidR="009D10D8" w:rsidRDefault="009E4577">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十五、基金的转托管</w:t>
      </w:r>
    </w:p>
    <w:p w14:paraId="5D7A353C"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3459285F" w14:textId="6F6AA3CE" w:rsidR="009D10D8" w:rsidRDefault="009E4577">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lastRenderedPageBreak/>
        <w:t>十六、定期定额投资计划</w:t>
      </w:r>
    </w:p>
    <w:p w14:paraId="5B6E9BBA"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3D5918E5" w14:textId="691B0E2B" w:rsidR="009D10D8" w:rsidRDefault="009E4577">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十七、基金份额的冻结和解冻</w:t>
      </w:r>
    </w:p>
    <w:p w14:paraId="1E1CD95E"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53CBAC43" w14:textId="4DFB7D08" w:rsidR="009D10D8" w:rsidRDefault="009E4577">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十八、基金份额的转让</w:t>
      </w:r>
    </w:p>
    <w:p w14:paraId="479C5A42"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w:t>
      </w:r>
      <w:r>
        <w:rPr>
          <w:rFonts w:asciiTheme="minorEastAsia" w:hAnsiTheme="minorEastAsia" w:cs="Times New Roman" w:hint="eastAsia"/>
          <w:sz w:val="24"/>
          <w:szCs w:val="24"/>
        </w:rPr>
        <w:t>规定</w:t>
      </w:r>
      <w:r>
        <w:rPr>
          <w:rFonts w:asciiTheme="minorEastAsia" w:hAnsiTheme="minorEastAsia" w:cs="Arial" w:hint="eastAsia"/>
          <w:sz w:val="24"/>
          <w:szCs w:val="24"/>
        </w:rPr>
        <w:t>媒介公告相关的业务规则，基金份额持有人应根据基金管理人届时公告的业务规则办理基金份额转让业务。</w:t>
      </w:r>
    </w:p>
    <w:p w14:paraId="543F8099" w14:textId="43F88DF2" w:rsidR="009D10D8" w:rsidRDefault="009E4577">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十九、实施</w:t>
      </w:r>
      <w:proofErr w:type="gramStart"/>
      <w:r>
        <w:rPr>
          <w:rFonts w:asciiTheme="minorEastAsia" w:hAnsiTheme="minorEastAsia" w:cs="Arial" w:hint="eastAsia"/>
          <w:b/>
          <w:sz w:val="24"/>
          <w:szCs w:val="24"/>
        </w:rPr>
        <w:t>侧袋机制</w:t>
      </w:r>
      <w:proofErr w:type="gramEnd"/>
      <w:r>
        <w:rPr>
          <w:rFonts w:asciiTheme="minorEastAsia" w:hAnsiTheme="minorEastAsia" w:cs="Arial" w:hint="eastAsia"/>
          <w:b/>
          <w:sz w:val="24"/>
          <w:szCs w:val="24"/>
        </w:rPr>
        <w:t>期间本基金的申购与赎回</w:t>
      </w:r>
    </w:p>
    <w:p w14:paraId="233559A1"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本基金实施</w:t>
      </w:r>
      <w:proofErr w:type="gramStart"/>
      <w:r>
        <w:rPr>
          <w:rFonts w:asciiTheme="minorEastAsia" w:hAnsiTheme="minorEastAsia" w:cs="Arial" w:hint="eastAsia"/>
          <w:sz w:val="24"/>
          <w:szCs w:val="24"/>
        </w:rPr>
        <w:t>侧袋机制</w:t>
      </w:r>
      <w:proofErr w:type="gramEnd"/>
      <w:r>
        <w:rPr>
          <w:rFonts w:asciiTheme="minorEastAsia" w:hAnsiTheme="minorEastAsia" w:cs="Arial" w:hint="eastAsia"/>
          <w:sz w:val="24"/>
          <w:szCs w:val="24"/>
        </w:rPr>
        <w:t>的，本基金的申购和赎回安排详见本招募说明书“侧袋机制”部分的规定或相关公告。</w:t>
      </w:r>
    </w:p>
    <w:p w14:paraId="50BC4C7B" w14:textId="77777777" w:rsidR="009D10D8" w:rsidRDefault="009E4577">
      <w:pPr>
        <w:widowControl/>
        <w:jc w:val="left"/>
        <w:rPr>
          <w:rFonts w:asciiTheme="minorEastAsia" w:hAnsiTheme="minorEastAsia" w:cs="Arial" w:hint="eastAsia"/>
          <w:sz w:val="24"/>
          <w:szCs w:val="24"/>
        </w:rPr>
      </w:pPr>
      <w:r>
        <w:rPr>
          <w:rFonts w:asciiTheme="minorEastAsia" w:hAnsiTheme="minorEastAsia" w:cs="Arial"/>
          <w:sz w:val="24"/>
          <w:szCs w:val="24"/>
        </w:rPr>
        <w:br w:type="page"/>
      </w:r>
    </w:p>
    <w:p w14:paraId="62CEE01A" w14:textId="77777777" w:rsidR="009D10D8" w:rsidRDefault="009E4577">
      <w:pPr>
        <w:pStyle w:val="1"/>
        <w:jc w:val="center"/>
        <w:rPr>
          <w:sz w:val="30"/>
          <w:szCs w:val="30"/>
        </w:rPr>
      </w:pPr>
      <w:bookmarkStart w:id="205" w:name="_Toc173322785"/>
      <w:r>
        <w:rPr>
          <w:rFonts w:hint="eastAsia"/>
          <w:sz w:val="30"/>
          <w:szCs w:val="30"/>
        </w:rPr>
        <w:lastRenderedPageBreak/>
        <w:t>第九部分</w:t>
      </w:r>
      <w:r>
        <w:rPr>
          <w:sz w:val="30"/>
          <w:szCs w:val="30"/>
        </w:rPr>
        <w:t xml:space="preserve">  </w:t>
      </w:r>
      <w:r>
        <w:rPr>
          <w:rFonts w:hint="eastAsia"/>
          <w:sz w:val="30"/>
          <w:szCs w:val="30"/>
        </w:rPr>
        <w:t>基金的投资</w:t>
      </w:r>
      <w:bookmarkEnd w:id="184"/>
      <w:bookmarkEnd w:id="205"/>
    </w:p>
    <w:p w14:paraId="357821FC" w14:textId="77777777" w:rsidR="009D10D8" w:rsidRDefault="009E4577">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一、投资目标</w:t>
      </w:r>
    </w:p>
    <w:p w14:paraId="5CBC8089"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本基金通过对行业及公司深入的研究分析，精选优质上市公司，在严格控制风险和保持资产流动性的前提下，追求超越业绩比较基准的投资回报，力争实现基金资产的长期稳健增值。</w:t>
      </w:r>
    </w:p>
    <w:p w14:paraId="469BE641" w14:textId="77777777" w:rsidR="009D10D8" w:rsidRDefault="009E4577">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二、投资范围</w:t>
      </w:r>
    </w:p>
    <w:p w14:paraId="65DD2753"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投资范围为具有良好流动性的金融工具，包括国内依法发行上市的股票（包括主板、创业板以及其他经中国证监会允许发行上市的股票、存托凭证）、债券（包括国债、地方政府债、金融债、企业债、公司债、政府支持债券、政府支持机构债、公开发行的次级债、可转换债券（含分离交易可转债）、可交换债券、央行票据、中期票据、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（包括超短期融资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以及法律法规或中国证监会允许投资的其他债券类金融工具）、资产支持证券、债券回购、同业存单、银行存款（包括协议存款、定期存款及其他银行存款）、货币市场工具、股指期货、国债期货、信用衍生品、股票期权以及法律法规或中国证监会允许基金投资的其他金融工具(但须符合中国证监会相关规定)。</w:t>
      </w:r>
    </w:p>
    <w:p w14:paraId="703A8194" w14:textId="152EEEF8"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本基金可根据相关法律法规和基金合同的约定参与融资业务。</w:t>
      </w:r>
    </w:p>
    <w:p w14:paraId="0F89F039"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39D16C16"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投资组合比例为：股票资产占基金资产的比例为60%-95%。每个交易日日终在扣除股指期货、国债期货、股票期权合约需缴纳的交易保证金以后，基金保留的现金或投资于到期日在一年以内的政府债券的比例合计不低于基金资产净值的5%，本基金所指的现金不包括结算备付金、存出保证金、应收申购款等。</w:t>
      </w:r>
    </w:p>
    <w:p w14:paraId="322C565E"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如未来法律法规或监管机构对投资比例要求有变更的，基金管理人在履行适当程序后，本基金的投资组合比例可进行相应调整。</w:t>
      </w:r>
    </w:p>
    <w:p w14:paraId="69FA2DD6" w14:textId="77777777" w:rsidR="009D10D8" w:rsidRDefault="009E4577">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 xml:space="preserve">三、投资策略 </w:t>
      </w:r>
    </w:p>
    <w:p w14:paraId="3DBD54D7"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1、大类资产配置</w:t>
      </w:r>
    </w:p>
    <w:p w14:paraId="236C9DBD"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本基金在资产配置上采取相对稳健的策略，采取“自上而下”的方式进行大类资产配置，根据对宏观经济、市场面、政策面等因素进行定量与定性相结合的</w:t>
      </w:r>
      <w:r>
        <w:rPr>
          <w:rFonts w:asciiTheme="minorEastAsia" w:hAnsiTheme="minorEastAsia" w:cs="Times New Roman" w:hint="eastAsia"/>
          <w:bCs/>
          <w:sz w:val="24"/>
          <w:szCs w:val="24"/>
        </w:rPr>
        <w:lastRenderedPageBreak/>
        <w:t>分析研究，根据各类资产不同的预期风险收益比来确定组合中股票、债券、货币市场工具及其他金融工具的比例。</w:t>
      </w:r>
    </w:p>
    <w:p w14:paraId="18EC2924"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2、股票投资策略</w:t>
      </w:r>
    </w:p>
    <w:p w14:paraId="36F2F683"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（1）行业配置策略</w:t>
      </w:r>
    </w:p>
    <w:p w14:paraId="21E7CE6B"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本基金主要通过密切跟踪行业进入者的数量、行业内各公司的竞争策略及各公司产品或服务的市场份额来判断公司所处行业竞争格局的变化，重点投资于行业竞争格局良好的行业。</w:t>
      </w:r>
    </w:p>
    <w:p w14:paraId="54E695A5"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1）行业景气度</w:t>
      </w:r>
    </w:p>
    <w:p w14:paraId="2D07AC51"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本基金将密切关注国家相关产业政策、规划动态，并结合行业数据持续跟踪、上下游产业</w:t>
      </w:r>
      <w:proofErr w:type="gramStart"/>
      <w:r>
        <w:rPr>
          <w:rFonts w:asciiTheme="minorEastAsia" w:hAnsiTheme="minorEastAsia" w:cs="Times New Roman" w:hint="eastAsia"/>
          <w:bCs/>
          <w:sz w:val="24"/>
          <w:szCs w:val="24"/>
        </w:rPr>
        <w:t>链深入</w:t>
      </w:r>
      <w:proofErr w:type="gramEnd"/>
      <w:r>
        <w:rPr>
          <w:rFonts w:asciiTheme="minorEastAsia" w:hAnsiTheme="minorEastAsia" w:cs="Times New Roman" w:hint="eastAsia"/>
          <w:bCs/>
          <w:sz w:val="24"/>
          <w:szCs w:val="24"/>
        </w:rPr>
        <w:t>进行调研等方法，根据相关行业盈利水平的横向与纵向比较，适时对各行业景气度周期与行业未来盈利趋势进行</w:t>
      </w:r>
      <w:proofErr w:type="gramStart"/>
      <w:r>
        <w:rPr>
          <w:rFonts w:asciiTheme="minorEastAsia" w:hAnsiTheme="minorEastAsia" w:cs="Times New Roman" w:hint="eastAsia"/>
          <w:bCs/>
          <w:sz w:val="24"/>
          <w:szCs w:val="24"/>
        </w:rPr>
        <w:t>研</w:t>
      </w:r>
      <w:proofErr w:type="gramEnd"/>
      <w:r>
        <w:rPr>
          <w:rFonts w:asciiTheme="minorEastAsia" w:hAnsiTheme="minorEastAsia" w:cs="Times New Roman" w:hint="eastAsia"/>
          <w:bCs/>
          <w:sz w:val="24"/>
          <w:szCs w:val="24"/>
        </w:rPr>
        <w:t>判，重点投资于景气度较高且具有可持续性的行业。</w:t>
      </w:r>
    </w:p>
    <w:p w14:paraId="1A6A5CF2"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2）行业竞争格局</w:t>
      </w:r>
    </w:p>
    <w:p w14:paraId="7D7C6842"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本基金主要通过密切跟踪行业进入者的数量、行业内各公司的竞争策略及各公司产品或服务的市场份额来判断公司所处行业竞争格局的变化，重点投资于行业竞争格局良好的行业。</w:t>
      </w:r>
    </w:p>
    <w:p w14:paraId="28B89C98"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（2）个股投资策略</w:t>
      </w:r>
    </w:p>
    <w:p w14:paraId="4D5C4D5B"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本基金在积极进行行业配置的基础上，通过定量筛选和定性分析相结合的方式来分析和选择具有良好风险收益比的品种。</w:t>
      </w:r>
    </w:p>
    <w:p w14:paraId="6910899A"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首先根据定量指标进行初选，主要依据盈利能力（净资产收益率、销售毛利率、销售净利率、EBITDA/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14:paraId="3A7BC837"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①公司主营业务收入在未来一段时间的变化趋势，例如主营业务收入增速超越所在行业平均增速；</w:t>
      </w:r>
    </w:p>
    <w:p w14:paraId="39BCB5B4"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②公司扣除非经常性损益后的净利润在未来一段时间的变化趋势，例如</w:t>
      </w:r>
      <w:proofErr w:type="gramStart"/>
      <w:r>
        <w:rPr>
          <w:rFonts w:asciiTheme="minorEastAsia" w:hAnsiTheme="minorEastAsia" w:cs="Times New Roman" w:hint="eastAsia"/>
          <w:bCs/>
          <w:sz w:val="24"/>
          <w:szCs w:val="24"/>
        </w:rPr>
        <w:t>扣非</w:t>
      </w:r>
      <w:r>
        <w:rPr>
          <w:rFonts w:asciiTheme="minorEastAsia" w:hAnsiTheme="minorEastAsia" w:cs="Times New Roman" w:hint="eastAsia"/>
          <w:bCs/>
          <w:sz w:val="24"/>
          <w:szCs w:val="24"/>
        </w:rPr>
        <w:lastRenderedPageBreak/>
        <w:t>净</w:t>
      </w:r>
      <w:proofErr w:type="gramEnd"/>
      <w:r>
        <w:rPr>
          <w:rFonts w:asciiTheme="minorEastAsia" w:hAnsiTheme="minorEastAsia" w:cs="Times New Roman" w:hint="eastAsia"/>
          <w:bCs/>
          <w:sz w:val="24"/>
          <w:szCs w:val="24"/>
        </w:rPr>
        <w:t>利润增速超越所在行业平均增速；</w:t>
      </w:r>
    </w:p>
    <w:p w14:paraId="17939E6C"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③公司盈利能力在未来一段时间的变化趋势，例如盈利能力位于行业所在排名前50%，盈利能力定量指标包括净资产收益率（ROE），投资资本回报（ROIC）等。</w:t>
      </w:r>
    </w:p>
    <w:p w14:paraId="15315B85"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2190BF55"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基金经理结合定量和定性研究以及实地调研，筛选出行业增长空间广阔、业务布局合理、基本面健康的优秀公司作为本基金的核心投资标的，根据个股的风险收益比选择投资的时机。</w:t>
      </w:r>
    </w:p>
    <w:p w14:paraId="4908D454"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在构建组合过程中，坚持风格均衡、个股适度、逆向投资和控制回撤。对于行业构成和个股风险收益比进行持续的权衡和优化，在确保组合在风险可控的前提下，获取稳健收益。</w:t>
      </w:r>
    </w:p>
    <w:p w14:paraId="72C67A0C"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3</w:t>
      </w:r>
      <w:r>
        <w:rPr>
          <w:rFonts w:asciiTheme="minorEastAsia" w:hAnsiTheme="minorEastAsia" w:cs="Times New Roman" w:hint="eastAsia"/>
          <w:bCs/>
          <w:sz w:val="24"/>
          <w:szCs w:val="24"/>
        </w:rPr>
        <w:t>、存托凭证投资策略</w:t>
      </w:r>
    </w:p>
    <w:p w14:paraId="43450EE7"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本基金可投资存托凭证，本基金将结合对宏观经济状况、行业景气度、公司竞争优势、公司治理结构、估值水平等因素的分析判断，选择投资价值高的存托凭证进行投资。</w:t>
      </w:r>
    </w:p>
    <w:p w14:paraId="4B59872A"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4</w:t>
      </w:r>
      <w:r>
        <w:rPr>
          <w:rFonts w:asciiTheme="minorEastAsia" w:hAnsiTheme="minorEastAsia" w:cs="Times New Roman" w:hint="eastAsia"/>
          <w:bCs/>
          <w:sz w:val="24"/>
          <w:szCs w:val="24"/>
        </w:rPr>
        <w:t>、债券投资策略</w:t>
      </w:r>
    </w:p>
    <w:p w14:paraId="44A32887"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（1）资产配置策略</w:t>
      </w:r>
    </w:p>
    <w:p w14:paraId="4256ADD1"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1256FE8D"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（2）利率类品种投资策略</w:t>
      </w:r>
    </w:p>
    <w:p w14:paraId="2E700F9C"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w:t>
      </w:r>
      <w:r>
        <w:rPr>
          <w:rFonts w:asciiTheme="minorEastAsia" w:hAnsiTheme="minorEastAsia" w:cs="Times New Roman" w:hint="eastAsia"/>
          <w:bCs/>
          <w:sz w:val="24"/>
          <w:szCs w:val="24"/>
        </w:rPr>
        <w:lastRenderedPageBreak/>
        <w:t>的前提下，综合考虑组合的流动性，决定投资品种。</w:t>
      </w:r>
    </w:p>
    <w:p w14:paraId="1C13A9D8"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（3）信用债投资策略</w:t>
      </w:r>
    </w:p>
    <w:p w14:paraId="39677299"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在深入的宏观研究基础上，综合分析各类信用债发行主体所处行业环境、发行人所处的市场地位、财务状况、管理水平等因素后，结合具体发行契约，对债券进行信用评级。在此基础上，建立信用类债券池，积极发掘信用利差具有相对投资机会的</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进行投资。</w:t>
      </w:r>
    </w:p>
    <w:p w14:paraId="50A43B16"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（4）可转换债券投资策略</w:t>
      </w:r>
    </w:p>
    <w:p w14:paraId="477B9D39"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可转换债券兼具权益类证券与固定收益类证券的特性，具有抵御下行风险、分享股票价格上涨收益的特点。本基金在对可转换公司债</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条款和发行债券公司基本面进行深入分析研究的基础上，综合考虑可转换债券</w:t>
      </w:r>
      <w:proofErr w:type="gramStart"/>
      <w:r>
        <w:rPr>
          <w:rFonts w:asciiTheme="minorEastAsia" w:hAnsiTheme="minorEastAsia" w:cs="Times New Roman" w:hint="eastAsia"/>
          <w:bCs/>
          <w:sz w:val="24"/>
          <w:szCs w:val="24"/>
        </w:rPr>
        <w:t>的债性和</w:t>
      </w:r>
      <w:proofErr w:type="gramEnd"/>
      <w:r>
        <w:rPr>
          <w:rFonts w:asciiTheme="minorEastAsia" w:hAnsiTheme="minorEastAsia" w:cs="Times New Roman" w:hint="eastAsia"/>
          <w:bCs/>
          <w:sz w:val="24"/>
          <w:szCs w:val="24"/>
        </w:rPr>
        <w:t>股性，利用可转换公司债</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定价模型进行估值分析，并最终选择合适的投资品种。</w:t>
      </w:r>
    </w:p>
    <w:p w14:paraId="6C4B7290"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（5）可交换债券投资策略</w:t>
      </w:r>
    </w:p>
    <w:p w14:paraId="2576FCDE"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可交换债券的价值取决于其股权价值、债券价值以及内嵌期权价值。其中其债券价值与可转换债券相同，即选择持有可交换债券至到期以获取票面价值和票面利息；而其股权价值则需要关注发行人持有的其他上市公司（目标公司）的股票价值。本基金将结合对可交换债券的</w:t>
      </w:r>
      <w:proofErr w:type="gramStart"/>
      <w:r>
        <w:rPr>
          <w:rFonts w:asciiTheme="minorEastAsia" w:hAnsiTheme="minorEastAsia" w:cs="Times New Roman" w:hint="eastAsia"/>
          <w:bCs/>
          <w:sz w:val="24"/>
          <w:szCs w:val="24"/>
        </w:rPr>
        <w:t>纯债部分</w:t>
      </w:r>
      <w:proofErr w:type="gramEnd"/>
      <w:r>
        <w:rPr>
          <w:rFonts w:asciiTheme="minorEastAsia" w:hAnsiTheme="minorEastAsia" w:cs="Times New Roman" w:hint="eastAsia"/>
          <w:bCs/>
          <w:sz w:val="24"/>
          <w:szCs w:val="24"/>
        </w:rPr>
        <w:t>价值以及对目标公司的股票价值的综合评估，选择具有较高投资价值的可交换债券进行投资。</w:t>
      </w:r>
    </w:p>
    <w:p w14:paraId="60CFA28B"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5</w:t>
      </w:r>
      <w:r>
        <w:rPr>
          <w:rFonts w:asciiTheme="minorEastAsia" w:hAnsiTheme="minorEastAsia" w:cs="Times New Roman" w:hint="eastAsia"/>
          <w:bCs/>
          <w:sz w:val="24"/>
          <w:szCs w:val="24"/>
        </w:rPr>
        <w:t>、资产支持证券投资策略</w:t>
      </w:r>
    </w:p>
    <w:p w14:paraId="189B9CCB"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本基金投资资产支持证券将综合</w:t>
      </w:r>
      <w:proofErr w:type="gramStart"/>
      <w:r>
        <w:rPr>
          <w:rFonts w:asciiTheme="minorEastAsia" w:hAnsiTheme="minorEastAsia" w:cs="Times New Roman" w:hint="eastAsia"/>
          <w:bCs/>
          <w:sz w:val="24"/>
          <w:szCs w:val="24"/>
        </w:rPr>
        <w:t>运用久期管理</w:t>
      </w:r>
      <w:proofErr w:type="gramEnd"/>
      <w:r>
        <w:rPr>
          <w:rFonts w:asciiTheme="minorEastAsia" w:hAnsiTheme="minorEastAsia" w:cs="Times New Roman" w:hint="eastAsia"/>
          <w:bCs/>
          <w:sz w:val="24"/>
          <w:szCs w:val="24"/>
        </w:rPr>
        <w:t>、收益率曲线、</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选择和把握市场交易机会等积极策略，在严格遵守法律法规和基金合同基础上，通过信用研究和流动性管理，选择经风险调整后相对价值较高的品种进行投资，以期获得长期稳定收益。</w:t>
      </w:r>
    </w:p>
    <w:p w14:paraId="24DAD99C"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6</w:t>
      </w:r>
      <w:r>
        <w:rPr>
          <w:rFonts w:asciiTheme="minorEastAsia" w:hAnsiTheme="minorEastAsia" w:cs="Times New Roman" w:hint="eastAsia"/>
          <w:bCs/>
          <w:sz w:val="24"/>
          <w:szCs w:val="24"/>
        </w:rPr>
        <w:t>、衍生</w:t>
      </w:r>
      <w:proofErr w:type="gramStart"/>
      <w:r>
        <w:rPr>
          <w:rFonts w:asciiTheme="minorEastAsia" w:hAnsiTheme="minorEastAsia" w:cs="Times New Roman" w:hint="eastAsia"/>
          <w:bCs/>
          <w:sz w:val="24"/>
          <w:szCs w:val="24"/>
        </w:rPr>
        <w:t>品投资</w:t>
      </w:r>
      <w:proofErr w:type="gramEnd"/>
      <w:r>
        <w:rPr>
          <w:rFonts w:asciiTheme="minorEastAsia" w:hAnsiTheme="minorEastAsia" w:cs="Times New Roman" w:hint="eastAsia"/>
          <w:bCs/>
          <w:sz w:val="24"/>
          <w:szCs w:val="24"/>
        </w:rPr>
        <w:t>策略</w:t>
      </w:r>
    </w:p>
    <w:p w14:paraId="7ADB028C"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本基金的衍生</w:t>
      </w:r>
      <w:proofErr w:type="gramStart"/>
      <w:r>
        <w:rPr>
          <w:rFonts w:asciiTheme="minorEastAsia" w:hAnsiTheme="minorEastAsia" w:cs="Times New Roman" w:hint="eastAsia"/>
          <w:bCs/>
          <w:sz w:val="24"/>
          <w:szCs w:val="24"/>
        </w:rPr>
        <w:t>品投资</w:t>
      </w:r>
      <w:proofErr w:type="gramEnd"/>
      <w:r>
        <w:rPr>
          <w:rFonts w:asciiTheme="minorEastAsia" w:hAnsiTheme="minorEastAsia" w:cs="Times New Roman" w:hint="eastAsia"/>
          <w:bCs/>
          <w:sz w:val="24"/>
          <w:szCs w:val="24"/>
        </w:rPr>
        <w:t>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w:t>
      </w:r>
      <w:proofErr w:type="gramStart"/>
      <w:r>
        <w:rPr>
          <w:rFonts w:asciiTheme="minorEastAsia" w:hAnsiTheme="minorEastAsia" w:cs="Times New Roman" w:hint="eastAsia"/>
          <w:bCs/>
          <w:sz w:val="24"/>
          <w:szCs w:val="24"/>
        </w:rPr>
        <w:t>或调仓过程</w:t>
      </w:r>
      <w:proofErr w:type="gramEnd"/>
      <w:r>
        <w:rPr>
          <w:rFonts w:asciiTheme="minorEastAsia" w:hAnsiTheme="minorEastAsia" w:cs="Times New Roman" w:hint="eastAsia"/>
          <w:bCs/>
          <w:sz w:val="24"/>
          <w:szCs w:val="24"/>
        </w:rPr>
        <w:t>中的冲击成本等。</w:t>
      </w:r>
    </w:p>
    <w:p w14:paraId="3EFD9CA3"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（1）股指期货投资策略</w:t>
      </w:r>
    </w:p>
    <w:p w14:paraId="226EE2B9"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本基金参与股指期货投资将根据风险管理的原则，以套期保值为目的。本基</w:t>
      </w:r>
      <w:r>
        <w:rPr>
          <w:rFonts w:asciiTheme="minorEastAsia" w:hAnsiTheme="minorEastAsia" w:cs="Times New Roman" w:hint="eastAsia"/>
          <w:bCs/>
          <w:sz w:val="24"/>
          <w:szCs w:val="24"/>
        </w:rPr>
        <w:lastRenderedPageBreak/>
        <w:t>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12FC8DF4"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7DDE8CB3"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（2）国债期货投资策略</w:t>
      </w:r>
    </w:p>
    <w:p w14:paraId="5DC89EAB"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本基金参与国债期货投资将根据风险管理的原则，以套期保值为目的。本基金将在风险可控的前提下，本着谨慎原则，参与国债期货的投资，以管理投资组合的系统性风险，改善组合的风险收益特性。</w:t>
      </w:r>
    </w:p>
    <w:p w14:paraId="747BF8D5"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5306071A"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（3）股票期权投资策略</w:t>
      </w:r>
    </w:p>
    <w:p w14:paraId="294B56E0"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4A508E77"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基金管理人将针对股票期权交易制订严格的授权管理制度和投资决策流程，确保投资、</w:t>
      </w:r>
      <w:proofErr w:type="gramStart"/>
      <w:r>
        <w:rPr>
          <w:rFonts w:asciiTheme="minorEastAsia" w:hAnsiTheme="minorEastAsia" w:cs="Times New Roman" w:hint="eastAsia"/>
          <w:bCs/>
          <w:sz w:val="24"/>
          <w:szCs w:val="24"/>
        </w:rPr>
        <w:t>风控等</w:t>
      </w:r>
      <w:proofErr w:type="gramEnd"/>
      <w:r>
        <w:rPr>
          <w:rFonts w:asciiTheme="minorEastAsia" w:hAnsiTheme="minorEastAsia" w:cs="Times New Roman" w:hint="eastAsia"/>
          <w:bCs/>
          <w:sz w:val="24"/>
          <w:szCs w:val="24"/>
        </w:rPr>
        <w:t>核心岗位人员具备股票期权业务知识和相应的专业能力，严格防范股票期权投资的风险。</w:t>
      </w:r>
    </w:p>
    <w:p w14:paraId="0F7642D3" w14:textId="77777777" w:rsidR="009D10D8" w:rsidRDefault="009E4577">
      <w:pPr>
        <w:spacing w:line="360" w:lineRule="auto"/>
        <w:ind w:firstLineChars="200" w:firstLine="480"/>
        <w:rPr>
          <w:bCs/>
          <w:sz w:val="24"/>
        </w:rPr>
      </w:pPr>
      <w:r>
        <w:rPr>
          <w:rFonts w:hint="eastAsia"/>
          <w:bCs/>
          <w:sz w:val="24"/>
        </w:rPr>
        <w:t>（</w:t>
      </w:r>
      <w:r>
        <w:rPr>
          <w:rFonts w:hint="eastAsia"/>
          <w:bCs/>
          <w:sz w:val="24"/>
        </w:rPr>
        <w:t>4</w:t>
      </w:r>
      <w:r>
        <w:rPr>
          <w:rFonts w:hint="eastAsia"/>
          <w:bCs/>
          <w:sz w:val="24"/>
        </w:rPr>
        <w:t>）信用衍生</w:t>
      </w:r>
      <w:proofErr w:type="gramStart"/>
      <w:r>
        <w:rPr>
          <w:rFonts w:hint="eastAsia"/>
          <w:bCs/>
          <w:sz w:val="24"/>
        </w:rPr>
        <w:t>品投资</w:t>
      </w:r>
      <w:proofErr w:type="gramEnd"/>
      <w:r>
        <w:rPr>
          <w:rFonts w:hint="eastAsia"/>
          <w:bCs/>
          <w:sz w:val="24"/>
        </w:rPr>
        <w:t>策略</w:t>
      </w:r>
    </w:p>
    <w:p w14:paraId="46EE5917" w14:textId="77777777" w:rsidR="009D10D8" w:rsidRDefault="009E4577">
      <w:pPr>
        <w:spacing w:line="360" w:lineRule="auto"/>
        <w:ind w:firstLineChars="200" w:firstLine="480"/>
        <w:rPr>
          <w:bCs/>
          <w:sz w:val="24"/>
        </w:rPr>
      </w:pPr>
      <w:r>
        <w:rPr>
          <w:rFonts w:hint="eastAsia"/>
          <w:bCs/>
          <w:sz w:val="24"/>
        </w:rPr>
        <w:t>本基金投资信用衍生品，按照风险管理原则，以风险对冲为目的，对所投资的资产组合进行风险管理。本基金将根据所持标的债券等固定收益品种的投资策略，审慎开展信用衍生品投资，合理确定信用衍生品的投资金额、期限等。</w:t>
      </w:r>
    </w:p>
    <w:p w14:paraId="40DCA949"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7</w:t>
      </w:r>
      <w:r>
        <w:rPr>
          <w:rFonts w:asciiTheme="minorEastAsia" w:hAnsiTheme="minorEastAsia" w:cs="Times New Roman" w:hint="eastAsia"/>
          <w:bCs/>
          <w:sz w:val="24"/>
          <w:szCs w:val="24"/>
        </w:rPr>
        <w:t>、参与融资业务投资策略</w:t>
      </w:r>
    </w:p>
    <w:p w14:paraId="6C573EDE"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6A13B352" w14:textId="77777777" w:rsidR="009D10D8" w:rsidRDefault="009E4577">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lastRenderedPageBreak/>
        <w:t>四、投资限制</w:t>
      </w:r>
    </w:p>
    <w:p w14:paraId="10D3478E"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1、组合限制</w:t>
      </w:r>
    </w:p>
    <w:p w14:paraId="146CC23E"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基金的投资组合应遵循以下限制：</w:t>
      </w:r>
    </w:p>
    <w:p w14:paraId="2B648C15"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（1）股票资产占基金资产的比例为60%-95%；</w:t>
      </w:r>
    </w:p>
    <w:p w14:paraId="4B5EC703"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0E059F93"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（3）本基金持有一家公司发行的证券，其市值不超过基金资产净值的10％；</w:t>
      </w:r>
    </w:p>
    <w:p w14:paraId="08C789F2"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（4）本基金管理人管理的全部基金持有一家公司发行的证券，不超过该证券的10％；</w:t>
      </w:r>
    </w:p>
    <w:p w14:paraId="6A03BD96"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（5）本基金投资于同一原始权益人的各类资产支持证券的比例，不得超过基金资产净值的10%；</w:t>
      </w:r>
    </w:p>
    <w:p w14:paraId="2C8D17EF"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（6）本基金持有的全部资产支持证券，其市值不得超过基金资产净值的20%；</w:t>
      </w:r>
    </w:p>
    <w:p w14:paraId="3BDBE9A4"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（7）本基金持有的同一(指同一信用级别)资产支持证券的比例，不得超过该资产支持证券规模的10%；</w:t>
      </w:r>
    </w:p>
    <w:p w14:paraId="7E9F0CCB"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（8）本基金管理人管理的全部基金投资于同一原始权益人的各类资产支持证券，不得超过其各类资产支持证券合计规模的10%；</w:t>
      </w:r>
    </w:p>
    <w:p w14:paraId="36BACE3E"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3786FC29"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（10）基金财产参与股票发行申购，本基金所申报的金额不超过本基金的总资产，本基金所申报的股票数量不超过拟发行股票公司本次发行股票的总量；</w:t>
      </w:r>
    </w:p>
    <w:p w14:paraId="5084905A"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（11）本基金进入全国银行间同业市场进行债券回购的资金余额不得超过基金资产净值的40%；本基金在全国银行间同业市场的债券回购最长期限为1年，债券回购到期后不得展期；</w:t>
      </w:r>
    </w:p>
    <w:p w14:paraId="08A2B646"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（12）本基金参与股指期货、国债期货交易依据下列标准建构组合：</w:t>
      </w:r>
    </w:p>
    <w:p w14:paraId="65374C48"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w:t>
      </w:r>
      <w:r>
        <w:rPr>
          <w:rFonts w:asciiTheme="minorEastAsia" w:hAnsiTheme="minorEastAsia" w:cs="Times New Roman" w:hint="eastAsia"/>
          <w:bCs/>
          <w:sz w:val="24"/>
          <w:szCs w:val="24"/>
        </w:rPr>
        <w:lastRenderedPageBreak/>
        <w:t>式回购）等；</w:t>
      </w:r>
    </w:p>
    <w:p w14:paraId="1576507B"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2）在任何交易日日终，持有的买入股指期货合约价值，不得超过基金资产净值的10%；在任何交易日日终，持有的买入国债期货合约价值，不得超过基金资产净值的15%；</w:t>
      </w:r>
    </w:p>
    <w:p w14:paraId="76FA4EDB"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3）在任何交易日日终，持有的卖出股指期货合约价值不得超过基金持有的股票总市值的20%；在任何交易日日终，持有的卖出国债期货合约价值不得超过基金持有的债券总市值的30%；</w:t>
      </w:r>
    </w:p>
    <w:p w14:paraId="7BB00F08"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2C3DA044"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5）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533A1C01"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77514141"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（14）本基金</w:t>
      </w:r>
      <w:proofErr w:type="gramStart"/>
      <w:r>
        <w:rPr>
          <w:rFonts w:asciiTheme="minorEastAsia" w:hAnsiTheme="minorEastAsia" w:cs="Times New Roman" w:hint="eastAsia"/>
          <w:bCs/>
          <w:sz w:val="24"/>
          <w:szCs w:val="24"/>
        </w:rPr>
        <w:t>不</w:t>
      </w:r>
      <w:proofErr w:type="gramEnd"/>
      <w:r>
        <w:rPr>
          <w:rFonts w:asciiTheme="minorEastAsia" w:hAnsiTheme="minorEastAsia" w:cs="Times New Roman" w:hint="eastAsia"/>
          <w:bCs/>
          <w:sz w:val="24"/>
          <w:szCs w:val="24"/>
        </w:rPr>
        <w:t>持有具有信用保护卖方属性的信用衍生品，</w:t>
      </w:r>
      <w:proofErr w:type="gramStart"/>
      <w:r>
        <w:rPr>
          <w:rFonts w:asciiTheme="minorEastAsia" w:hAnsiTheme="minorEastAsia" w:cs="Times New Roman" w:hint="eastAsia"/>
          <w:bCs/>
          <w:sz w:val="24"/>
          <w:szCs w:val="24"/>
        </w:rPr>
        <w:t>不</w:t>
      </w:r>
      <w:proofErr w:type="gramEnd"/>
      <w:r>
        <w:rPr>
          <w:rFonts w:asciiTheme="minorEastAsia" w:hAnsiTheme="minorEastAsia" w:cs="Times New Roman" w:hint="eastAsia"/>
          <w:bCs/>
          <w:sz w:val="24"/>
          <w:szCs w:val="24"/>
        </w:rPr>
        <w:t>持有合约类信用衍生品。投资信用衍生品名义本金不得超过本基金对应受保护债券面值的100%，投资于同一信用保护卖方的各类信用衍生品名义本金合计不得超过基金净值的10%。因证券市场波动、证券发行人合并、基金规模变动等基金管理人之外的因素，致使基金投资比例不符合上述规定投资比例的，基金管理人应该在三个月内进行调整；</w:t>
      </w:r>
    </w:p>
    <w:p w14:paraId="0341543A"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w:t>
      </w:r>
      <w:r>
        <w:rPr>
          <w:rFonts w:asciiTheme="minorEastAsia" w:hAnsiTheme="minorEastAsia" w:cs="Times New Roman"/>
          <w:bCs/>
          <w:sz w:val="24"/>
          <w:szCs w:val="24"/>
        </w:rPr>
        <w:t>5</w:t>
      </w:r>
      <w:r>
        <w:rPr>
          <w:rFonts w:asciiTheme="minorEastAsia" w:hAnsiTheme="minorEastAsia" w:cs="Times New Roman" w:hint="eastAsia"/>
          <w:bCs/>
          <w:sz w:val="24"/>
          <w:szCs w:val="24"/>
        </w:rPr>
        <w:t>）基金总资产不得超过基金净资产的140%；</w:t>
      </w:r>
    </w:p>
    <w:p w14:paraId="7C48E10D"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w:t>
      </w:r>
      <w:r>
        <w:rPr>
          <w:rFonts w:asciiTheme="minorEastAsia" w:hAnsiTheme="minorEastAsia" w:cs="Times New Roman"/>
          <w:bCs/>
          <w:sz w:val="24"/>
          <w:szCs w:val="24"/>
        </w:rPr>
        <w:t>6</w:t>
      </w:r>
      <w:r>
        <w:rPr>
          <w:rFonts w:asciiTheme="minorEastAsia" w:hAnsiTheme="minorEastAsia" w:cs="Times New Roman" w:hint="eastAsia"/>
          <w:bCs/>
          <w:sz w:val="24"/>
          <w:szCs w:val="24"/>
        </w:rPr>
        <w:t>）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12EEA178"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w:t>
      </w:r>
      <w:r>
        <w:rPr>
          <w:rFonts w:asciiTheme="minorEastAsia" w:hAnsiTheme="minorEastAsia" w:cs="Times New Roman"/>
          <w:bCs/>
          <w:sz w:val="24"/>
          <w:szCs w:val="24"/>
        </w:rPr>
        <w:t>7</w:t>
      </w:r>
      <w:r>
        <w:rPr>
          <w:rFonts w:asciiTheme="minorEastAsia" w:hAnsiTheme="minorEastAsia" w:cs="Times New Roman" w:hint="eastAsia"/>
          <w:bCs/>
          <w:sz w:val="24"/>
          <w:szCs w:val="24"/>
        </w:rPr>
        <w:t>）本基金主动投资于流动性受限资产的市值合计不得超过基金资产净值的15%；</w:t>
      </w:r>
    </w:p>
    <w:p w14:paraId="67B538CE"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因证券市场波动、上市公司股票停牌、基金规模变动等基金管理人之外的因素致使基金不符合前款所规定比例限制的，基金管理人不得主动新增流动性受限资产的投资；</w:t>
      </w:r>
    </w:p>
    <w:p w14:paraId="2E512A3A"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w:t>
      </w:r>
      <w:r>
        <w:rPr>
          <w:rFonts w:asciiTheme="minorEastAsia" w:hAnsiTheme="minorEastAsia" w:cs="Times New Roman"/>
          <w:bCs/>
          <w:sz w:val="24"/>
          <w:szCs w:val="24"/>
        </w:rPr>
        <w:t>8</w:t>
      </w:r>
      <w:r>
        <w:rPr>
          <w:rFonts w:asciiTheme="minorEastAsia" w:hAnsiTheme="minorEastAsia" w:cs="Times New Roman" w:hint="eastAsia"/>
          <w:bCs/>
          <w:sz w:val="24"/>
          <w:szCs w:val="24"/>
        </w:rPr>
        <w:t>）本基金与私募类</w:t>
      </w:r>
      <w:proofErr w:type="gramStart"/>
      <w:r>
        <w:rPr>
          <w:rFonts w:asciiTheme="minorEastAsia" w:hAnsiTheme="minorEastAsia" w:cs="Times New Roman" w:hint="eastAsia"/>
          <w:bCs/>
          <w:sz w:val="24"/>
          <w:szCs w:val="24"/>
        </w:rPr>
        <w:t>证券资管产品</w:t>
      </w:r>
      <w:proofErr w:type="gramEnd"/>
      <w:r>
        <w:rPr>
          <w:rFonts w:asciiTheme="minorEastAsia" w:hAnsiTheme="minorEastAsia" w:cs="Times New Roman" w:hint="eastAsia"/>
          <w:bCs/>
          <w:sz w:val="24"/>
          <w:szCs w:val="24"/>
        </w:rPr>
        <w:t>及中国证监会认定的其他主体为交易对手开展逆回购交易的，可接受质押品的资质要求应当与基金合同约定的投资范围保持一致；</w:t>
      </w:r>
    </w:p>
    <w:p w14:paraId="7ACDC26B"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w:t>
      </w:r>
      <w:r>
        <w:rPr>
          <w:rFonts w:asciiTheme="minorEastAsia" w:hAnsiTheme="minorEastAsia" w:cs="Times New Roman"/>
          <w:bCs/>
          <w:sz w:val="24"/>
          <w:szCs w:val="24"/>
        </w:rPr>
        <w:t>9</w:t>
      </w:r>
      <w:r>
        <w:rPr>
          <w:rFonts w:asciiTheme="minorEastAsia" w:hAnsiTheme="minorEastAsia" w:cs="Times New Roman" w:hint="eastAsia"/>
          <w:bCs/>
          <w:sz w:val="24"/>
          <w:szCs w:val="24"/>
        </w:rPr>
        <w:t>）本基金参与股票期权交易的，需遵守下列投资比例限制：</w:t>
      </w:r>
    </w:p>
    <w:p w14:paraId="42A86A6C"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1）本基金因未平仓的期权合约支付和收取的权利金总额不得超过基金资产净值的10%；</w:t>
      </w:r>
    </w:p>
    <w:p w14:paraId="52078C45"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069D2782"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3）本基金未平仓的期权合约面值不得超过基金资产净值的20%。其中，合约面值按照行权价乘以合约乘数计算；</w:t>
      </w:r>
    </w:p>
    <w:p w14:paraId="5601640B"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20</w:t>
      </w:r>
      <w:r>
        <w:rPr>
          <w:rFonts w:asciiTheme="minorEastAsia" w:hAnsiTheme="minorEastAsia" w:cs="Times New Roman" w:hint="eastAsia"/>
          <w:bCs/>
          <w:sz w:val="24"/>
          <w:szCs w:val="24"/>
        </w:rPr>
        <w:t>）本基金投资存托凭证的比例限制依照境内上市交易的股票执行，与境内上市交易的股票合并计算；</w:t>
      </w:r>
    </w:p>
    <w:p w14:paraId="0E67CE38"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w:t>
      </w:r>
      <w:r>
        <w:rPr>
          <w:rFonts w:asciiTheme="minorEastAsia" w:hAnsiTheme="minorEastAsia" w:cs="Times New Roman"/>
          <w:bCs/>
          <w:sz w:val="24"/>
          <w:szCs w:val="24"/>
        </w:rPr>
        <w:t>1</w:t>
      </w:r>
      <w:r>
        <w:rPr>
          <w:rFonts w:asciiTheme="minorEastAsia" w:hAnsiTheme="minorEastAsia" w:cs="Times New Roman" w:hint="eastAsia"/>
          <w:bCs/>
          <w:sz w:val="24"/>
          <w:szCs w:val="24"/>
        </w:rPr>
        <w:t>）本基金参与融资的，每个交易日日终，本基金持有的融资买入股票与其他有价证券市值之和，不得超过基金资产净值的95%；</w:t>
      </w:r>
    </w:p>
    <w:p w14:paraId="3F5EF41D"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w:t>
      </w:r>
      <w:r>
        <w:rPr>
          <w:rFonts w:asciiTheme="minorEastAsia" w:hAnsiTheme="minorEastAsia" w:cs="Times New Roman"/>
          <w:bCs/>
          <w:sz w:val="24"/>
          <w:szCs w:val="24"/>
        </w:rPr>
        <w:t>2</w:t>
      </w:r>
      <w:r>
        <w:rPr>
          <w:rFonts w:asciiTheme="minorEastAsia" w:hAnsiTheme="minorEastAsia" w:cs="Times New Roman" w:hint="eastAsia"/>
          <w:bCs/>
          <w:sz w:val="24"/>
          <w:szCs w:val="24"/>
        </w:rPr>
        <w:t>）法律法规及中国证监会规定的和《基金合同》约定的其他投资限制。</w:t>
      </w:r>
    </w:p>
    <w:p w14:paraId="38C7D819" w14:textId="5A2F9D86"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除上述第（2）、（9）、（13）、（14）、（1</w:t>
      </w:r>
      <w:r>
        <w:rPr>
          <w:rFonts w:asciiTheme="minorEastAsia" w:hAnsiTheme="minorEastAsia" w:cs="Times New Roman"/>
          <w:bCs/>
          <w:sz w:val="24"/>
          <w:szCs w:val="24"/>
        </w:rPr>
        <w:t>7</w:t>
      </w:r>
      <w:r>
        <w:rPr>
          <w:rFonts w:asciiTheme="minorEastAsia" w:hAnsiTheme="minorEastAsia" w:cs="Times New Roman" w:hint="eastAsia"/>
          <w:bCs/>
          <w:sz w:val="24"/>
          <w:szCs w:val="24"/>
        </w:rPr>
        <w:t>）、（1</w:t>
      </w:r>
      <w:r>
        <w:rPr>
          <w:rFonts w:asciiTheme="minorEastAsia" w:hAnsiTheme="minorEastAsia" w:cs="Times New Roman"/>
          <w:bCs/>
          <w:sz w:val="24"/>
          <w:szCs w:val="24"/>
        </w:rPr>
        <w:t>8</w:t>
      </w:r>
      <w:r>
        <w:rPr>
          <w:rFonts w:asciiTheme="minorEastAsia" w:hAnsiTheme="minorEastAsia" w:cs="Times New Roman" w:hint="eastAsia"/>
          <w:bCs/>
          <w:sz w:val="24"/>
          <w:szCs w:val="24"/>
        </w:rPr>
        <w:t>）项情形之外，因证券、期货市场波动、证券发行人合并、基金规模变动等基金管理人之外的因素致使基金投资比例不符合上述规定投资比例的，基金管理人应当在10个交易日内进行调整，但中国证监会规定的特殊情形除外。</w:t>
      </w:r>
    </w:p>
    <w:p w14:paraId="65BA0F92"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2DF441BC"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0E8AA024"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2、禁止行为</w:t>
      </w:r>
    </w:p>
    <w:p w14:paraId="772E4C8F"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为维护基金份额持有人的合法权益，基金财产不得用于下列投资或者活动：</w:t>
      </w:r>
    </w:p>
    <w:p w14:paraId="463BEEBA"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（1）承销证券；</w:t>
      </w:r>
    </w:p>
    <w:p w14:paraId="04423B41"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（2）违反规定向他人贷款或者提供担保；</w:t>
      </w:r>
    </w:p>
    <w:p w14:paraId="7BE7CC61"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（3）从事承担无限责任的投资；</w:t>
      </w:r>
    </w:p>
    <w:p w14:paraId="0698A60B"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（4）买卖其他基金份额，但是中国证监会另有规定的除外；</w:t>
      </w:r>
    </w:p>
    <w:p w14:paraId="2926B0C4"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（5）向其基金管理人、基金托管人出资；</w:t>
      </w:r>
    </w:p>
    <w:p w14:paraId="4C580E98"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（6）从事内幕交易、操纵证券交易价格及其他不正当的证券交易活动；</w:t>
      </w:r>
    </w:p>
    <w:p w14:paraId="6934AA51"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（7）法律、行政法规和中国证监会规定禁止的其他活动。</w:t>
      </w:r>
    </w:p>
    <w:p w14:paraId="2476E21C"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FCD093C"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法律、行政法规或监管部门取消或调整上述禁止行为，如适用于本基金，基金管理人在履行适当程序后，则本基金投资按照取消或调整后的规定执行。</w:t>
      </w:r>
    </w:p>
    <w:p w14:paraId="77E8446B" w14:textId="77777777" w:rsidR="009D10D8" w:rsidRDefault="009E4577">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五、业绩比较基准</w:t>
      </w:r>
    </w:p>
    <w:p w14:paraId="2495C65E"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1、业绩比较基准</w:t>
      </w:r>
    </w:p>
    <w:p w14:paraId="59B7CABE" w14:textId="3D03FF2D" w:rsidR="0049731F" w:rsidRPr="0049731F" w:rsidRDefault="0049731F">
      <w:pPr>
        <w:spacing w:line="360" w:lineRule="auto"/>
        <w:ind w:firstLineChars="200" w:firstLine="480"/>
        <w:rPr>
          <w:rFonts w:asciiTheme="minorEastAsia" w:hAnsiTheme="minorEastAsia" w:cs="Times New Roman" w:hint="eastAsia"/>
          <w:bCs/>
          <w:sz w:val="24"/>
          <w:szCs w:val="24"/>
        </w:rPr>
      </w:pPr>
      <w:r w:rsidRPr="0049731F">
        <w:rPr>
          <w:rFonts w:asciiTheme="minorEastAsia" w:hAnsiTheme="minorEastAsia" w:cs="Times New Roman" w:hint="eastAsia"/>
          <w:bCs/>
          <w:sz w:val="24"/>
          <w:szCs w:val="24"/>
        </w:rPr>
        <w:t>中证2000指数收益率*</w:t>
      </w:r>
      <w:r w:rsidR="005C220D">
        <w:rPr>
          <w:rFonts w:asciiTheme="minorEastAsia" w:hAnsiTheme="minorEastAsia" w:cs="Times New Roman" w:hint="eastAsia"/>
          <w:bCs/>
          <w:sz w:val="24"/>
          <w:szCs w:val="24"/>
        </w:rPr>
        <w:t>85</w:t>
      </w:r>
      <w:r w:rsidRPr="0049731F">
        <w:rPr>
          <w:rFonts w:asciiTheme="minorEastAsia" w:hAnsiTheme="minorEastAsia" w:cs="Times New Roman" w:hint="eastAsia"/>
          <w:bCs/>
          <w:sz w:val="24"/>
          <w:szCs w:val="24"/>
        </w:rPr>
        <w:t>%+银行活期存款利率(税后)*1</w:t>
      </w:r>
      <w:r w:rsidR="005C220D">
        <w:rPr>
          <w:rFonts w:asciiTheme="minorEastAsia" w:hAnsiTheme="minorEastAsia" w:cs="Times New Roman" w:hint="eastAsia"/>
          <w:bCs/>
          <w:sz w:val="24"/>
          <w:szCs w:val="24"/>
        </w:rPr>
        <w:t>5</w:t>
      </w:r>
      <w:r w:rsidRPr="0049731F">
        <w:rPr>
          <w:rFonts w:asciiTheme="minorEastAsia" w:hAnsiTheme="minorEastAsia" w:cs="Times New Roman" w:hint="eastAsia"/>
          <w:bCs/>
          <w:sz w:val="24"/>
          <w:szCs w:val="24"/>
        </w:rPr>
        <w:t xml:space="preserve">%  </w:t>
      </w:r>
    </w:p>
    <w:p w14:paraId="7648321A"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2、选择业绩比较基准的理由</w:t>
      </w:r>
    </w:p>
    <w:p w14:paraId="4A37308D" w14:textId="7C8BD1BB" w:rsidR="0049731F" w:rsidRDefault="0049731F">
      <w:pPr>
        <w:spacing w:line="360" w:lineRule="auto"/>
        <w:ind w:firstLineChars="200" w:firstLine="480"/>
        <w:rPr>
          <w:rFonts w:asciiTheme="minorEastAsia" w:hAnsiTheme="minorEastAsia" w:cs="Times New Roman" w:hint="eastAsia"/>
          <w:bCs/>
          <w:sz w:val="24"/>
          <w:szCs w:val="24"/>
        </w:rPr>
      </w:pPr>
      <w:r w:rsidRPr="0049731F">
        <w:rPr>
          <w:rFonts w:asciiTheme="minorEastAsia" w:hAnsiTheme="minorEastAsia" w:cs="Times New Roman" w:hint="eastAsia"/>
          <w:bCs/>
          <w:sz w:val="24"/>
          <w:szCs w:val="24"/>
        </w:rPr>
        <w:t>中证2000指数由中证指数有限公司编制并发布，从沪深市场中选取市值规模较小且流动性较好的2000只证券作为指数样本。对沪深股市小盘股的整体走势具有较强的代表性。本基金选择中证2000指数收益率作为股票投资部分的业绩比较基准可以有效评估本基金投资组合业绩，反映本基金的风格特点，适合作为本基金股票投资部分的业绩比较基准。</w:t>
      </w:r>
    </w:p>
    <w:p w14:paraId="20EC133C"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基于本基金的投资范围和投资策略，选用上述业绩比较基准能够忠实反映本基金的风险收益特征。</w:t>
      </w:r>
    </w:p>
    <w:p w14:paraId="1BAAAF0E" w14:textId="34E18C4B"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w:t>
      </w:r>
      <w:r w:rsidR="00E2140F" w:rsidRPr="00E2140F">
        <w:rPr>
          <w:rFonts w:asciiTheme="minorEastAsia" w:hAnsiTheme="minorEastAsia" w:cs="Times New Roman" w:hint="eastAsia"/>
          <w:bCs/>
          <w:sz w:val="24"/>
          <w:szCs w:val="24"/>
        </w:rPr>
        <w:t>指数编制单位停止计算编制以上指数或更改指数名称、或</w:t>
      </w:r>
      <w:r>
        <w:rPr>
          <w:rFonts w:asciiTheme="minorEastAsia" w:hAnsiTheme="minorEastAsia" w:cs="Times New Roman" w:hint="eastAsia"/>
          <w:bCs/>
          <w:sz w:val="24"/>
          <w:szCs w:val="24"/>
        </w:rPr>
        <w:t>今后法律法规</w:t>
      </w:r>
      <w:r>
        <w:rPr>
          <w:rFonts w:asciiTheme="minorEastAsia" w:hAnsiTheme="minorEastAsia" w:cs="Times New Roman" w:hint="eastAsia"/>
          <w:bCs/>
          <w:sz w:val="24"/>
          <w:szCs w:val="24"/>
        </w:rPr>
        <w:lastRenderedPageBreak/>
        <w:t>发生变化，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而无需召开基金份额持有人大会。</w:t>
      </w:r>
    </w:p>
    <w:p w14:paraId="7E0A5FC8" w14:textId="77777777" w:rsidR="009D10D8" w:rsidRDefault="009E4577">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六、风险收益特征</w:t>
      </w:r>
    </w:p>
    <w:p w14:paraId="6F098898"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5BCA22AF" w14:textId="77777777" w:rsidR="009D10D8" w:rsidRDefault="009E4577">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七、基金管理人代表基金行使股东或债权人权利的处理原则及方法</w:t>
      </w:r>
    </w:p>
    <w:p w14:paraId="74A169F7"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1、基金管理人按照国家有关规定代表基金独立行使股东或债权人权利，保护基金份额持有人的利益； </w:t>
      </w:r>
    </w:p>
    <w:p w14:paraId="6F6B1320"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2、不谋求对上市公司的控股； </w:t>
      </w:r>
    </w:p>
    <w:p w14:paraId="79C9B020"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3、有利于基金财产的安全与增值； </w:t>
      </w:r>
    </w:p>
    <w:p w14:paraId="4976C56B"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4、不通过关联交易为自身、雇员、授权代理人或任何存在利害关系的第三人牟取任何不当利益。</w:t>
      </w:r>
    </w:p>
    <w:p w14:paraId="6C807535" w14:textId="77777777" w:rsidR="009D10D8" w:rsidRDefault="009E4577">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八、</w:t>
      </w:r>
      <w:proofErr w:type="gramStart"/>
      <w:r>
        <w:rPr>
          <w:rFonts w:asciiTheme="minorEastAsia" w:hAnsiTheme="minorEastAsia" w:cs="Times New Roman" w:hint="eastAsia"/>
          <w:b/>
          <w:bCs/>
          <w:sz w:val="24"/>
          <w:szCs w:val="24"/>
        </w:rPr>
        <w:t>侧袋机制</w:t>
      </w:r>
      <w:proofErr w:type="gramEnd"/>
      <w:r>
        <w:rPr>
          <w:rFonts w:asciiTheme="minorEastAsia" w:hAnsiTheme="minorEastAsia" w:cs="Times New Roman" w:hint="eastAsia"/>
          <w:b/>
          <w:bCs/>
          <w:sz w:val="24"/>
          <w:szCs w:val="24"/>
        </w:rPr>
        <w:t>的实施和投资运作安排</w:t>
      </w:r>
    </w:p>
    <w:p w14:paraId="171D5C35"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asciiTheme="minorEastAsia" w:hAnsiTheme="minorEastAsia" w:cs="Times New Roman" w:hint="eastAsia"/>
          <w:bCs/>
          <w:sz w:val="24"/>
          <w:szCs w:val="24"/>
        </w:rPr>
        <w:t>启用侧袋机制</w:t>
      </w:r>
      <w:proofErr w:type="gramEnd"/>
      <w:r>
        <w:rPr>
          <w:rFonts w:asciiTheme="minorEastAsia" w:hAnsiTheme="minorEastAsia" w:cs="Times New Roman" w:hint="eastAsia"/>
          <w:bCs/>
          <w:sz w:val="24"/>
          <w:szCs w:val="24"/>
        </w:rPr>
        <w:t>。</w:t>
      </w:r>
    </w:p>
    <w:p w14:paraId="5C670ABC" w14:textId="77777777" w:rsidR="009D10D8" w:rsidRDefault="009E4577">
      <w:pPr>
        <w:spacing w:line="360" w:lineRule="auto"/>
        <w:ind w:firstLineChars="200" w:firstLine="480"/>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实施期间，本部分约定的投资组合比例、投资策略、组合限制、业绩比较基准、风险收益特征等约定仅</w:t>
      </w:r>
      <w:proofErr w:type="gramStart"/>
      <w:r>
        <w:rPr>
          <w:rFonts w:asciiTheme="minorEastAsia" w:hAnsiTheme="minorEastAsia" w:cs="Times New Roman" w:hint="eastAsia"/>
          <w:bCs/>
          <w:sz w:val="24"/>
          <w:szCs w:val="24"/>
        </w:rPr>
        <w:t>适用于主袋账户</w:t>
      </w:r>
      <w:proofErr w:type="gramEnd"/>
      <w:r>
        <w:rPr>
          <w:rFonts w:asciiTheme="minorEastAsia" w:hAnsiTheme="minorEastAsia" w:cs="Times New Roman" w:hint="eastAsia"/>
          <w:bCs/>
          <w:sz w:val="24"/>
          <w:szCs w:val="24"/>
        </w:rPr>
        <w:t>。</w:t>
      </w:r>
    </w:p>
    <w:p w14:paraId="7813B1F3" w14:textId="77777777" w:rsidR="009D10D8" w:rsidRDefault="009E4577">
      <w:pPr>
        <w:spacing w:line="360" w:lineRule="auto"/>
        <w:ind w:firstLineChars="200" w:firstLine="480"/>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的实施条件、实施程序、运作安排、投资安排、特定资产的处置变现和支付等对投资者权益有重大影响的事项详见本招募说明书“侧袋机制”部分的规定。</w:t>
      </w:r>
    </w:p>
    <w:p w14:paraId="269EA772" w14:textId="4FFBDC36" w:rsidR="009D10D8" w:rsidRDefault="004E75AB" w:rsidP="00026284">
      <w:pPr>
        <w:spacing w:line="360" w:lineRule="auto"/>
        <w:ind w:firstLineChars="200" w:firstLine="482"/>
        <w:rPr>
          <w:rFonts w:asciiTheme="minorEastAsia" w:hAnsiTheme="minorEastAsia" w:cs="Times New Roman" w:hint="eastAsia"/>
          <w:b/>
          <w:bCs/>
          <w:sz w:val="24"/>
          <w:szCs w:val="24"/>
        </w:rPr>
      </w:pPr>
      <w:r w:rsidRPr="00026284">
        <w:rPr>
          <w:rFonts w:asciiTheme="minorEastAsia" w:hAnsiTheme="minorEastAsia" w:cs="Times New Roman" w:hint="eastAsia"/>
          <w:b/>
          <w:bCs/>
          <w:sz w:val="24"/>
          <w:szCs w:val="24"/>
        </w:rPr>
        <w:t>九、</w:t>
      </w:r>
      <w:r w:rsidRPr="004E75AB">
        <w:rPr>
          <w:rFonts w:asciiTheme="minorEastAsia" w:hAnsiTheme="minorEastAsia" w:cs="Times New Roman" w:hint="eastAsia"/>
          <w:b/>
          <w:bCs/>
          <w:sz w:val="24"/>
          <w:szCs w:val="24"/>
        </w:rPr>
        <w:t>基金投资组合报告</w:t>
      </w:r>
    </w:p>
    <w:p w14:paraId="3824DE7F" w14:textId="77777777" w:rsidR="004E75AB" w:rsidRPr="00026284" w:rsidRDefault="004E75AB" w:rsidP="00026284">
      <w:pPr>
        <w:spacing w:line="360" w:lineRule="auto"/>
        <w:ind w:firstLineChars="200" w:firstLine="480"/>
        <w:rPr>
          <w:rFonts w:asciiTheme="minorEastAsia" w:hAnsiTheme="minorEastAsia" w:cs="Times New Roman" w:hint="eastAsia"/>
          <w:sz w:val="24"/>
          <w:szCs w:val="24"/>
        </w:rPr>
      </w:pPr>
      <w:r w:rsidRPr="00026284">
        <w:rPr>
          <w:rFonts w:asciiTheme="minorEastAsia" w:hAnsiTheme="minorEastAsia" w:cs="Times New Roman" w:hint="eastAsia"/>
          <w:sz w:val="24"/>
          <w:szCs w:val="24"/>
        </w:rPr>
        <w:t>基金管理人的董事会及董事保证本报告所载资料不存在虚假记载、误导性陈述或重大遗漏，并对其内容的真实性、准确性和完整性承担个别及连带责任。</w:t>
      </w:r>
    </w:p>
    <w:p w14:paraId="79788D38" w14:textId="55A8B09A" w:rsidR="004E75AB" w:rsidRPr="00026284" w:rsidRDefault="004E75AB" w:rsidP="00026284">
      <w:pPr>
        <w:spacing w:line="360" w:lineRule="auto"/>
        <w:ind w:firstLineChars="200" w:firstLine="480"/>
        <w:rPr>
          <w:rFonts w:asciiTheme="minorEastAsia" w:hAnsiTheme="minorEastAsia" w:cs="Times New Roman" w:hint="eastAsia"/>
          <w:sz w:val="24"/>
          <w:szCs w:val="24"/>
        </w:rPr>
      </w:pPr>
      <w:r w:rsidRPr="00026284">
        <w:rPr>
          <w:rFonts w:asciiTheme="minorEastAsia" w:hAnsiTheme="minorEastAsia" w:cs="Times New Roman" w:hint="eastAsia"/>
          <w:sz w:val="24"/>
          <w:szCs w:val="24"/>
        </w:rPr>
        <w:t>基金托管</w:t>
      </w:r>
      <w:proofErr w:type="gramStart"/>
      <w:r w:rsidRPr="00026284">
        <w:rPr>
          <w:rFonts w:asciiTheme="minorEastAsia" w:hAnsiTheme="minorEastAsia" w:cs="Times New Roman" w:hint="eastAsia"/>
          <w:sz w:val="24"/>
          <w:szCs w:val="24"/>
        </w:rPr>
        <w:t>人</w:t>
      </w:r>
      <w:r>
        <w:rPr>
          <w:rFonts w:asciiTheme="minorEastAsia" w:hAnsiTheme="minorEastAsia" w:cs="Times New Roman" w:hint="eastAsia"/>
          <w:sz w:val="24"/>
          <w:szCs w:val="24"/>
        </w:rPr>
        <w:t>浙商</w:t>
      </w:r>
      <w:proofErr w:type="gramEnd"/>
      <w:r w:rsidRPr="00026284">
        <w:rPr>
          <w:rFonts w:asciiTheme="minorEastAsia" w:hAnsiTheme="minorEastAsia" w:cs="Times New Roman" w:hint="eastAsia"/>
          <w:sz w:val="24"/>
          <w:szCs w:val="24"/>
        </w:rPr>
        <w:t>银行股份有限公司根据本基金合同规定，已复核了本报告中的净值表现和投资组合报告等内容，保证复核内容不存在虚假记载、误导性陈述</w:t>
      </w:r>
      <w:r w:rsidRPr="00026284">
        <w:rPr>
          <w:rFonts w:asciiTheme="minorEastAsia" w:hAnsiTheme="minorEastAsia" w:cs="Times New Roman" w:hint="eastAsia"/>
          <w:sz w:val="24"/>
          <w:szCs w:val="24"/>
        </w:rPr>
        <w:lastRenderedPageBreak/>
        <w:t>或者重大遗漏。</w:t>
      </w:r>
    </w:p>
    <w:p w14:paraId="79A46E0D" w14:textId="6A1FE0EA" w:rsidR="00020EB7" w:rsidRDefault="004E75AB" w:rsidP="00020EB7">
      <w:pPr>
        <w:spacing w:line="360" w:lineRule="auto"/>
        <w:ind w:firstLineChars="200" w:firstLine="480"/>
        <w:rPr>
          <w:rFonts w:asciiTheme="minorEastAsia" w:hAnsiTheme="minorEastAsia" w:cs="Times New Roman" w:hint="eastAsia"/>
          <w:sz w:val="24"/>
          <w:szCs w:val="24"/>
        </w:rPr>
      </w:pPr>
      <w:r w:rsidRPr="00026284">
        <w:rPr>
          <w:rFonts w:asciiTheme="minorEastAsia" w:hAnsiTheme="minorEastAsia" w:cs="Times New Roman" w:hint="eastAsia"/>
          <w:sz w:val="24"/>
          <w:szCs w:val="24"/>
        </w:rPr>
        <w:t>本投资组合报告所载数据截至</w:t>
      </w:r>
      <w:r w:rsidR="00C4508A" w:rsidRPr="00026284">
        <w:rPr>
          <w:rFonts w:asciiTheme="minorEastAsia" w:hAnsiTheme="minorEastAsia" w:cs="Times New Roman" w:hint="eastAsia"/>
          <w:sz w:val="24"/>
          <w:szCs w:val="24"/>
        </w:rPr>
        <w:t>202</w:t>
      </w:r>
      <w:r w:rsidR="00C4508A">
        <w:rPr>
          <w:rFonts w:asciiTheme="minorEastAsia" w:hAnsiTheme="minorEastAsia" w:cs="Times New Roman" w:hint="eastAsia"/>
          <w:sz w:val="24"/>
          <w:szCs w:val="24"/>
        </w:rPr>
        <w:t>5</w:t>
      </w:r>
      <w:r w:rsidRPr="00026284">
        <w:rPr>
          <w:rFonts w:asciiTheme="minorEastAsia" w:hAnsiTheme="minorEastAsia" w:cs="Times New Roman" w:hint="eastAsia"/>
          <w:sz w:val="24"/>
          <w:szCs w:val="24"/>
        </w:rPr>
        <w:t>年6月30日，本报告中所列财务数据未经审计。</w:t>
      </w:r>
      <w:bookmarkStart w:id="206" w:name="_Toc171673877"/>
    </w:p>
    <w:p w14:paraId="40C713E5" w14:textId="051E620E" w:rsidR="004D3275" w:rsidRPr="00026284" w:rsidRDefault="004D3275" w:rsidP="00026284">
      <w:pPr>
        <w:spacing w:line="360" w:lineRule="auto"/>
        <w:ind w:firstLineChars="200" w:firstLine="480"/>
        <w:rPr>
          <w:rFonts w:asciiTheme="minorEastAsia" w:hAnsiTheme="minorEastAsia" w:cs="Times New Roman" w:hint="eastAsia"/>
        </w:rPr>
      </w:pPr>
      <w:r w:rsidRPr="00026284">
        <w:rPr>
          <w:rFonts w:asciiTheme="minorEastAsia" w:hAnsiTheme="minorEastAsia" w:cs="Times New Roman" w:hint="eastAsia"/>
          <w:sz w:val="24"/>
          <w:szCs w:val="24"/>
        </w:rPr>
        <w:t>1、报告期末基金资产组合情况</w:t>
      </w:r>
      <w:bookmarkEnd w:id="206"/>
    </w:p>
    <w:tbl>
      <w:tblPr>
        <w:tblW w:w="9080" w:type="dxa"/>
        <w:tblInd w:w="108" w:type="dxa"/>
        <w:tblLook w:val="04A0" w:firstRow="1" w:lastRow="0" w:firstColumn="1" w:lastColumn="0" w:noHBand="0" w:noVBand="1"/>
      </w:tblPr>
      <w:tblGrid>
        <w:gridCol w:w="800"/>
        <w:gridCol w:w="2940"/>
        <w:gridCol w:w="2633"/>
        <w:gridCol w:w="2707"/>
      </w:tblGrid>
      <w:tr w:rsidR="004D3275" w14:paraId="6C180EAD" w14:textId="77777777" w:rsidTr="001B413F">
        <w:tc>
          <w:tcPr>
            <w:tcW w:w="800" w:type="dxa"/>
            <w:tcBorders>
              <w:top w:val="single" w:sz="8" w:space="0" w:color="000000"/>
              <w:left w:val="single" w:sz="8" w:space="0" w:color="000000"/>
              <w:bottom w:val="single" w:sz="6" w:space="0" w:color="000000"/>
              <w:right w:val="single" w:sz="8" w:space="0" w:color="000000"/>
            </w:tcBorders>
            <w:vAlign w:val="center"/>
            <w:hideMark/>
          </w:tcPr>
          <w:p w14:paraId="3053079E" w14:textId="77777777" w:rsidR="004D3275" w:rsidRDefault="004D3275" w:rsidP="00114C8C">
            <w:pPr>
              <w:pStyle w:val="biaogecenter"/>
              <w:wordWrap w:val="0"/>
              <w:rPr>
                <w:rFonts w:hint="eastAsia"/>
              </w:rPr>
            </w:pPr>
            <w:r>
              <w:rPr>
                <w:rFonts w:hAnsi="等线" w:hint="eastAsia"/>
                <w:color w:val="000000"/>
              </w:rPr>
              <w:t>序号</w:t>
            </w:r>
          </w:p>
        </w:tc>
        <w:tc>
          <w:tcPr>
            <w:tcW w:w="2940" w:type="dxa"/>
            <w:tcBorders>
              <w:top w:val="single" w:sz="8" w:space="0" w:color="000000"/>
              <w:left w:val="single" w:sz="8" w:space="0" w:color="000000"/>
              <w:bottom w:val="single" w:sz="6" w:space="0" w:color="000000"/>
              <w:right w:val="single" w:sz="8" w:space="0" w:color="000000"/>
            </w:tcBorders>
            <w:vAlign w:val="center"/>
            <w:hideMark/>
          </w:tcPr>
          <w:p w14:paraId="7C58008D" w14:textId="77777777" w:rsidR="004D3275" w:rsidRDefault="004D3275" w:rsidP="00114C8C">
            <w:pPr>
              <w:pStyle w:val="biaogecenter"/>
              <w:wordWrap w:val="0"/>
              <w:rPr>
                <w:rFonts w:hint="eastAsia"/>
              </w:rPr>
            </w:pPr>
            <w:r>
              <w:rPr>
                <w:rFonts w:hAnsi="等线" w:hint="eastAsia"/>
                <w:color w:val="000000"/>
              </w:rPr>
              <w:t>项目</w:t>
            </w:r>
          </w:p>
        </w:tc>
        <w:tc>
          <w:tcPr>
            <w:tcW w:w="2633" w:type="dxa"/>
            <w:tcBorders>
              <w:top w:val="single" w:sz="8" w:space="0" w:color="000000"/>
              <w:left w:val="single" w:sz="8" w:space="0" w:color="000000"/>
              <w:bottom w:val="single" w:sz="6" w:space="0" w:color="000000"/>
              <w:right w:val="single" w:sz="8" w:space="0" w:color="000000"/>
            </w:tcBorders>
            <w:vAlign w:val="center"/>
            <w:hideMark/>
          </w:tcPr>
          <w:p w14:paraId="571A1E5A" w14:textId="77777777" w:rsidR="004D3275" w:rsidRDefault="004D3275" w:rsidP="00114C8C">
            <w:pPr>
              <w:pStyle w:val="biaogecenter"/>
              <w:wordWrap w:val="0"/>
              <w:rPr>
                <w:rFonts w:hint="eastAsia"/>
              </w:rPr>
            </w:pPr>
            <w:r>
              <w:rPr>
                <w:rFonts w:hAnsi="等线" w:hint="eastAsia"/>
                <w:color w:val="000000"/>
              </w:rPr>
              <w:t>金额</w:t>
            </w:r>
            <w:r>
              <w:rPr>
                <w:rFonts w:hAnsi="等线"/>
                <w:color w:val="000000"/>
              </w:rPr>
              <w:t>(</w:t>
            </w:r>
            <w:r>
              <w:rPr>
                <w:rFonts w:hAnsi="等线" w:hint="eastAsia"/>
                <w:color w:val="000000"/>
              </w:rPr>
              <w:t>元</w:t>
            </w:r>
            <w:r>
              <w:rPr>
                <w:rFonts w:hAnsi="等线"/>
                <w:color w:val="000000"/>
              </w:rPr>
              <w:t>)</w:t>
            </w:r>
          </w:p>
        </w:tc>
        <w:tc>
          <w:tcPr>
            <w:tcW w:w="2707" w:type="dxa"/>
            <w:tcBorders>
              <w:top w:val="single" w:sz="8" w:space="0" w:color="000000"/>
              <w:left w:val="single" w:sz="8" w:space="0" w:color="000000"/>
              <w:bottom w:val="single" w:sz="6" w:space="0" w:color="000000"/>
              <w:right w:val="single" w:sz="8" w:space="0" w:color="000000"/>
            </w:tcBorders>
            <w:vAlign w:val="center"/>
            <w:hideMark/>
          </w:tcPr>
          <w:p w14:paraId="200B49B9" w14:textId="77777777" w:rsidR="004D3275" w:rsidRDefault="004D3275" w:rsidP="00114C8C">
            <w:pPr>
              <w:pStyle w:val="biaogecenter"/>
              <w:wordWrap w:val="0"/>
              <w:rPr>
                <w:rFonts w:hint="eastAsia"/>
              </w:rPr>
            </w:pPr>
            <w:r>
              <w:rPr>
                <w:rFonts w:hAnsi="等线" w:hint="eastAsia"/>
                <w:color w:val="000000"/>
              </w:rPr>
              <w:t>占基金总资产的比例（</w:t>
            </w:r>
            <w:r>
              <w:rPr>
                <w:rFonts w:hAnsi="等线"/>
                <w:color w:val="000000"/>
              </w:rPr>
              <w:t>%</w:t>
            </w:r>
            <w:r>
              <w:rPr>
                <w:rFonts w:hAnsi="等线" w:hint="eastAsia"/>
                <w:color w:val="000000"/>
              </w:rPr>
              <w:t>）</w:t>
            </w:r>
          </w:p>
        </w:tc>
      </w:tr>
      <w:tr w:rsidR="001B413F" w14:paraId="1D1F16E8" w14:textId="77777777" w:rsidTr="00693DDD">
        <w:tc>
          <w:tcPr>
            <w:tcW w:w="0" w:type="auto"/>
            <w:tcBorders>
              <w:top w:val="single" w:sz="8" w:space="0" w:color="000000"/>
              <w:left w:val="single" w:sz="8" w:space="0" w:color="000000"/>
              <w:bottom w:val="single" w:sz="6" w:space="0" w:color="000000"/>
              <w:right w:val="single" w:sz="8" w:space="0" w:color="000000"/>
            </w:tcBorders>
            <w:vAlign w:val="center"/>
            <w:hideMark/>
          </w:tcPr>
          <w:p w14:paraId="71F80632" w14:textId="77777777" w:rsidR="001B413F" w:rsidRDefault="001B413F" w:rsidP="001B413F">
            <w:pPr>
              <w:pStyle w:val="biaogecenter"/>
              <w:wordWrap w:val="0"/>
              <w:rPr>
                <w:rFonts w:hint="eastAsia"/>
              </w:rPr>
            </w:pPr>
            <w:r>
              <w:rPr>
                <w:rFonts w:hAnsi="等线"/>
                <w:color w:val="000000"/>
              </w:rPr>
              <w:t>1</w:t>
            </w:r>
          </w:p>
        </w:tc>
        <w:tc>
          <w:tcPr>
            <w:tcW w:w="2940" w:type="dxa"/>
            <w:tcBorders>
              <w:top w:val="single" w:sz="8" w:space="0" w:color="000000"/>
              <w:left w:val="single" w:sz="8" w:space="0" w:color="000000"/>
              <w:bottom w:val="single" w:sz="6" w:space="0" w:color="000000"/>
              <w:right w:val="single" w:sz="8" w:space="0" w:color="000000"/>
            </w:tcBorders>
            <w:vAlign w:val="center"/>
            <w:hideMark/>
          </w:tcPr>
          <w:p w14:paraId="53129609" w14:textId="77777777" w:rsidR="001B413F" w:rsidRDefault="001B413F" w:rsidP="001B413F">
            <w:pPr>
              <w:pStyle w:val="biaogeleft"/>
              <w:wordWrap w:val="0"/>
              <w:rPr>
                <w:rFonts w:hint="eastAsia"/>
              </w:rPr>
            </w:pPr>
            <w:r>
              <w:rPr>
                <w:rFonts w:hAnsi="等线" w:hint="eastAsia"/>
                <w:color w:val="000000"/>
              </w:rPr>
              <w:t>权益投资</w:t>
            </w:r>
          </w:p>
        </w:tc>
        <w:tc>
          <w:tcPr>
            <w:tcW w:w="2633" w:type="dxa"/>
            <w:tcBorders>
              <w:top w:val="single" w:sz="8" w:space="0" w:color="000000"/>
              <w:left w:val="single" w:sz="8" w:space="0" w:color="000000"/>
              <w:bottom w:val="single" w:sz="6" w:space="0" w:color="000000"/>
              <w:right w:val="single" w:sz="8" w:space="0" w:color="000000"/>
            </w:tcBorders>
            <w:hideMark/>
          </w:tcPr>
          <w:p w14:paraId="0B12CA70" w14:textId="6404722F" w:rsidR="001B413F" w:rsidRDefault="001B413F" w:rsidP="001B413F">
            <w:pPr>
              <w:pStyle w:val="biaogeright"/>
              <w:wordWrap w:val="0"/>
              <w:rPr>
                <w:rFonts w:hint="eastAsia"/>
              </w:rPr>
            </w:pPr>
            <w:r w:rsidRPr="00921057">
              <w:t>4,106,786.74</w:t>
            </w:r>
          </w:p>
        </w:tc>
        <w:tc>
          <w:tcPr>
            <w:tcW w:w="2707" w:type="dxa"/>
            <w:tcBorders>
              <w:top w:val="single" w:sz="8" w:space="0" w:color="000000"/>
              <w:left w:val="single" w:sz="8" w:space="0" w:color="000000"/>
              <w:bottom w:val="single" w:sz="6" w:space="0" w:color="000000"/>
              <w:right w:val="single" w:sz="8" w:space="0" w:color="000000"/>
            </w:tcBorders>
            <w:hideMark/>
          </w:tcPr>
          <w:p w14:paraId="6AECE521" w14:textId="199D549C" w:rsidR="001B413F" w:rsidRDefault="001B413F" w:rsidP="001B413F">
            <w:pPr>
              <w:pStyle w:val="biaogeright"/>
              <w:wordWrap w:val="0"/>
              <w:rPr>
                <w:rFonts w:hint="eastAsia"/>
              </w:rPr>
            </w:pPr>
            <w:r w:rsidRPr="00921057">
              <w:t>89.29</w:t>
            </w:r>
          </w:p>
        </w:tc>
      </w:tr>
      <w:tr w:rsidR="001B413F" w14:paraId="32738015" w14:textId="77777777" w:rsidTr="00693DDD">
        <w:tc>
          <w:tcPr>
            <w:tcW w:w="0" w:type="auto"/>
            <w:tcBorders>
              <w:top w:val="single" w:sz="8" w:space="0" w:color="000000"/>
              <w:left w:val="single" w:sz="8" w:space="0" w:color="000000"/>
              <w:bottom w:val="single" w:sz="6" w:space="0" w:color="000000"/>
              <w:right w:val="single" w:sz="8" w:space="0" w:color="000000"/>
            </w:tcBorders>
            <w:vAlign w:val="center"/>
            <w:hideMark/>
          </w:tcPr>
          <w:p w14:paraId="4CBE75C2" w14:textId="77777777" w:rsidR="001B413F" w:rsidRDefault="001B413F" w:rsidP="001B413F">
            <w:pPr>
              <w:widowControl/>
              <w:jc w:val="left"/>
              <w:rPr>
                <w:rFonts w:cs="宋体"/>
                <w:kern w:val="0"/>
                <w:sz w:val="20"/>
                <w:szCs w:val="20"/>
              </w:rPr>
            </w:pPr>
          </w:p>
        </w:tc>
        <w:tc>
          <w:tcPr>
            <w:tcW w:w="2940" w:type="dxa"/>
            <w:tcBorders>
              <w:top w:val="single" w:sz="8" w:space="0" w:color="000000"/>
              <w:left w:val="single" w:sz="8" w:space="0" w:color="000000"/>
              <w:bottom w:val="single" w:sz="6" w:space="0" w:color="000000"/>
              <w:right w:val="single" w:sz="8" w:space="0" w:color="000000"/>
            </w:tcBorders>
            <w:vAlign w:val="center"/>
            <w:hideMark/>
          </w:tcPr>
          <w:p w14:paraId="41B86526" w14:textId="77777777" w:rsidR="001B413F" w:rsidRDefault="001B413F" w:rsidP="001B413F">
            <w:pPr>
              <w:pStyle w:val="biaogeleft"/>
              <w:wordWrap w:val="0"/>
              <w:rPr>
                <w:rFonts w:hint="eastAsia"/>
              </w:rPr>
            </w:pPr>
            <w:r>
              <w:rPr>
                <w:rFonts w:hAnsi="等线" w:hint="eastAsia"/>
                <w:color w:val="000000"/>
              </w:rPr>
              <w:t>其中：股票</w:t>
            </w:r>
          </w:p>
        </w:tc>
        <w:tc>
          <w:tcPr>
            <w:tcW w:w="2633" w:type="dxa"/>
            <w:tcBorders>
              <w:top w:val="single" w:sz="8" w:space="0" w:color="000000"/>
              <w:left w:val="single" w:sz="8" w:space="0" w:color="000000"/>
              <w:bottom w:val="single" w:sz="6" w:space="0" w:color="000000"/>
              <w:right w:val="single" w:sz="8" w:space="0" w:color="000000"/>
            </w:tcBorders>
            <w:hideMark/>
          </w:tcPr>
          <w:p w14:paraId="5A0D3C31" w14:textId="43C3AEDA" w:rsidR="001B413F" w:rsidRDefault="001B413F" w:rsidP="001B413F">
            <w:pPr>
              <w:pStyle w:val="biaogeright"/>
              <w:wordWrap w:val="0"/>
              <w:rPr>
                <w:rFonts w:hint="eastAsia"/>
              </w:rPr>
            </w:pPr>
            <w:r w:rsidRPr="00921057">
              <w:t>4,106,786.74</w:t>
            </w:r>
          </w:p>
        </w:tc>
        <w:tc>
          <w:tcPr>
            <w:tcW w:w="2707" w:type="dxa"/>
            <w:tcBorders>
              <w:top w:val="single" w:sz="8" w:space="0" w:color="000000"/>
              <w:left w:val="single" w:sz="8" w:space="0" w:color="000000"/>
              <w:bottom w:val="single" w:sz="6" w:space="0" w:color="000000"/>
              <w:right w:val="single" w:sz="8" w:space="0" w:color="000000"/>
            </w:tcBorders>
            <w:hideMark/>
          </w:tcPr>
          <w:p w14:paraId="48CB1864" w14:textId="4517B44A" w:rsidR="001B413F" w:rsidRDefault="001B413F" w:rsidP="001B413F">
            <w:pPr>
              <w:pStyle w:val="biaogeright"/>
              <w:wordWrap w:val="0"/>
              <w:rPr>
                <w:rFonts w:hint="eastAsia"/>
              </w:rPr>
            </w:pPr>
            <w:r w:rsidRPr="00921057">
              <w:t>89.29</w:t>
            </w:r>
          </w:p>
        </w:tc>
      </w:tr>
      <w:tr w:rsidR="001B413F" w14:paraId="4FDF0467" w14:textId="77777777" w:rsidTr="00693DDD">
        <w:tc>
          <w:tcPr>
            <w:tcW w:w="0" w:type="auto"/>
            <w:tcBorders>
              <w:top w:val="single" w:sz="8" w:space="0" w:color="000000"/>
              <w:left w:val="single" w:sz="8" w:space="0" w:color="000000"/>
              <w:bottom w:val="single" w:sz="6" w:space="0" w:color="000000"/>
              <w:right w:val="single" w:sz="8" w:space="0" w:color="000000"/>
            </w:tcBorders>
            <w:vAlign w:val="center"/>
            <w:hideMark/>
          </w:tcPr>
          <w:p w14:paraId="1405719C" w14:textId="77777777" w:rsidR="001B413F" w:rsidRDefault="001B413F" w:rsidP="001B413F">
            <w:pPr>
              <w:pStyle w:val="biaogecenter"/>
              <w:wordWrap w:val="0"/>
              <w:rPr>
                <w:rFonts w:hint="eastAsia"/>
              </w:rPr>
            </w:pPr>
            <w:r>
              <w:rPr>
                <w:rFonts w:hAnsi="等线"/>
                <w:color w:val="000000"/>
              </w:rPr>
              <w:t>2</w:t>
            </w:r>
          </w:p>
        </w:tc>
        <w:tc>
          <w:tcPr>
            <w:tcW w:w="2940" w:type="dxa"/>
            <w:tcBorders>
              <w:top w:val="single" w:sz="8" w:space="0" w:color="000000"/>
              <w:left w:val="single" w:sz="8" w:space="0" w:color="000000"/>
              <w:bottom w:val="single" w:sz="6" w:space="0" w:color="000000"/>
              <w:right w:val="single" w:sz="8" w:space="0" w:color="000000"/>
            </w:tcBorders>
            <w:vAlign w:val="center"/>
            <w:hideMark/>
          </w:tcPr>
          <w:p w14:paraId="2FE42831" w14:textId="77777777" w:rsidR="001B413F" w:rsidRDefault="001B413F" w:rsidP="001B413F">
            <w:pPr>
              <w:pStyle w:val="biaogeleft"/>
              <w:wordWrap w:val="0"/>
              <w:rPr>
                <w:rFonts w:hint="eastAsia"/>
              </w:rPr>
            </w:pPr>
            <w:r>
              <w:rPr>
                <w:rFonts w:hAnsi="等线" w:hint="eastAsia"/>
                <w:color w:val="000000"/>
              </w:rPr>
              <w:t>基金投资</w:t>
            </w:r>
          </w:p>
        </w:tc>
        <w:tc>
          <w:tcPr>
            <w:tcW w:w="2633" w:type="dxa"/>
            <w:tcBorders>
              <w:top w:val="single" w:sz="8" w:space="0" w:color="000000"/>
              <w:left w:val="single" w:sz="8" w:space="0" w:color="000000"/>
              <w:bottom w:val="single" w:sz="6" w:space="0" w:color="000000"/>
              <w:right w:val="single" w:sz="8" w:space="0" w:color="000000"/>
            </w:tcBorders>
            <w:hideMark/>
          </w:tcPr>
          <w:p w14:paraId="5EE6B451" w14:textId="396C6595" w:rsidR="001B413F" w:rsidRDefault="001B413F" w:rsidP="001B413F">
            <w:pPr>
              <w:pStyle w:val="biaogeright"/>
              <w:wordWrap w:val="0"/>
              <w:rPr>
                <w:rFonts w:hint="eastAsia"/>
              </w:rPr>
            </w:pPr>
            <w:r w:rsidRPr="00921057">
              <w:t>-</w:t>
            </w:r>
          </w:p>
        </w:tc>
        <w:tc>
          <w:tcPr>
            <w:tcW w:w="2707" w:type="dxa"/>
            <w:tcBorders>
              <w:top w:val="single" w:sz="8" w:space="0" w:color="000000"/>
              <w:left w:val="single" w:sz="8" w:space="0" w:color="000000"/>
              <w:bottom w:val="single" w:sz="6" w:space="0" w:color="000000"/>
              <w:right w:val="single" w:sz="8" w:space="0" w:color="000000"/>
            </w:tcBorders>
            <w:hideMark/>
          </w:tcPr>
          <w:p w14:paraId="53A0836E" w14:textId="0E81D1C9" w:rsidR="001B413F" w:rsidRDefault="001B413F" w:rsidP="001B413F">
            <w:pPr>
              <w:pStyle w:val="biaogeright"/>
              <w:wordWrap w:val="0"/>
              <w:rPr>
                <w:rFonts w:hint="eastAsia"/>
              </w:rPr>
            </w:pPr>
            <w:r w:rsidRPr="00921057">
              <w:t>-</w:t>
            </w:r>
          </w:p>
        </w:tc>
      </w:tr>
      <w:tr w:rsidR="001B413F" w14:paraId="1AD0EE31" w14:textId="77777777" w:rsidTr="00693DDD">
        <w:tc>
          <w:tcPr>
            <w:tcW w:w="0" w:type="auto"/>
            <w:tcBorders>
              <w:top w:val="single" w:sz="8" w:space="0" w:color="000000"/>
              <w:left w:val="single" w:sz="8" w:space="0" w:color="000000"/>
              <w:bottom w:val="single" w:sz="6" w:space="0" w:color="000000"/>
              <w:right w:val="single" w:sz="8" w:space="0" w:color="000000"/>
            </w:tcBorders>
            <w:vAlign w:val="center"/>
            <w:hideMark/>
          </w:tcPr>
          <w:p w14:paraId="39B8BD68" w14:textId="77777777" w:rsidR="001B413F" w:rsidRDefault="001B413F" w:rsidP="001B413F">
            <w:pPr>
              <w:pStyle w:val="biaogecenter"/>
              <w:wordWrap w:val="0"/>
              <w:rPr>
                <w:rFonts w:hint="eastAsia"/>
              </w:rPr>
            </w:pPr>
            <w:r>
              <w:rPr>
                <w:rFonts w:hAnsi="等线"/>
                <w:color w:val="000000"/>
              </w:rPr>
              <w:t>3</w:t>
            </w:r>
          </w:p>
        </w:tc>
        <w:tc>
          <w:tcPr>
            <w:tcW w:w="2940" w:type="dxa"/>
            <w:tcBorders>
              <w:top w:val="single" w:sz="8" w:space="0" w:color="000000"/>
              <w:left w:val="single" w:sz="8" w:space="0" w:color="000000"/>
              <w:bottom w:val="single" w:sz="6" w:space="0" w:color="000000"/>
              <w:right w:val="single" w:sz="8" w:space="0" w:color="000000"/>
            </w:tcBorders>
            <w:vAlign w:val="center"/>
            <w:hideMark/>
          </w:tcPr>
          <w:p w14:paraId="7F471E63" w14:textId="77777777" w:rsidR="001B413F" w:rsidRDefault="001B413F" w:rsidP="001B413F">
            <w:pPr>
              <w:pStyle w:val="biaogeleft"/>
              <w:wordWrap w:val="0"/>
              <w:rPr>
                <w:rFonts w:hint="eastAsia"/>
              </w:rPr>
            </w:pPr>
            <w:r>
              <w:rPr>
                <w:rFonts w:hAnsi="等线" w:hint="eastAsia"/>
                <w:color w:val="000000"/>
              </w:rPr>
              <w:t>固定收益投资</w:t>
            </w:r>
          </w:p>
        </w:tc>
        <w:tc>
          <w:tcPr>
            <w:tcW w:w="2633" w:type="dxa"/>
            <w:tcBorders>
              <w:top w:val="single" w:sz="8" w:space="0" w:color="000000"/>
              <w:left w:val="single" w:sz="8" w:space="0" w:color="000000"/>
              <w:bottom w:val="single" w:sz="6" w:space="0" w:color="000000"/>
              <w:right w:val="single" w:sz="8" w:space="0" w:color="000000"/>
            </w:tcBorders>
            <w:hideMark/>
          </w:tcPr>
          <w:p w14:paraId="6665B379" w14:textId="2559B887" w:rsidR="001B413F" w:rsidRDefault="001B413F" w:rsidP="001B413F">
            <w:pPr>
              <w:pStyle w:val="biaogeright"/>
              <w:wordWrap w:val="0"/>
              <w:rPr>
                <w:rFonts w:hint="eastAsia"/>
              </w:rPr>
            </w:pPr>
            <w:r w:rsidRPr="00921057">
              <w:t>200,881.48</w:t>
            </w:r>
          </w:p>
        </w:tc>
        <w:tc>
          <w:tcPr>
            <w:tcW w:w="2707" w:type="dxa"/>
            <w:tcBorders>
              <w:top w:val="single" w:sz="8" w:space="0" w:color="000000"/>
              <w:left w:val="single" w:sz="8" w:space="0" w:color="000000"/>
              <w:bottom w:val="single" w:sz="6" w:space="0" w:color="000000"/>
              <w:right w:val="single" w:sz="8" w:space="0" w:color="000000"/>
            </w:tcBorders>
            <w:hideMark/>
          </w:tcPr>
          <w:p w14:paraId="66A31E5E" w14:textId="7E08E8D5" w:rsidR="001B413F" w:rsidRDefault="001B413F" w:rsidP="001B413F">
            <w:pPr>
              <w:pStyle w:val="biaogeright"/>
              <w:wordWrap w:val="0"/>
              <w:rPr>
                <w:rFonts w:hint="eastAsia"/>
              </w:rPr>
            </w:pPr>
            <w:r w:rsidRPr="00921057">
              <w:t>4.37</w:t>
            </w:r>
          </w:p>
        </w:tc>
      </w:tr>
      <w:tr w:rsidR="001B413F" w14:paraId="15D44703" w14:textId="77777777" w:rsidTr="00693DDD">
        <w:tc>
          <w:tcPr>
            <w:tcW w:w="0" w:type="auto"/>
            <w:tcBorders>
              <w:top w:val="single" w:sz="8" w:space="0" w:color="000000"/>
              <w:left w:val="single" w:sz="8" w:space="0" w:color="000000"/>
              <w:bottom w:val="single" w:sz="6" w:space="0" w:color="000000"/>
              <w:right w:val="single" w:sz="8" w:space="0" w:color="000000"/>
            </w:tcBorders>
            <w:vAlign w:val="center"/>
            <w:hideMark/>
          </w:tcPr>
          <w:p w14:paraId="5C4E92CF" w14:textId="77777777" w:rsidR="001B413F" w:rsidRDefault="001B413F" w:rsidP="001B413F">
            <w:pPr>
              <w:widowControl/>
              <w:jc w:val="left"/>
              <w:rPr>
                <w:rFonts w:cs="宋体"/>
                <w:kern w:val="0"/>
                <w:sz w:val="20"/>
                <w:szCs w:val="20"/>
              </w:rPr>
            </w:pPr>
          </w:p>
        </w:tc>
        <w:tc>
          <w:tcPr>
            <w:tcW w:w="2940" w:type="dxa"/>
            <w:tcBorders>
              <w:top w:val="single" w:sz="8" w:space="0" w:color="000000"/>
              <w:left w:val="single" w:sz="8" w:space="0" w:color="000000"/>
              <w:bottom w:val="single" w:sz="6" w:space="0" w:color="000000"/>
              <w:right w:val="single" w:sz="8" w:space="0" w:color="000000"/>
            </w:tcBorders>
            <w:vAlign w:val="center"/>
            <w:hideMark/>
          </w:tcPr>
          <w:p w14:paraId="4D62F434" w14:textId="77777777" w:rsidR="001B413F" w:rsidRDefault="001B413F" w:rsidP="001B413F">
            <w:pPr>
              <w:pStyle w:val="biaogeleft"/>
              <w:wordWrap w:val="0"/>
              <w:rPr>
                <w:rFonts w:hint="eastAsia"/>
              </w:rPr>
            </w:pPr>
            <w:r>
              <w:rPr>
                <w:rFonts w:hAnsi="等线" w:hint="eastAsia"/>
                <w:color w:val="000000"/>
              </w:rPr>
              <w:t>其中：债券</w:t>
            </w:r>
          </w:p>
        </w:tc>
        <w:tc>
          <w:tcPr>
            <w:tcW w:w="2633" w:type="dxa"/>
            <w:tcBorders>
              <w:top w:val="single" w:sz="8" w:space="0" w:color="000000"/>
              <w:left w:val="single" w:sz="8" w:space="0" w:color="000000"/>
              <w:bottom w:val="single" w:sz="6" w:space="0" w:color="000000"/>
              <w:right w:val="single" w:sz="8" w:space="0" w:color="000000"/>
            </w:tcBorders>
            <w:hideMark/>
          </w:tcPr>
          <w:p w14:paraId="683F4308" w14:textId="36D932C2" w:rsidR="001B413F" w:rsidRDefault="001B413F" w:rsidP="001B413F">
            <w:pPr>
              <w:pStyle w:val="biaogeright"/>
              <w:wordWrap w:val="0"/>
              <w:rPr>
                <w:rFonts w:hint="eastAsia"/>
              </w:rPr>
            </w:pPr>
            <w:r w:rsidRPr="00921057">
              <w:t>200,881.48</w:t>
            </w:r>
          </w:p>
        </w:tc>
        <w:tc>
          <w:tcPr>
            <w:tcW w:w="2707" w:type="dxa"/>
            <w:tcBorders>
              <w:top w:val="single" w:sz="8" w:space="0" w:color="000000"/>
              <w:left w:val="single" w:sz="8" w:space="0" w:color="000000"/>
              <w:bottom w:val="single" w:sz="6" w:space="0" w:color="000000"/>
              <w:right w:val="single" w:sz="8" w:space="0" w:color="000000"/>
            </w:tcBorders>
            <w:hideMark/>
          </w:tcPr>
          <w:p w14:paraId="5DFB896F" w14:textId="457D0E39" w:rsidR="001B413F" w:rsidRDefault="001B413F" w:rsidP="001B413F">
            <w:pPr>
              <w:pStyle w:val="biaogeright"/>
              <w:wordWrap w:val="0"/>
              <w:rPr>
                <w:rFonts w:hint="eastAsia"/>
              </w:rPr>
            </w:pPr>
            <w:r w:rsidRPr="00921057">
              <w:t>4.37</w:t>
            </w:r>
          </w:p>
        </w:tc>
      </w:tr>
      <w:tr w:rsidR="001B413F" w14:paraId="766B8396" w14:textId="77777777" w:rsidTr="00693DDD">
        <w:tc>
          <w:tcPr>
            <w:tcW w:w="0" w:type="auto"/>
            <w:tcBorders>
              <w:top w:val="single" w:sz="8" w:space="0" w:color="000000"/>
              <w:left w:val="single" w:sz="8" w:space="0" w:color="000000"/>
              <w:bottom w:val="single" w:sz="6" w:space="0" w:color="000000"/>
              <w:right w:val="single" w:sz="8" w:space="0" w:color="000000"/>
            </w:tcBorders>
            <w:vAlign w:val="center"/>
            <w:hideMark/>
          </w:tcPr>
          <w:p w14:paraId="0BB4EFD9" w14:textId="77777777" w:rsidR="001B413F" w:rsidRDefault="001B413F" w:rsidP="001B413F">
            <w:pPr>
              <w:widowControl/>
              <w:jc w:val="left"/>
              <w:rPr>
                <w:rFonts w:cs="宋体"/>
                <w:kern w:val="0"/>
                <w:sz w:val="20"/>
                <w:szCs w:val="20"/>
              </w:rPr>
            </w:pPr>
          </w:p>
        </w:tc>
        <w:tc>
          <w:tcPr>
            <w:tcW w:w="2940" w:type="dxa"/>
            <w:tcBorders>
              <w:top w:val="single" w:sz="8" w:space="0" w:color="000000"/>
              <w:left w:val="single" w:sz="8" w:space="0" w:color="000000"/>
              <w:bottom w:val="single" w:sz="6" w:space="0" w:color="000000"/>
              <w:right w:val="single" w:sz="8" w:space="0" w:color="000000"/>
            </w:tcBorders>
            <w:vAlign w:val="center"/>
            <w:hideMark/>
          </w:tcPr>
          <w:p w14:paraId="3761FC53" w14:textId="77777777" w:rsidR="001B413F" w:rsidRDefault="001B413F" w:rsidP="001B413F">
            <w:pPr>
              <w:pStyle w:val="biaogeleft"/>
              <w:wordWrap w:val="0"/>
              <w:ind w:left="750"/>
              <w:rPr>
                <w:rFonts w:hint="eastAsia"/>
              </w:rPr>
            </w:pPr>
            <w:r>
              <w:rPr>
                <w:rFonts w:hAnsi="等线" w:hint="eastAsia"/>
                <w:color w:val="000000"/>
              </w:rPr>
              <w:t>资产支持证券</w:t>
            </w:r>
          </w:p>
        </w:tc>
        <w:tc>
          <w:tcPr>
            <w:tcW w:w="2633" w:type="dxa"/>
            <w:tcBorders>
              <w:top w:val="single" w:sz="8" w:space="0" w:color="000000"/>
              <w:left w:val="single" w:sz="8" w:space="0" w:color="000000"/>
              <w:bottom w:val="single" w:sz="6" w:space="0" w:color="000000"/>
              <w:right w:val="single" w:sz="8" w:space="0" w:color="000000"/>
            </w:tcBorders>
            <w:hideMark/>
          </w:tcPr>
          <w:p w14:paraId="4519C13C" w14:textId="69978110" w:rsidR="001B413F" w:rsidRDefault="001B413F" w:rsidP="001B413F">
            <w:pPr>
              <w:pStyle w:val="biaogeright"/>
              <w:wordWrap w:val="0"/>
              <w:rPr>
                <w:rFonts w:hint="eastAsia"/>
              </w:rPr>
            </w:pPr>
            <w:r w:rsidRPr="00921057">
              <w:t>-</w:t>
            </w:r>
          </w:p>
        </w:tc>
        <w:tc>
          <w:tcPr>
            <w:tcW w:w="2707" w:type="dxa"/>
            <w:tcBorders>
              <w:top w:val="single" w:sz="8" w:space="0" w:color="000000"/>
              <w:left w:val="single" w:sz="8" w:space="0" w:color="000000"/>
              <w:bottom w:val="single" w:sz="6" w:space="0" w:color="000000"/>
              <w:right w:val="single" w:sz="8" w:space="0" w:color="000000"/>
            </w:tcBorders>
            <w:hideMark/>
          </w:tcPr>
          <w:p w14:paraId="081706C6" w14:textId="743F3347" w:rsidR="001B413F" w:rsidRDefault="001B413F" w:rsidP="001B413F">
            <w:pPr>
              <w:pStyle w:val="biaogeright"/>
              <w:wordWrap w:val="0"/>
              <w:rPr>
                <w:rFonts w:hint="eastAsia"/>
              </w:rPr>
            </w:pPr>
            <w:r w:rsidRPr="00921057">
              <w:t>-</w:t>
            </w:r>
          </w:p>
        </w:tc>
      </w:tr>
      <w:tr w:rsidR="001B413F" w14:paraId="766E51BE" w14:textId="77777777" w:rsidTr="00693DDD">
        <w:tc>
          <w:tcPr>
            <w:tcW w:w="0" w:type="auto"/>
            <w:tcBorders>
              <w:top w:val="single" w:sz="8" w:space="0" w:color="000000"/>
              <w:left w:val="single" w:sz="8" w:space="0" w:color="000000"/>
              <w:bottom w:val="single" w:sz="6" w:space="0" w:color="000000"/>
              <w:right w:val="single" w:sz="8" w:space="0" w:color="000000"/>
            </w:tcBorders>
            <w:vAlign w:val="center"/>
            <w:hideMark/>
          </w:tcPr>
          <w:p w14:paraId="15A41166" w14:textId="77777777" w:rsidR="001B413F" w:rsidRDefault="001B413F" w:rsidP="001B413F">
            <w:pPr>
              <w:pStyle w:val="biaogecenter"/>
              <w:wordWrap w:val="0"/>
              <w:rPr>
                <w:rFonts w:hint="eastAsia"/>
              </w:rPr>
            </w:pPr>
            <w:r>
              <w:rPr>
                <w:rFonts w:hAnsi="等线"/>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23C2BED" w14:textId="77777777" w:rsidR="001B413F" w:rsidRDefault="001B413F" w:rsidP="001B413F">
            <w:pPr>
              <w:pStyle w:val="biaogeleft"/>
              <w:wordWrap w:val="0"/>
              <w:rPr>
                <w:rFonts w:hint="eastAsia"/>
              </w:rPr>
            </w:pPr>
            <w:r>
              <w:rPr>
                <w:rFonts w:hAnsi="等线" w:hint="eastAsia"/>
                <w:color w:val="000000"/>
              </w:rPr>
              <w:t>贵金属投资</w:t>
            </w:r>
          </w:p>
        </w:tc>
        <w:tc>
          <w:tcPr>
            <w:tcW w:w="2633" w:type="dxa"/>
            <w:tcBorders>
              <w:top w:val="single" w:sz="8" w:space="0" w:color="000000"/>
              <w:left w:val="single" w:sz="8" w:space="0" w:color="000000"/>
              <w:bottom w:val="single" w:sz="6" w:space="0" w:color="000000"/>
              <w:right w:val="single" w:sz="8" w:space="0" w:color="000000"/>
            </w:tcBorders>
            <w:hideMark/>
          </w:tcPr>
          <w:p w14:paraId="696E13F0" w14:textId="379F1D49" w:rsidR="001B413F" w:rsidRDefault="001B413F" w:rsidP="001B413F">
            <w:pPr>
              <w:pStyle w:val="biaogeright"/>
              <w:wordWrap w:val="0"/>
              <w:rPr>
                <w:rFonts w:hint="eastAsia"/>
              </w:rPr>
            </w:pPr>
            <w:r w:rsidRPr="00921057">
              <w:t>-</w:t>
            </w:r>
          </w:p>
        </w:tc>
        <w:tc>
          <w:tcPr>
            <w:tcW w:w="2707" w:type="dxa"/>
            <w:tcBorders>
              <w:top w:val="single" w:sz="8" w:space="0" w:color="000000"/>
              <w:left w:val="single" w:sz="8" w:space="0" w:color="000000"/>
              <w:bottom w:val="single" w:sz="6" w:space="0" w:color="000000"/>
              <w:right w:val="single" w:sz="8" w:space="0" w:color="000000"/>
            </w:tcBorders>
            <w:hideMark/>
          </w:tcPr>
          <w:p w14:paraId="3EFFCD28" w14:textId="6E3341F9" w:rsidR="001B413F" w:rsidRDefault="001B413F" w:rsidP="001B413F">
            <w:pPr>
              <w:pStyle w:val="biaogeright"/>
              <w:wordWrap w:val="0"/>
              <w:rPr>
                <w:rFonts w:hint="eastAsia"/>
              </w:rPr>
            </w:pPr>
            <w:r w:rsidRPr="00921057">
              <w:t>-</w:t>
            </w:r>
          </w:p>
        </w:tc>
      </w:tr>
      <w:tr w:rsidR="001B413F" w14:paraId="61D758D9" w14:textId="77777777" w:rsidTr="00693DDD">
        <w:tc>
          <w:tcPr>
            <w:tcW w:w="0" w:type="auto"/>
            <w:tcBorders>
              <w:top w:val="single" w:sz="8" w:space="0" w:color="000000"/>
              <w:left w:val="single" w:sz="8" w:space="0" w:color="000000"/>
              <w:bottom w:val="single" w:sz="6" w:space="0" w:color="000000"/>
              <w:right w:val="single" w:sz="8" w:space="0" w:color="000000"/>
            </w:tcBorders>
            <w:vAlign w:val="center"/>
            <w:hideMark/>
          </w:tcPr>
          <w:p w14:paraId="0142DA8B" w14:textId="77777777" w:rsidR="001B413F" w:rsidRDefault="001B413F" w:rsidP="001B413F">
            <w:pPr>
              <w:pStyle w:val="biaogecenter"/>
              <w:wordWrap w:val="0"/>
              <w:rPr>
                <w:rFonts w:hint="eastAsia"/>
              </w:rPr>
            </w:pPr>
            <w:r>
              <w:rPr>
                <w:rFonts w:hAnsi="等线"/>
                <w:color w:val="000000"/>
              </w:rPr>
              <w:t>5</w:t>
            </w:r>
          </w:p>
        </w:tc>
        <w:tc>
          <w:tcPr>
            <w:tcW w:w="2940" w:type="dxa"/>
            <w:tcBorders>
              <w:top w:val="single" w:sz="8" w:space="0" w:color="000000"/>
              <w:left w:val="single" w:sz="8" w:space="0" w:color="000000"/>
              <w:bottom w:val="single" w:sz="6" w:space="0" w:color="000000"/>
              <w:right w:val="single" w:sz="8" w:space="0" w:color="000000"/>
            </w:tcBorders>
            <w:vAlign w:val="center"/>
            <w:hideMark/>
          </w:tcPr>
          <w:p w14:paraId="7CC6A4FD" w14:textId="77777777" w:rsidR="001B413F" w:rsidRDefault="001B413F" w:rsidP="001B413F">
            <w:pPr>
              <w:pStyle w:val="biaogeleft"/>
              <w:wordWrap w:val="0"/>
              <w:rPr>
                <w:rFonts w:hint="eastAsia"/>
              </w:rPr>
            </w:pPr>
            <w:r>
              <w:rPr>
                <w:rFonts w:hAnsi="等线" w:hint="eastAsia"/>
                <w:color w:val="000000"/>
              </w:rPr>
              <w:t>金融衍生</w:t>
            </w:r>
            <w:proofErr w:type="gramStart"/>
            <w:r>
              <w:rPr>
                <w:rFonts w:hAnsi="等线" w:hint="eastAsia"/>
                <w:color w:val="000000"/>
              </w:rPr>
              <w:t>品投资</w:t>
            </w:r>
            <w:proofErr w:type="gramEnd"/>
          </w:p>
        </w:tc>
        <w:tc>
          <w:tcPr>
            <w:tcW w:w="2633" w:type="dxa"/>
            <w:tcBorders>
              <w:top w:val="single" w:sz="8" w:space="0" w:color="000000"/>
              <w:left w:val="single" w:sz="8" w:space="0" w:color="000000"/>
              <w:bottom w:val="single" w:sz="6" w:space="0" w:color="000000"/>
              <w:right w:val="single" w:sz="8" w:space="0" w:color="000000"/>
            </w:tcBorders>
            <w:hideMark/>
          </w:tcPr>
          <w:p w14:paraId="6BB47B57" w14:textId="3F76E019" w:rsidR="001B413F" w:rsidRDefault="001B413F" w:rsidP="001B413F">
            <w:pPr>
              <w:pStyle w:val="biaogeright"/>
              <w:wordWrap w:val="0"/>
              <w:rPr>
                <w:rFonts w:hint="eastAsia"/>
              </w:rPr>
            </w:pPr>
            <w:r w:rsidRPr="00921057">
              <w:t>-</w:t>
            </w:r>
          </w:p>
        </w:tc>
        <w:tc>
          <w:tcPr>
            <w:tcW w:w="2707" w:type="dxa"/>
            <w:tcBorders>
              <w:top w:val="single" w:sz="8" w:space="0" w:color="000000"/>
              <w:left w:val="single" w:sz="8" w:space="0" w:color="000000"/>
              <w:bottom w:val="single" w:sz="6" w:space="0" w:color="000000"/>
              <w:right w:val="single" w:sz="8" w:space="0" w:color="000000"/>
            </w:tcBorders>
            <w:hideMark/>
          </w:tcPr>
          <w:p w14:paraId="05ECA089" w14:textId="4E7FF5A0" w:rsidR="001B413F" w:rsidRDefault="001B413F" w:rsidP="001B413F">
            <w:pPr>
              <w:pStyle w:val="biaogeright"/>
              <w:wordWrap w:val="0"/>
              <w:rPr>
                <w:rFonts w:hint="eastAsia"/>
              </w:rPr>
            </w:pPr>
            <w:r w:rsidRPr="00921057">
              <w:t>-</w:t>
            </w:r>
          </w:p>
        </w:tc>
      </w:tr>
      <w:tr w:rsidR="001B413F" w14:paraId="0FC75553" w14:textId="77777777" w:rsidTr="00693DDD">
        <w:tc>
          <w:tcPr>
            <w:tcW w:w="0" w:type="auto"/>
            <w:tcBorders>
              <w:top w:val="single" w:sz="8" w:space="0" w:color="000000"/>
              <w:left w:val="single" w:sz="8" w:space="0" w:color="000000"/>
              <w:bottom w:val="single" w:sz="6" w:space="0" w:color="000000"/>
              <w:right w:val="single" w:sz="8" w:space="0" w:color="000000"/>
            </w:tcBorders>
            <w:vAlign w:val="center"/>
            <w:hideMark/>
          </w:tcPr>
          <w:p w14:paraId="1D7855B3" w14:textId="77777777" w:rsidR="001B413F" w:rsidRDefault="001B413F" w:rsidP="001B413F">
            <w:pPr>
              <w:pStyle w:val="biaogecenter"/>
              <w:wordWrap w:val="0"/>
              <w:rPr>
                <w:rFonts w:hint="eastAsia"/>
              </w:rPr>
            </w:pPr>
            <w:r>
              <w:rPr>
                <w:rFonts w:hAnsi="等线"/>
                <w:color w:val="000000"/>
              </w:rPr>
              <w:t>6</w:t>
            </w:r>
          </w:p>
        </w:tc>
        <w:tc>
          <w:tcPr>
            <w:tcW w:w="2940" w:type="dxa"/>
            <w:tcBorders>
              <w:top w:val="single" w:sz="8" w:space="0" w:color="000000"/>
              <w:left w:val="single" w:sz="8" w:space="0" w:color="000000"/>
              <w:bottom w:val="single" w:sz="6" w:space="0" w:color="000000"/>
              <w:right w:val="single" w:sz="8" w:space="0" w:color="000000"/>
            </w:tcBorders>
            <w:vAlign w:val="center"/>
            <w:hideMark/>
          </w:tcPr>
          <w:p w14:paraId="2C7C77D7" w14:textId="77777777" w:rsidR="001B413F" w:rsidRDefault="001B413F" w:rsidP="001B413F">
            <w:pPr>
              <w:pStyle w:val="biaogeleft"/>
              <w:wordWrap w:val="0"/>
              <w:rPr>
                <w:rFonts w:hint="eastAsia"/>
              </w:rPr>
            </w:pPr>
            <w:r>
              <w:rPr>
                <w:rFonts w:hAnsi="等线" w:hint="eastAsia"/>
                <w:color w:val="000000"/>
              </w:rPr>
              <w:t>买入返售金融资产</w:t>
            </w:r>
          </w:p>
        </w:tc>
        <w:tc>
          <w:tcPr>
            <w:tcW w:w="2633" w:type="dxa"/>
            <w:tcBorders>
              <w:top w:val="single" w:sz="8" w:space="0" w:color="000000"/>
              <w:left w:val="single" w:sz="8" w:space="0" w:color="000000"/>
              <w:bottom w:val="single" w:sz="6" w:space="0" w:color="000000"/>
              <w:right w:val="single" w:sz="8" w:space="0" w:color="000000"/>
            </w:tcBorders>
            <w:hideMark/>
          </w:tcPr>
          <w:p w14:paraId="3E0E3558" w14:textId="1DFECD19" w:rsidR="001B413F" w:rsidRDefault="001B413F" w:rsidP="001B413F">
            <w:pPr>
              <w:pStyle w:val="biaogeright"/>
              <w:wordWrap w:val="0"/>
              <w:rPr>
                <w:rFonts w:hint="eastAsia"/>
              </w:rPr>
            </w:pPr>
            <w:r w:rsidRPr="00921057">
              <w:t>-</w:t>
            </w:r>
          </w:p>
        </w:tc>
        <w:tc>
          <w:tcPr>
            <w:tcW w:w="2707" w:type="dxa"/>
            <w:tcBorders>
              <w:top w:val="single" w:sz="8" w:space="0" w:color="000000"/>
              <w:left w:val="single" w:sz="8" w:space="0" w:color="000000"/>
              <w:bottom w:val="single" w:sz="6" w:space="0" w:color="000000"/>
              <w:right w:val="single" w:sz="8" w:space="0" w:color="000000"/>
            </w:tcBorders>
            <w:hideMark/>
          </w:tcPr>
          <w:p w14:paraId="42213A53" w14:textId="530F06FB" w:rsidR="001B413F" w:rsidRDefault="001B413F" w:rsidP="001B413F">
            <w:pPr>
              <w:pStyle w:val="biaogeright"/>
              <w:wordWrap w:val="0"/>
              <w:rPr>
                <w:rFonts w:hint="eastAsia"/>
              </w:rPr>
            </w:pPr>
            <w:r w:rsidRPr="00921057">
              <w:t>-</w:t>
            </w:r>
          </w:p>
        </w:tc>
      </w:tr>
      <w:tr w:rsidR="001B413F" w14:paraId="399164A1" w14:textId="77777777" w:rsidTr="00693DDD">
        <w:tc>
          <w:tcPr>
            <w:tcW w:w="0" w:type="auto"/>
            <w:tcBorders>
              <w:top w:val="single" w:sz="8" w:space="0" w:color="000000"/>
              <w:left w:val="single" w:sz="8" w:space="0" w:color="000000"/>
              <w:bottom w:val="single" w:sz="6" w:space="0" w:color="000000"/>
              <w:right w:val="single" w:sz="8" w:space="0" w:color="000000"/>
            </w:tcBorders>
            <w:vAlign w:val="center"/>
            <w:hideMark/>
          </w:tcPr>
          <w:p w14:paraId="6D211C74" w14:textId="77777777" w:rsidR="001B413F" w:rsidRDefault="001B413F" w:rsidP="001B413F">
            <w:pPr>
              <w:widowControl/>
              <w:jc w:val="left"/>
              <w:rPr>
                <w:rFonts w:cs="宋体"/>
                <w:kern w:val="0"/>
                <w:sz w:val="20"/>
                <w:szCs w:val="20"/>
              </w:rPr>
            </w:pPr>
          </w:p>
        </w:tc>
        <w:tc>
          <w:tcPr>
            <w:tcW w:w="2940" w:type="dxa"/>
            <w:tcBorders>
              <w:top w:val="single" w:sz="8" w:space="0" w:color="000000"/>
              <w:left w:val="single" w:sz="8" w:space="0" w:color="000000"/>
              <w:bottom w:val="single" w:sz="6" w:space="0" w:color="000000"/>
              <w:right w:val="single" w:sz="8" w:space="0" w:color="000000"/>
            </w:tcBorders>
            <w:vAlign w:val="center"/>
            <w:hideMark/>
          </w:tcPr>
          <w:p w14:paraId="2A4D7D09" w14:textId="77777777" w:rsidR="001B413F" w:rsidRDefault="001B413F" w:rsidP="001B413F">
            <w:pPr>
              <w:pStyle w:val="biaogeleft"/>
              <w:wordWrap w:val="0"/>
              <w:rPr>
                <w:rFonts w:hint="eastAsia"/>
              </w:rPr>
            </w:pPr>
            <w:r>
              <w:rPr>
                <w:rFonts w:hAnsi="等线" w:hint="eastAsia"/>
                <w:color w:val="000000"/>
              </w:rPr>
              <w:t>其中：买断式回购的买入返售金融资产</w:t>
            </w:r>
          </w:p>
        </w:tc>
        <w:tc>
          <w:tcPr>
            <w:tcW w:w="2633" w:type="dxa"/>
            <w:tcBorders>
              <w:top w:val="single" w:sz="8" w:space="0" w:color="000000"/>
              <w:left w:val="single" w:sz="8" w:space="0" w:color="000000"/>
              <w:bottom w:val="single" w:sz="6" w:space="0" w:color="000000"/>
              <w:right w:val="single" w:sz="8" w:space="0" w:color="000000"/>
            </w:tcBorders>
            <w:hideMark/>
          </w:tcPr>
          <w:p w14:paraId="79C29583" w14:textId="028BAF4B" w:rsidR="001B413F" w:rsidRDefault="001B413F" w:rsidP="001B413F">
            <w:pPr>
              <w:pStyle w:val="biaogeright"/>
              <w:wordWrap w:val="0"/>
              <w:rPr>
                <w:rFonts w:hint="eastAsia"/>
              </w:rPr>
            </w:pPr>
            <w:r w:rsidRPr="00921057">
              <w:t>-</w:t>
            </w:r>
          </w:p>
        </w:tc>
        <w:tc>
          <w:tcPr>
            <w:tcW w:w="2707" w:type="dxa"/>
            <w:tcBorders>
              <w:top w:val="single" w:sz="8" w:space="0" w:color="000000"/>
              <w:left w:val="single" w:sz="8" w:space="0" w:color="000000"/>
              <w:bottom w:val="single" w:sz="6" w:space="0" w:color="000000"/>
              <w:right w:val="single" w:sz="8" w:space="0" w:color="000000"/>
            </w:tcBorders>
            <w:hideMark/>
          </w:tcPr>
          <w:p w14:paraId="38EEBB3A" w14:textId="43D07722" w:rsidR="001B413F" w:rsidRDefault="001B413F" w:rsidP="001B413F">
            <w:pPr>
              <w:pStyle w:val="biaogeright"/>
              <w:wordWrap w:val="0"/>
              <w:rPr>
                <w:rFonts w:hint="eastAsia"/>
              </w:rPr>
            </w:pPr>
            <w:r w:rsidRPr="00921057">
              <w:t>-</w:t>
            </w:r>
          </w:p>
        </w:tc>
      </w:tr>
      <w:tr w:rsidR="001B413F" w14:paraId="327CB449" w14:textId="77777777" w:rsidTr="00693DDD">
        <w:tc>
          <w:tcPr>
            <w:tcW w:w="0" w:type="auto"/>
            <w:tcBorders>
              <w:top w:val="single" w:sz="8" w:space="0" w:color="000000"/>
              <w:left w:val="single" w:sz="8" w:space="0" w:color="000000"/>
              <w:bottom w:val="single" w:sz="6" w:space="0" w:color="000000"/>
              <w:right w:val="single" w:sz="8" w:space="0" w:color="000000"/>
            </w:tcBorders>
            <w:vAlign w:val="center"/>
            <w:hideMark/>
          </w:tcPr>
          <w:p w14:paraId="19CE560C" w14:textId="77777777" w:rsidR="001B413F" w:rsidRDefault="001B413F" w:rsidP="001B413F">
            <w:pPr>
              <w:pStyle w:val="biaogecenter"/>
              <w:wordWrap w:val="0"/>
              <w:rPr>
                <w:rFonts w:hint="eastAsia"/>
              </w:rPr>
            </w:pPr>
            <w:r>
              <w:rPr>
                <w:rFonts w:hAnsi="等线"/>
                <w:color w:val="000000"/>
              </w:rPr>
              <w:t>7</w:t>
            </w:r>
          </w:p>
        </w:tc>
        <w:tc>
          <w:tcPr>
            <w:tcW w:w="2940" w:type="dxa"/>
            <w:tcBorders>
              <w:top w:val="single" w:sz="8" w:space="0" w:color="000000"/>
              <w:left w:val="single" w:sz="8" w:space="0" w:color="000000"/>
              <w:bottom w:val="single" w:sz="6" w:space="0" w:color="000000"/>
              <w:right w:val="single" w:sz="8" w:space="0" w:color="000000"/>
            </w:tcBorders>
            <w:vAlign w:val="center"/>
            <w:hideMark/>
          </w:tcPr>
          <w:p w14:paraId="1BC7D0DF" w14:textId="77777777" w:rsidR="001B413F" w:rsidRDefault="001B413F" w:rsidP="001B413F">
            <w:pPr>
              <w:pStyle w:val="biaogeleft"/>
              <w:wordWrap w:val="0"/>
              <w:rPr>
                <w:rFonts w:hint="eastAsia"/>
              </w:rPr>
            </w:pPr>
            <w:r>
              <w:rPr>
                <w:rFonts w:hAnsi="等线" w:hint="eastAsia"/>
                <w:color w:val="000000"/>
              </w:rPr>
              <w:t>银行存款和结算备付金合计</w:t>
            </w:r>
          </w:p>
        </w:tc>
        <w:tc>
          <w:tcPr>
            <w:tcW w:w="2633" w:type="dxa"/>
            <w:tcBorders>
              <w:top w:val="single" w:sz="8" w:space="0" w:color="000000"/>
              <w:left w:val="single" w:sz="8" w:space="0" w:color="000000"/>
              <w:bottom w:val="single" w:sz="6" w:space="0" w:color="000000"/>
              <w:right w:val="single" w:sz="8" w:space="0" w:color="000000"/>
            </w:tcBorders>
            <w:hideMark/>
          </w:tcPr>
          <w:p w14:paraId="5BA4AB90" w14:textId="2F77379C" w:rsidR="001B413F" w:rsidRDefault="001B413F" w:rsidP="001B413F">
            <w:pPr>
              <w:pStyle w:val="biaogeright"/>
              <w:wordWrap w:val="0"/>
              <w:rPr>
                <w:rFonts w:hint="eastAsia"/>
              </w:rPr>
            </w:pPr>
            <w:r w:rsidRPr="00921057">
              <w:t>283,961.16</w:t>
            </w:r>
          </w:p>
        </w:tc>
        <w:tc>
          <w:tcPr>
            <w:tcW w:w="2707" w:type="dxa"/>
            <w:tcBorders>
              <w:top w:val="single" w:sz="8" w:space="0" w:color="000000"/>
              <w:left w:val="single" w:sz="8" w:space="0" w:color="000000"/>
              <w:bottom w:val="single" w:sz="6" w:space="0" w:color="000000"/>
              <w:right w:val="single" w:sz="8" w:space="0" w:color="000000"/>
            </w:tcBorders>
            <w:hideMark/>
          </w:tcPr>
          <w:p w14:paraId="5756A820" w14:textId="0B9D2781" w:rsidR="001B413F" w:rsidRDefault="001B413F" w:rsidP="001B413F">
            <w:pPr>
              <w:pStyle w:val="biaogeright"/>
              <w:wordWrap w:val="0"/>
              <w:rPr>
                <w:rFonts w:hint="eastAsia"/>
              </w:rPr>
            </w:pPr>
            <w:r w:rsidRPr="00921057">
              <w:t>6.17</w:t>
            </w:r>
          </w:p>
        </w:tc>
      </w:tr>
      <w:tr w:rsidR="001B413F" w14:paraId="046A989C" w14:textId="77777777" w:rsidTr="00693DDD">
        <w:tc>
          <w:tcPr>
            <w:tcW w:w="0" w:type="auto"/>
            <w:tcBorders>
              <w:top w:val="single" w:sz="8" w:space="0" w:color="000000"/>
              <w:left w:val="single" w:sz="8" w:space="0" w:color="000000"/>
              <w:bottom w:val="single" w:sz="6" w:space="0" w:color="000000"/>
              <w:right w:val="single" w:sz="8" w:space="0" w:color="000000"/>
            </w:tcBorders>
            <w:vAlign w:val="center"/>
            <w:hideMark/>
          </w:tcPr>
          <w:p w14:paraId="751D1421" w14:textId="77777777" w:rsidR="001B413F" w:rsidRDefault="001B413F" w:rsidP="001B413F">
            <w:pPr>
              <w:pStyle w:val="biaogecenter"/>
              <w:wordWrap w:val="0"/>
              <w:rPr>
                <w:rFonts w:hint="eastAsia"/>
              </w:rPr>
            </w:pPr>
            <w:r>
              <w:rPr>
                <w:rFonts w:hAnsi="等线"/>
                <w:color w:val="000000"/>
              </w:rPr>
              <w:t>8</w:t>
            </w:r>
          </w:p>
        </w:tc>
        <w:tc>
          <w:tcPr>
            <w:tcW w:w="2940" w:type="dxa"/>
            <w:tcBorders>
              <w:top w:val="single" w:sz="8" w:space="0" w:color="000000"/>
              <w:left w:val="single" w:sz="8" w:space="0" w:color="000000"/>
              <w:bottom w:val="single" w:sz="6" w:space="0" w:color="000000"/>
              <w:right w:val="single" w:sz="8" w:space="0" w:color="000000"/>
            </w:tcBorders>
            <w:vAlign w:val="center"/>
            <w:hideMark/>
          </w:tcPr>
          <w:p w14:paraId="779A3E5B" w14:textId="77777777" w:rsidR="001B413F" w:rsidRDefault="001B413F" w:rsidP="001B413F">
            <w:pPr>
              <w:pStyle w:val="biaogeleft"/>
              <w:wordWrap w:val="0"/>
              <w:rPr>
                <w:rFonts w:hint="eastAsia"/>
              </w:rPr>
            </w:pPr>
            <w:r>
              <w:rPr>
                <w:rFonts w:hAnsi="等线" w:hint="eastAsia"/>
                <w:color w:val="000000"/>
              </w:rPr>
              <w:t>其他资产</w:t>
            </w:r>
          </w:p>
        </w:tc>
        <w:tc>
          <w:tcPr>
            <w:tcW w:w="2633" w:type="dxa"/>
            <w:tcBorders>
              <w:top w:val="single" w:sz="8" w:space="0" w:color="000000"/>
              <w:left w:val="single" w:sz="8" w:space="0" w:color="000000"/>
              <w:bottom w:val="single" w:sz="6" w:space="0" w:color="000000"/>
              <w:right w:val="single" w:sz="8" w:space="0" w:color="000000"/>
            </w:tcBorders>
            <w:hideMark/>
          </w:tcPr>
          <w:p w14:paraId="73571960" w14:textId="27012C73" w:rsidR="001B413F" w:rsidRDefault="001B413F" w:rsidP="001B413F">
            <w:pPr>
              <w:pStyle w:val="biaogeright"/>
              <w:wordWrap w:val="0"/>
              <w:rPr>
                <w:rFonts w:hint="eastAsia"/>
              </w:rPr>
            </w:pPr>
            <w:r w:rsidRPr="00921057">
              <w:t>7,611.80</w:t>
            </w:r>
          </w:p>
        </w:tc>
        <w:tc>
          <w:tcPr>
            <w:tcW w:w="2707" w:type="dxa"/>
            <w:tcBorders>
              <w:top w:val="single" w:sz="8" w:space="0" w:color="000000"/>
              <w:left w:val="single" w:sz="8" w:space="0" w:color="000000"/>
              <w:bottom w:val="single" w:sz="6" w:space="0" w:color="000000"/>
              <w:right w:val="single" w:sz="8" w:space="0" w:color="000000"/>
            </w:tcBorders>
            <w:hideMark/>
          </w:tcPr>
          <w:p w14:paraId="6F755C80" w14:textId="7312EE2C" w:rsidR="001B413F" w:rsidRDefault="001B413F" w:rsidP="001B413F">
            <w:pPr>
              <w:pStyle w:val="biaogeright"/>
              <w:wordWrap w:val="0"/>
              <w:rPr>
                <w:rFonts w:hint="eastAsia"/>
              </w:rPr>
            </w:pPr>
            <w:r w:rsidRPr="00921057">
              <w:t>0.17</w:t>
            </w:r>
          </w:p>
        </w:tc>
      </w:tr>
      <w:tr w:rsidR="001B413F" w14:paraId="3372E3A3" w14:textId="77777777" w:rsidTr="00693DDD">
        <w:tc>
          <w:tcPr>
            <w:tcW w:w="0" w:type="auto"/>
            <w:tcBorders>
              <w:top w:val="single" w:sz="8" w:space="0" w:color="000000"/>
              <w:left w:val="single" w:sz="8" w:space="0" w:color="000000"/>
              <w:bottom w:val="single" w:sz="6" w:space="0" w:color="000000"/>
              <w:right w:val="single" w:sz="8" w:space="0" w:color="000000"/>
            </w:tcBorders>
            <w:vAlign w:val="center"/>
            <w:hideMark/>
          </w:tcPr>
          <w:p w14:paraId="086D40C3" w14:textId="77777777" w:rsidR="001B413F" w:rsidRDefault="001B413F" w:rsidP="001B413F">
            <w:pPr>
              <w:pStyle w:val="biaogecenter"/>
              <w:wordWrap w:val="0"/>
              <w:rPr>
                <w:rFonts w:hint="eastAsia"/>
              </w:rPr>
            </w:pPr>
            <w:r>
              <w:rPr>
                <w:rFonts w:hAnsi="等线"/>
                <w:color w:val="000000"/>
              </w:rPr>
              <w:t>9</w:t>
            </w:r>
          </w:p>
        </w:tc>
        <w:tc>
          <w:tcPr>
            <w:tcW w:w="2940" w:type="dxa"/>
            <w:tcBorders>
              <w:top w:val="single" w:sz="8" w:space="0" w:color="000000"/>
              <w:left w:val="single" w:sz="8" w:space="0" w:color="000000"/>
              <w:bottom w:val="single" w:sz="6" w:space="0" w:color="000000"/>
              <w:right w:val="single" w:sz="8" w:space="0" w:color="000000"/>
            </w:tcBorders>
            <w:vAlign w:val="center"/>
            <w:hideMark/>
          </w:tcPr>
          <w:p w14:paraId="625A3322" w14:textId="77777777" w:rsidR="001B413F" w:rsidRDefault="001B413F" w:rsidP="001B413F">
            <w:pPr>
              <w:pStyle w:val="biaogeleft"/>
              <w:wordWrap w:val="0"/>
              <w:rPr>
                <w:rFonts w:hint="eastAsia"/>
              </w:rPr>
            </w:pPr>
            <w:r>
              <w:rPr>
                <w:rFonts w:hAnsi="等线" w:hint="eastAsia"/>
                <w:color w:val="000000"/>
              </w:rPr>
              <w:t>合计</w:t>
            </w:r>
          </w:p>
        </w:tc>
        <w:tc>
          <w:tcPr>
            <w:tcW w:w="2633" w:type="dxa"/>
            <w:tcBorders>
              <w:top w:val="single" w:sz="8" w:space="0" w:color="000000"/>
              <w:left w:val="single" w:sz="8" w:space="0" w:color="000000"/>
              <w:bottom w:val="single" w:sz="6" w:space="0" w:color="000000"/>
              <w:right w:val="single" w:sz="8" w:space="0" w:color="000000"/>
            </w:tcBorders>
            <w:hideMark/>
          </w:tcPr>
          <w:p w14:paraId="39688554" w14:textId="3848093E" w:rsidR="001B413F" w:rsidRDefault="001B413F" w:rsidP="001B413F">
            <w:pPr>
              <w:pStyle w:val="biaogeright"/>
              <w:wordWrap w:val="0"/>
              <w:rPr>
                <w:rFonts w:hint="eastAsia"/>
              </w:rPr>
            </w:pPr>
            <w:r w:rsidRPr="00921057">
              <w:t>4,599,241.18</w:t>
            </w:r>
          </w:p>
        </w:tc>
        <w:tc>
          <w:tcPr>
            <w:tcW w:w="2707" w:type="dxa"/>
            <w:tcBorders>
              <w:top w:val="single" w:sz="8" w:space="0" w:color="000000"/>
              <w:left w:val="single" w:sz="8" w:space="0" w:color="000000"/>
              <w:bottom w:val="single" w:sz="6" w:space="0" w:color="000000"/>
              <w:right w:val="single" w:sz="8" w:space="0" w:color="000000"/>
            </w:tcBorders>
            <w:hideMark/>
          </w:tcPr>
          <w:p w14:paraId="79CFC985" w14:textId="3E9761B8" w:rsidR="001B413F" w:rsidRDefault="001B413F" w:rsidP="001B413F">
            <w:pPr>
              <w:pStyle w:val="biaogeright"/>
              <w:wordWrap w:val="0"/>
              <w:rPr>
                <w:rFonts w:hint="eastAsia"/>
              </w:rPr>
            </w:pPr>
            <w:r w:rsidRPr="00921057">
              <w:t>100.00</w:t>
            </w:r>
          </w:p>
        </w:tc>
      </w:tr>
    </w:tbl>
    <w:p w14:paraId="5993A27B" w14:textId="77777777" w:rsidR="004D3275" w:rsidRDefault="004D3275" w:rsidP="004D3275">
      <w:pPr>
        <w:spacing w:line="360" w:lineRule="auto"/>
        <w:ind w:firstLineChars="200" w:firstLine="480"/>
        <w:rPr>
          <w:rFonts w:asciiTheme="minorEastAsia" w:hAnsiTheme="minorEastAsia" w:cs="Times New Roman" w:hint="eastAsia"/>
          <w:sz w:val="24"/>
          <w:szCs w:val="24"/>
        </w:rPr>
      </w:pPr>
    </w:p>
    <w:p w14:paraId="0FCD205A"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w:t>
      </w:r>
      <w:r w:rsidRPr="007D5062">
        <w:rPr>
          <w:rFonts w:asciiTheme="minorEastAsia" w:hAnsiTheme="minorEastAsia" w:cs="Times New Roman" w:hint="eastAsia"/>
          <w:sz w:val="24"/>
          <w:szCs w:val="24"/>
        </w:rPr>
        <w:t>报告期末按行业分类的股票投资组合</w:t>
      </w:r>
    </w:p>
    <w:p w14:paraId="4B5EE41A"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w:t>
      </w:r>
      <w:r w:rsidRPr="007D5062">
        <w:rPr>
          <w:rFonts w:asciiTheme="minorEastAsia" w:hAnsiTheme="minorEastAsia" w:cs="Times New Roman" w:hint="eastAsia"/>
          <w:sz w:val="24"/>
          <w:szCs w:val="24"/>
        </w:rPr>
        <w:t>报告期末按行业分类的境内股票投资组合</w:t>
      </w:r>
    </w:p>
    <w:tbl>
      <w:tblPr>
        <w:tblW w:w="9080" w:type="dxa"/>
        <w:tblInd w:w="108" w:type="dxa"/>
        <w:tblLook w:val="04A0" w:firstRow="1" w:lastRow="0" w:firstColumn="1" w:lastColumn="0" w:noHBand="0" w:noVBand="1"/>
      </w:tblPr>
      <w:tblGrid>
        <w:gridCol w:w="818"/>
        <w:gridCol w:w="2730"/>
        <w:gridCol w:w="2730"/>
        <w:gridCol w:w="2802"/>
      </w:tblGrid>
      <w:tr w:rsidR="004D3275" w14:paraId="292C82EE" w14:textId="77777777" w:rsidTr="001B413F">
        <w:tc>
          <w:tcPr>
            <w:tcW w:w="818" w:type="dxa"/>
            <w:tcBorders>
              <w:top w:val="single" w:sz="8" w:space="0" w:color="000000"/>
              <w:left w:val="single" w:sz="8" w:space="0" w:color="000000"/>
              <w:bottom w:val="single" w:sz="6" w:space="0" w:color="000000"/>
              <w:right w:val="single" w:sz="8" w:space="0" w:color="000000"/>
            </w:tcBorders>
            <w:vAlign w:val="center"/>
            <w:hideMark/>
          </w:tcPr>
          <w:p w14:paraId="12619742" w14:textId="77777777" w:rsidR="004D3275" w:rsidRDefault="004D3275" w:rsidP="00114C8C">
            <w:pPr>
              <w:pStyle w:val="biaogecenter"/>
              <w:wordWrap w:val="0"/>
              <w:rPr>
                <w:rFonts w:hint="eastAsia"/>
              </w:rPr>
            </w:pPr>
            <w:r>
              <w:rPr>
                <w:rFonts w:hAnsi="等线" w:hint="eastAsia"/>
                <w:color w:val="000000"/>
              </w:rPr>
              <w:t>代码</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44F48256" w14:textId="77777777" w:rsidR="004D3275" w:rsidRDefault="004D3275" w:rsidP="00114C8C">
            <w:pPr>
              <w:pStyle w:val="biaogecenter"/>
              <w:wordWrap w:val="0"/>
              <w:rPr>
                <w:rFonts w:hint="eastAsia"/>
              </w:rPr>
            </w:pPr>
            <w:r>
              <w:rPr>
                <w:rFonts w:hAnsi="等线" w:hint="eastAsia"/>
                <w:color w:val="000000"/>
              </w:rPr>
              <w:t>行业类别</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73390265" w14:textId="77777777" w:rsidR="004D3275" w:rsidRDefault="004D3275" w:rsidP="00114C8C">
            <w:pPr>
              <w:pStyle w:val="biaogecenter"/>
              <w:wordWrap w:val="0"/>
              <w:rPr>
                <w:rFonts w:hint="eastAsia"/>
              </w:rPr>
            </w:pPr>
            <w:r>
              <w:rPr>
                <w:rFonts w:hAnsi="等线" w:hint="eastAsia"/>
                <w:color w:val="000000"/>
              </w:rPr>
              <w:t>公允价值</w:t>
            </w:r>
            <w:r>
              <w:rPr>
                <w:rFonts w:hAnsi="等线"/>
                <w:color w:val="000000"/>
              </w:rPr>
              <w:t>(</w:t>
            </w:r>
            <w:r>
              <w:rPr>
                <w:rFonts w:hAnsi="等线" w:hint="eastAsia"/>
                <w:color w:val="000000"/>
              </w:rPr>
              <w:t>元</w:t>
            </w:r>
            <w:r>
              <w:rPr>
                <w:rFonts w:hAnsi="等线"/>
                <w:color w:val="000000"/>
              </w:rPr>
              <w:t>)</w:t>
            </w:r>
          </w:p>
        </w:tc>
        <w:tc>
          <w:tcPr>
            <w:tcW w:w="2802" w:type="dxa"/>
            <w:tcBorders>
              <w:top w:val="single" w:sz="8" w:space="0" w:color="000000"/>
              <w:left w:val="single" w:sz="8" w:space="0" w:color="000000"/>
              <w:bottom w:val="single" w:sz="6" w:space="0" w:color="000000"/>
              <w:right w:val="single" w:sz="8" w:space="0" w:color="000000"/>
            </w:tcBorders>
            <w:vAlign w:val="center"/>
            <w:hideMark/>
          </w:tcPr>
          <w:p w14:paraId="6D1DBEC5" w14:textId="77777777" w:rsidR="004D3275" w:rsidRDefault="004D3275" w:rsidP="00114C8C">
            <w:pPr>
              <w:pStyle w:val="biaogecenter"/>
              <w:wordWrap w:val="0"/>
              <w:rPr>
                <w:rFonts w:hint="eastAsia"/>
              </w:rPr>
            </w:pPr>
            <w:r>
              <w:rPr>
                <w:rFonts w:hAnsi="等线" w:hint="eastAsia"/>
                <w:color w:val="000000"/>
              </w:rPr>
              <w:t>占基金资产净值比例（</w:t>
            </w:r>
            <w:r>
              <w:rPr>
                <w:rFonts w:hAnsi="等线"/>
                <w:color w:val="000000"/>
              </w:rPr>
              <w:t>%</w:t>
            </w:r>
            <w:r>
              <w:rPr>
                <w:rFonts w:hAnsi="等线" w:hint="eastAsia"/>
                <w:color w:val="000000"/>
              </w:rPr>
              <w:t>）</w:t>
            </w:r>
          </w:p>
        </w:tc>
      </w:tr>
      <w:tr w:rsidR="001B413F" w14:paraId="5EA206CA" w14:textId="77777777" w:rsidTr="001B413F">
        <w:tc>
          <w:tcPr>
            <w:tcW w:w="0" w:type="auto"/>
            <w:tcBorders>
              <w:top w:val="single" w:sz="8" w:space="0" w:color="000000"/>
              <w:left w:val="single" w:sz="8" w:space="0" w:color="000000"/>
              <w:bottom w:val="single" w:sz="6" w:space="0" w:color="000000"/>
              <w:right w:val="single" w:sz="8" w:space="0" w:color="000000"/>
            </w:tcBorders>
            <w:vAlign w:val="center"/>
            <w:hideMark/>
          </w:tcPr>
          <w:p w14:paraId="2BA7A593" w14:textId="77777777" w:rsidR="001B413F" w:rsidRDefault="001B413F" w:rsidP="001B413F">
            <w:pPr>
              <w:pStyle w:val="biaogecenter"/>
              <w:wordWrap w:val="0"/>
              <w:rPr>
                <w:rFonts w:hint="eastAsia"/>
              </w:rPr>
            </w:pPr>
            <w:r>
              <w:rPr>
                <w:rFonts w:hAnsi="等线"/>
                <w:color w:val="000000"/>
              </w:rPr>
              <w:t>A</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5987CC52" w14:textId="77777777" w:rsidR="001B413F" w:rsidRDefault="001B413F" w:rsidP="001B413F">
            <w:pPr>
              <w:pStyle w:val="biaogeleft"/>
              <w:wordWrap w:val="0"/>
              <w:rPr>
                <w:rFonts w:hint="eastAsia"/>
              </w:rPr>
            </w:pPr>
            <w:r>
              <w:rPr>
                <w:rFonts w:hAnsi="等线" w:hint="eastAsia"/>
                <w:color w:val="000000"/>
              </w:rPr>
              <w:t>农、林、牧、渔业</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49B65069" w14:textId="508CB3A6" w:rsidR="001B413F" w:rsidRDefault="001B413F" w:rsidP="001B413F">
            <w:pPr>
              <w:pStyle w:val="biaogeright"/>
              <w:wordWrap w:val="0"/>
              <w:rPr>
                <w:rFonts w:hint="eastAsia"/>
              </w:rPr>
            </w:pPr>
            <w:r>
              <w:t>-</w:t>
            </w:r>
          </w:p>
        </w:tc>
        <w:tc>
          <w:tcPr>
            <w:tcW w:w="2802" w:type="dxa"/>
            <w:tcBorders>
              <w:top w:val="single" w:sz="8" w:space="0" w:color="000000"/>
              <w:left w:val="single" w:sz="8" w:space="0" w:color="000000"/>
              <w:bottom w:val="single" w:sz="6" w:space="0" w:color="000000"/>
              <w:right w:val="single" w:sz="8" w:space="0" w:color="000000"/>
            </w:tcBorders>
            <w:vAlign w:val="center"/>
            <w:hideMark/>
          </w:tcPr>
          <w:p w14:paraId="7237B830" w14:textId="40D4BF0C" w:rsidR="001B413F" w:rsidRDefault="001B413F" w:rsidP="001B413F">
            <w:pPr>
              <w:pStyle w:val="biaogeright"/>
              <w:wordWrap w:val="0"/>
              <w:rPr>
                <w:rFonts w:hint="eastAsia"/>
              </w:rPr>
            </w:pPr>
            <w:r>
              <w:t>-</w:t>
            </w:r>
          </w:p>
        </w:tc>
      </w:tr>
      <w:tr w:rsidR="001B413F" w14:paraId="715E3AC1" w14:textId="77777777" w:rsidTr="001B413F">
        <w:tc>
          <w:tcPr>
            <w:tcW w:w="0" w:type="auto"/>
            <w:tcBorders>
              <w:top w:val="single" w:sz="8" w:space="0" w:color="000000"/>
              <w:left w:val="single" w:sz="8" w:space="0" w:color="000000"/>
              <w:bottom w:val="single" w:sz="6" w:space="0" w:color="000000"/>
              <w:right w:val="single" w:sz="8" w:space="0" w:color="000000"/>
            </w:tcBorders>
            <w:vAlign w:val="center"/>
            <w:hideMark/>
          </w:tcPr>
          <w:p w14:paraId="08EB6F3E" w14:textId="77777777" w:rsidR="001B413F" w:rsidRDefault="001B413F" w:rsidP="001B413F">
            <w:pPr>
              <w:pStyle w:val="biaogecenter"/>
              <w:wordWrap w:val="0"/>
              <w:rPr>
                <w:rFonts w:hint="eastAsia"/>
              </w:rPr>
            </w:pPr>
            <w:r>
              <w:rPr>
                <w:rFonts w:hAnsi="等线"/>
                <w:color w:val="000000"/>
              </w:rPr>
              <w:t>B</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4B175AAA" w14:textId="77777777" w:rsidR="001B413F" w:rsidRDefault="001B413F" w:rsidP="001B413F">
            <w:pPr>
              <w:pStyle w:val="biaogeleft"/>
              <w:wordWrap w:val="0"/>
              <w:rPr>
                <w:rFonts w:hint="eastAsia"/>
              </w:rPr>
            </w:pPr>
            <w:r>
              <w:rPr>
                <w:rFonts w:hAnsi="等线" w:hint="eastAsia"/>
                <w:color w:val="000000"/>
              </w:rPr>
              <w:t>采矿业</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59FE0DFD" w14:textId="3CB1FDBC" w:rsidR="001B413F" w:rsidRDefault="001B413F" w:rsidP="001B413F">
            <w:pPr>
              <w:pStyle w:val="biaogeright"/>
              <w:wordWrap w:val="0"/>
              <w:rPr>
                <w:rFonts w:hint="eastAsia"/>
              </w:rPr>
            </w:pPr>
            <w:r>
              <w:t>-</w:t>
            </w:r>
          </w:p>
        </w:tc>
        <w:tc>
          <w:tcPr>
            <w:tcW w:w="2802" w:type="dxa"/>
            <w:tcBorders>
              <w:top w:val="single" w:sz="8" w:space="0" w:color="000000"/>
              <w:left w:val="single" w:sz="8" w:space="0" w:color="000000"/>
              <w:bottom w:val="single" w:sz="6" w:space="0" w:color="000000"/>
              <w:right w:val="single" w:sz="8" w:space="0" w:color="000000"/>
            </w:tcBorders>
            <w:vAlign w:val="center"/>
            <w:hideMark/>
          </w:tcPr>
          <w:p w14:paraId="026B81C6" w14:textId="135FEEFD" w:rsidR="001B413F" w:rsidRDefault="001B413F" w:rsidP="001B413F">
            <w:pPr>
              <w:pStyle w:val="biaogeright"/>
              <w:wordWrap w:val="0"/>
              <w:rPr>
                <w:rFonts w:hint="eastAsia"/>
              </w:rPr>
            </w:pPr>
            <w:r>
              <w:t>-</w:t>
            </w:r>
          </w:p>
        </w:tc>
      </w:tr>
      <w:tr w:rsidR="001B413F" w14:paraId="3BACFFCC" w14:textId="77777777" w:rsidTr="001B413F">
        <w:tc>
          <w:tcPr>
            <w:tcW w:w="0" w:type="auto"/>
            <w:tcBorders>
              <w:top w:val="single" w:sz="8" w:space="0" w:color="000000"/>
              <w:left w:val="single" w:sz="8" w:space="0" w:color="000000"/>
              <w:bottom w:val="single" w:sz="6" w:space="0" w:color="000000"/>
              <w:right w:val="single" w:sz="8" w:space="0" w:color="000000"/>
            </w:tcBorders>
            <w:vAlign w:val="center"/>
            <w:hideMark/>
          </w:tcPr>
          <w:p w14:paraId="4700F64D" w14:textId="77777777" w:rsidR="001B413F" w:rsidRDefault="001B413F" w:rsidP="001B413F">
            <w:pPr>
              <w:pStyle w:val="biaogecenter"/>
              <w:wordWrap w:val="0"/>
              <w:rPr>
                <w:rFonts w:hint="eastAsia"/>
              </w:rPr>
            </w:pPr>
            <w:r>
              <w:rPr>
                <w:rFonts w:hAnsi="等线"/>
                <w:color w:val="000000"/>
              </w:rPr>
              <w:t>C</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0AF5C004" w14:textId="77777777" w:rsidR="001B413F" w:rsidRDefault="001B413F" w:rsidP="001B413F">
            <w:pPr>
              <w:pStyle w:val="biaogeleft"/>
              <w:wordWrap w:val="0"/>
              <w:rPr>
                <w:rFonts w:hint="eastAsia"/>
              </w:rPr>
            </w:pPr>
            <w:r>
              <w:rPr>
                <w:rFonts w:hAnsi="等线" w:hint="eastAsia"/>
                <w:color w:val="000000"/>
              </w:rPr>
              <w:t>制造业</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10D41D57" w14:textId="626023A5" w:rsidR="001B413F" w:rsidRDefault="001B413F" w:rsidP="001B413F">
            <w:pPr>
              <w:pStyle w:val="biaogeright"/>
              <w:wordWrap w:val="0"/>
              <w:rPr>
                <w:rFonts w:hint="eastAsia"/>
              </w:rPr>
            </w:pPr>
            <w:r>
              <w:t>3,252,350.11</w:t>
            </w:r>
          </w:p>
        </w:tc>
        <w:tc>
          <w:tcPr>
            <w:tcW w:w="2802" w:type="dxa"/>
            <w:tcBorders>
              <w:top w:val="single" w:sz="8" w:space="0" w:color="000000"/>
              <w:left w:val="single" w:sz="8" w:space="0" w:color="000000"/>
              <w:bottom w:val="single" w:sz="6" w:space="0" w:color="000000"/>
              <w:right w:val="single" w:sz="8" w:space="0" w:color="000000"/>
            </w:tcBorders>
            <w:vAlign w:val="center"/>
            <w:hideMark/>
          </w:tcPr>
          <w:p w14:paraId="34765BD0" w14:textId="1D445293" w:rsidR="001B413F" w:rsidRDefault="001B413F" w:rsidP="001B413F">
            <w:pPr>
              <w:pStyle w:val="biaogeright"/>
              <w:wordWrap w:val="0"/>
              <w:rPr>
                <w:rFonts w:hint="eastAsia"/>
              </w:rPr>
            </w:pPr>
            <w:r>
              <w:t>72.29</w:t>
            </w:r>
          </w:p>
        </w:tc>
      </w:tr>
      <w:tr w:rsidR="001B413F" w14:paraId="534870DF" w14:textId="77777777" w:rsidTr="001B413F">
        <w:tc>
          <w:tcPr>
            <w:tcW w:w="0" w:type="auto"/>
            <w:tcBorders>
              <w:top w:val="single" w:sz="8" w:space="0" w:color="000000"/>
              <w:left w:val="single" w:sz="8" w:space="0" w:color="000000"/>
              <w:bottom w:val="single" w:sz="6" w:space="0" w:color="000000"/>
              <w:right w:val="single" w:sz="8" w:space="0" w:color="000000"/>
            </w:tcBorders>
            <w:vAlign w:val="center"/>
            <w:hideMark/>
          </w:tcPr>
          <w:p w14:paraId="76DE08A7" w14:textId="77777777" w:rsidR="001B413F" w:rsidRDefault="001B413F" w:rsidP="001B413F">
            <w:pPr>
              <w:pStyle w:val="biaogecenter"/>
              <w:wordWrap w:val="0"/>
              <w:rPr>
                <w:rFonts w:hint="eastAsia"/>
              </w:rPr>
            </w:pPr>
            <w:r>
              <w:rPr>
                <w:rFonts w:hAnsi="等线"/>
                <w:color w:val="000000"/>
              </w:rPr>
              <w:t>D</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3EFEDCD0" w14:textId="77777777" w:rsidR="001B413F" w:rsidRDefault="001B413F" w:rsidP="001B413F">
            <w:pPr>
              <w:pStyle w:val="biaogeleft"/>
              <w:wordWrap w:val="0"/>
              <w:rPr>
                <w:rFonts w:hint="eastAsia"/>
              </w:rPr>
            </w:pPr>
            <w:r>
              <w:rPr>
                <w:rFonts w:hAnsi="等线" w:hint="eastAsia"/>
                <w:color w:val="000000"/>
              </w:rPr>
              <w:t>电力、热力、燃气及水生产和供应业</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5269F200" w14:textId="61209EE0" w:rsidR="001B413F" w:rsidRDefault="001B413F" w:rsidP="001B413F">
            <w:pPr>
              <w:pStyle w:val="biaogeright"/>
              <w:wordWrap w:val="0"/>
              <w:rPr>
                <w:rFonts w:hint="eastAsia"/>
              </w:rPr>
            </w:pPr>
            <w:r>
              <w:t>-</w:t>
            </w:r>
          </w:p>
        </w:tc>
        <w:tc>
          <w:tcPr>
            <w:tcW w:w="2802" w:type="dxa"/>
            <w:tcBorders>
              <w:top w:val="single" w:sz="8" w:space="0" w:color="000000"/>
              <w:left w:val="single" w:sz="8" w:space="0" w:color="000000"/>
              <w:bottom w:val="single" w:sz="6" w:space="0" w:color="000000"/>
              <w:right w:val="single" w:sz="8" w:space="0" w:color="000000"/>
            </w:tcBorders>
            <w:vAlign w:val="center"/>
            <w:hideMark/>
          </w:tcPr>
          <w:p w14:paraId="4575CD0E" w14:textId="3B7BF089" w:rsidR="001B413F" w:rsidRDefault="001B413F" w:rsidP="001B413F">
            <w:pPr>
              <w:pStyle w:val="biaogeright"/>
              <w:wordWrap w:val="0"/>
              <w:rPr>
                <w:rFonts w:hint="eastAsia"/>
              </w:rPr>
            </w:pPr>
            <w:r>
              <w:t>-</w:t>
            </w:r>
          </w:p>
        </w:tc>
      </w:tr>
      <w:tr w:rsidR="001B413F" w14:paraId="591D2B50" w14:textId="77777777" w:rsidTr="001B413F">
        <w:tc>
          <w:tcPr>
            <w:tcW w:w="0" w:type="auto"/>
            <w:tcBorders>
              <w:top w:val="single" w:sz="8" w:space="0" w:color="000000"/>
              <w:left w:val="single" w:sz="8" w:space="0" w:color="000000"/>
              <w:bottom w:val="single" w:sz="6" w:space="0" w:color="000000"/>
              <w:right w:val="single" w:sz="8" w:space="0" w:color="000000"/>
            </w:tcBorders>
            <w:vAlign w:val="center"/>
            <w:hideMark/>
          </w:tcPr>
          <w:p w14:paraId="1D1EEC3D" w14:textId="77777777" w:rsidR="001B413F" w:rsidRDefault="001B413F" w:rsidP="001B413F">
            <w:pPr>
              <w:pStyle w:val="biaogecenter"/>
              <w:wordWrap w:val="0"/>
              <w:rPr>
                <w:rFonts w:hint="eastAsia"/>
              </w:rPr>
            </w:pPr>
            <w:r>
              <w:rPr>
                <w:rFonts w:hAnsi="等线"/>
                <w:color w:val="000000"/>
              </w:rPr>
              <w:t>E</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46598FBD" w14:textId="77777777" w:rsidR="001B413F" w:rsidRDefault="001B413F" w:rsidP="001B413F">
            <w:pPr>
              <w:pStyle w:val="biaogeleft"/>
              <w:wordWrap w:val="0"/>
              <w:rPr>
                <w:rFonts w:hint="eastAsia"/>
              </w:rPr>
            </w:pPr>
            <w:r>
              <w:rPr>
                <w:rFonts w:hAnsi="等线" w:hint="eastAsia"/>
                <w:color w:val="000000"/>
              </w:rPr>
              <w:t>建筑业</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74EC2C9C" w14:textId="1CC78699" w:rsidR="001B413F" w:rsidRDefault="001B413F" w:rsidP="001B413F">
            <w:pPr>
              <w:pStyle w:val="biaogeright"/>
              <w:wordWrap w:val="0"/>
              <w:rPr>
                <w:rFonts w:hint="eastAsia"/>
              </w:rPr>
            </w:pPr>
            <w:r>
              <w:t>-</w:t>
            </w:r>
          </w:p>
        </w:tc>
        <w:tc>
          <w:tcPr>
            <w:tcW w:w="2802" w:type="dxa"/>
            <w:tcBorders>
              <w:top w:val="single" w:sz="8" w:space="0" w:color="000000"/>
              <w:left w:val="single" w:sz="8" w:space="0" w:color="000000"/>
              <w:bottom w:val="single" w:sz="6" w:space="0" w:color="000000"/>
              <w:right w:val="single" w:sz="8" w:space="0" w:color="000000"/>
            </w:tcBorders>
            <w:vAlign w:val="center"/>
            <w:hideMark/>
          </w:tcPr>
          <w:p w14:paraId="23784C8B" w14:textId="2D83525B" w:rsidR="001B413F" w:rsidRDefault="001B413F" w:rsidP="001B413F">
            <w:pPr>
              <w:pStyle w:val="biaogeright"/>
              <w:wordWrap w:val="0"/>
              <w:rPr>
                <w:rFonts w:hint="eastAsia"/>
              </w:rPr>
            </w:pPr>
            <w:r>
              <w:t>-</w:t>
            </w:r>
          </w:p>
        </w:tc>
      </w:tr>
      <w:tr w:rsidR="001B413F" w14:paraId="2724BB6F" w14:textId="77777777" w:rsidTr="001B413F">
        <w:tc>
          <w:tcPr>
            <w:tcW w:w="0" w:type="auto"/>
            <w:tcBorders>
              <w:top w:val="single" w:sz="8" w:space="0" w:color="000000"/>
              <w:left w:val="single" w:sz="8" w:space="0" w:color="000000"/>
              <w:bottom w:val="single" w:sz="6" w:space="0" w:color="000000"/>
              <w:right w:val="single" w:sz="8" w:space="0" w:color="000000"/>
            </w:tcBorders>
            <w:vAlign w:val="center"/>
            <w:hideMark/>
          </w:tcPr>
          <w:p w14:paraId="4F138C74" w14:textId="77777777" w:rsidR="001B413F" w:rsidRDefault="001B413F" w:rsidP="001B413F">
            <w:pPr>
              <w:pStyle w:val="biaogecenter"/>
              <w:wordWrap w:val="0"/>
              <w:rPr>
                <w:rFonts w:hint="eastAsia"/>
              </w:rPr>
            </w:pPr>
            <w:r>
              <w:rPr>
                <w:rFonts w:hAnsi="等线"/>
                <w:color w:val="000000"/>
              </w:rPr>
              <w:t>F</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3C0029AA" w14:textId="77777777" w:rsidR="001B413F" w:rsidRDefault="001B413F" w:rsidP="001B413F">
            <w:pPr>
              <w:pStyle w:val="biaogeleft"/>
              <w:wordWrap w:val="0"/>
              <w:rPr>
                <w:rFonts w:hint="eastAsia"/>
              </w:rPr>
            </w:pPr>
            <w:r>
              <w:rPr>
                <w:rFonts w:hAnsi="等线" w:hint="eastAsia"/>
                <w:color w:val="000000"/>
              </w:rPr>
              <w:t>批发和零售业</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6D4B2B55" w14:textId="21FB3E6F" w:rsidR="001B413F" w:rsidRDefault="001B413F" w:rsidP="001B413F">
            <w:pPr>
              <w:pStyle w:val="biaogeright"/>
              <w:wordWrap w:val="0"/>
              <w:rPr>
                <w:rFonts w:hint="eastAsia"/>
              </w:rPr>
            </w:pPr>
            <w:r>
              <w:t>-</w:t>
            </w:r>
          </w:p>
        </w:tc>
        <w:tc>
          <w:tcPr>
            <w:tcW w:w="2802" w:type="dxa"/>
            <w:tcBorders>
              <w:top w:val="single" w:sz="8" w:space="0" w:color="000000"/>
              <w:left w:val="single" w:sz="8" w:space="0" w:color="000000"/>
              <w:bottom w:val="single" w:sz="6" w:space="0" w:color="000000"/>
              <w:right w:val="single" w:sz="8" w:space="0" w:color="000000"/>
            </w:tcBorders>
            <w:vAlign w:val="center"/>
            <w:hideMark/>
          </w:tcPr>
          <w:p w14:paraId="77CA4E24" w14:textId="3E96E5D7" w:rsidR="001B413F" w:rsidRDefault="001B413F" w:rsidP="001B413F">
            <w:pPr>
              <w:pStyle w:val="biaogeright"/>
              <w:wordWrap w:val="0"/>
              <w:rPr>
                <w:rFonts w:hint="eastAsia"/>
              </w:rPr>
            </w:pPr>
            <w:r>
              <w:t>-</w:t>
            </w:r>
          </w:p>
        </w:tc>
      </w:tr>
      <w:tr w:rsidR="001B413F" w14:paraId="3E4393FE" w14:textId="77777777" w:rsidTr="001B413F">
        <w:tc>
          <w:tcPr>
            <w:tcW w:w="0" w:type="auto"/>
            <w:tcBorders>
              <w:top w:val="single" w:sz="8" w:space="0" w:color="000000"/>
              <w:left w:val="single" w:sz="8" w:space="0" w:color="000000"/>
              <w:bottom w:val="single" w:sz="6" w:space="0" w:color="000000"/>
              <w:right w:val="single" w:sz="8" w:space="0" w:color="000000"/>
            </w:tcBorders>
            <w:vAlign w:val="center"/>
            <w:hideMark/>
          </w:tcPr>
          <w:p w14:paraId="47374AA5" w14:textId="77777777" w:rsidR="001B413F" w:rsidRDefault="001B413F" w:rsidP="001B413F">
            <w:pPr>
              <w:pStyle w:val="biaogecenter"/>
              <w:wordWrap w:val="0"/>
              <w:rPr>
                <w:rFonts w:hint="eastAsia"/>
              </w:rPr>
            </w:pPr>
            <w:r>
              <w:rPr>
                <w:rFonts w:hAnsi="等线"/>
                <w:color w:val="000000"/>
              </w:rPr>
              <w:lastRenderedPageBreak/>
              <w:t>G</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2F37740F" w14:textId="77777777" w:rsidR="001B413F" w:rsidRDefault="001B413F" w:rsidP="001B413F">
            <w:pPr>
              <w:pStyle w:val="biaogeleft"/>
              <w:wordWrap w:val="0"/>
              <w:rPr>
                <w:rFonts w:hint="eastAsia"/>
              </w:rPr>
            </w:pPr>
            <w:r>
              <w:rPr>
                <w:rFonts w:hAnsi="等线" w:hint="eastAsia"/>
                <w:color w:val="000000"/>
              </w:rPr>
              <w:t>交通运输、仓储和邮政业</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7D6C2E4D" w14:textId="3DFC47D1" w:rsidR="001B413F" w:rsidRDefault="001B413F" w:rsidP="001B413F">
            <w:pPr>
              <w:pStyle w:val="biaogeright"/>
              <w:wordWrap w:val="0"/>
              <w:rPr>
                <w:rFonts w:hint="eastAsia"/>
              </w:rPr>
            </w:pPr>
            <w:r>
              <w:t>-</w:t>
            </w:r>
          </w:p>
        </w:tc>
        <w:tc>
          <w:tcPr>
            <w:tcW w:w="2802" w:type="dxa"/>
            <w:tcBorders>
              <w:top w:val="single" w:sz="8" w:space="0" w:color="000000"/>
              <w:left w:val="single" w:sz="8" w:space="0" w:color="000000"/>
              <w:bottom w:val="single" w:sz="6" w:space="0" w:color="000000"/>
              <w:right w:val="single" w:sz="8" w:space="0" w:color="000000"/>
            </w:tcBorders>
            <w:vAlign w:val="center"/>
            <w:hideMark/>
          </w:tcPr>
          <w:p w14:paraId="3A392B6C" w14:textId="125BE72F" w:rsidR="001B413F" w:rsidRDefault="001B413F" w:rsidP="001B413F">
            <w:pPr>
              <w:pStyle w:val="biaogeright"/>
              <w:wordWrap w:val="0"/>
              <w:rPr>
                <w:rFonts w:hint="eastAsia"/>
              </w:rPr>
            </w:pPr>
            <w:r>
              <w:t>-</w:t>
            </w:r>
          </w:p>
        </w:tc>
      </w:tr>
      <w:tr w:rsidR="001B413F" w14:paraId="764877AA" w14:textId="77777777" w:rsidTr="001B413F">
        <w:tc>
          <w:tcPr>
            <w:tcW w:w="0" w:type="auto"/>
            <w:tcBorders>
              <w:top w:val="single" w:sz="8" w:space="0" w:color="000000"/>
              <w:left w:val="single" w:sz="8" w:space="0" w:color="000000"/>
              <w:bottom w:val="single" w:sz="6" w:space="0" w:color="000000"/>
              <w:right w:val="single" w:sz="8" w:space="0" w:color="000000"/>
            </w:tcBorders>
            <w:vAlign w:val="center"/>
            <w:hideMark/>
          </w:tcPr>
          <w:p w14:paraId="4191553C" w14:textId="77777777" w:rsidR="001B413F" w:rsidRDefault="001B413F" w:rsidP="001B413F">
            <w:pPr>
              <w:pStyle w:val="biaogecenter"/>
              <w:wordWrap w:val="0"/>
              <w:rPr>
                <w:rFonts w:hint="eastAsia"/>
              </w:rPr>
            </w:pPr>
            <w:r>
              <w:rPr>
                <w:rFonts w:hAnsi="等线"/>
                <w:color w:val="000000"/>
              </w:rPr>
              <w:t>H</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7F7FB017" w14:textId="77777777" w:rsidR="001B413F" w:rsidRDefault="001B413F" w:rsidP="001B413F">
            <w:pPr>
              <w:pStyle w:val="biaogeleft"/>
              <w:wordWrap w:val="0"/>
              <w:rPr>
                <w:rFonts w:hint="eastAsia"/>
              </w:rPr>
            </w:pPr>
            <w:r>
              <w:rPr>
                <w:rFonts w:hAnsi="等线" w:hint="eastAsia"/>
                <w:color w:val="000000"/>
              </w:rPr>
              <w:t>住宿和餐饮业</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609365A1" w14:textId="6AC0A9C6" w:rsidR="001B413F" w:rsidRDefault="001B413F" w:rsidP="001B413F">
            <w:pPr>
              <w:pStyle w:val="biaogeright"/>
              <w:wordWrap w:val="0"/>
              <w:rPr>
                <w:rFonts w:hint="eastAsia"/>
              </w:rPr>
            </w:pPr>
            <w:r>
              <w:t>-</w:t>
            </w:r>
          </w:p>
        </w:tc>
        <w:tc>
          <w:tcPr>
            <w:tcW w:w="2802" w:type="dxa"/>
            <w:tcBorders>
              <w:top w:val="single" w:sz="8" w:space="0" w:color="000000"/>
              <w:left w:val="single" w:sz="8" w:space="0" w:color="000000"/>
              <w:bottom w:val="single" w:sz="6" w:space="0" w:color="000000"/>
              <w:right w:val="single" w:sz="8" w:space="0" w:color="000000"/>
            </w:tcBorders>
            <w:vAlign w:val="center"/>
            <w:hideMark/>
          </w:tcPr>
          <w:p w14:paraId="11AEB452" w14:textId="7C3DF781" w:rsidR="001B413F" w:rsidRDefault="001B413F" w:rsidP="001B413F">
            <w:pPr>
              <w:pStyle w:val="biaogeright"/>
              <w:wordWrap w:val="0"/>
              <w:rPr>
                <w:rFonts w:hint="eastAsia"/>
              </w:rPr>
            </w:pPr>
            <w:r>
              <w:t>-</w:t>
            </w:r>
          </w:p>
        </w:tc>
      </w:tr>
      <w:tr w:rsidR="001B413F" w14:paraId="78C0662F" w14:textId="77777777" w:rsidTr="001B413F">
        <w:tc>
          <w:tcPr>
            <w:tcW w:w="0" w:type="auto"/>
            <w:tcBorders>
              <w:top w:val="single" w:sz="8" w:space="0" w:color="000000"/>
              <w:left w:val="single" w:sz="8" w:space="0" w:color="000000"/>
              <w:bottom w:val="single" w:sz="6" w:space="0" w:color="000000"/>
              <w:right w:val="single" w:sz="8" w:space="0" w:color="000000"/>
            </w:tcBorders>
            <w:vAlign w:val="center"/>
            <w:hideMark/>
          </w:tcPr>
          <w:p w14:paraId="5523B8B5" w14:textId="77777777" w:rsidR="001B413F" w:rsidRDefault="001B413F" w:rsidP="001B413F">
            <w:pPr>
              <w:pStyle w:val="biaogecenter"/>
              <w:wordWrap w:val="0"/>
              <w:rPr>
                <w:rFonts w:hint="eastAsia"/>
              </w:rPr>
            </w:pPr>
            <w:r>
              <w:rPr>
                <w:rFonts w:hAnsi="等线"/>
                <w:color w:val="000000"/>
              </w:rPr>
              <w:t>I</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5671CCA6" w14:textId="77777777" w:rsidR="001B413F" w:rsidRDefault="001B413F" w:rsidP="001B413F">
            <w:pPr>
              <w:pStyle w:val="biaogeleft"/>
              <w:wordWrap w:val="0"/>
              <w:rPr>
                <w:rFonts w:hint="eastAsia"/>
              </w:rPr>
            </w:pPr>
            <w:r>
              <w:rPr>
                <w:rFonts w:hAnsi="等线" w:hint="eastAsia"/>
                <w:color w:val="000000"/>
              </w:rPr>
              <w:t>信息传输、软件和信息技术服务业</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66C4CE6D" w14:textId="704D0340" w:rsidR="001B413F" w:rsidRDefault="001B413F" w:rsidP="001B413F">
            <w:pPr>
              <w:pStyle w:val="biaogeright"/>
              <w:wordWrap w:val="0"/>
              <w:rPr>
                <w:rFonts w:hint="eastAsia"/>
              </w:rPr>
            </w:pPr>
            <w:r>
              <w:t>650,111.42</w:t>
            </w:r>
          </w:p>
        </w:tc>
        <w:tc>
          <w:tcPr>
            <w:tcW w:w="2802" w:type="dxa"/>
            <w:tcBorders>
              <w:top w:val="single" w:sz="8" w:space="0" w:color="000000"/>
              <w:left w:val="single" w:sz="8" w:space="0" w:color="000000"/>
              <w:bottom w:val="single" w:sz="6" w:space="0" w:color="000000"/>
              <w:right w:val="single" w:sz="8" w:space="0" w:color="000000"/>
            </w:tcBorders>
            <w:vAlign w:val="center"/>
            <w:hideMark/>
          </w:tcPr>
          <w:p w14:paraId="27300870" w14:textId="5582A3F6" w:rsidR="001B413F" w:rsidRDefault="001B413F" w:rsidP="001B413F">
            <w:pPr>
              <w:pStyle w:val="biaogeright"/>
              <w:wordWrap w:val="0"/>
              <w:rPr>
                <w:rFonts w:hint="eastAsia"/>
              </w:rPr>
            </w:pPr>
            <w:r>
              <w:t>14.45</w:t>
            </w:r>
          </w:p>
        </w:tc>
      </w:tr>
      <w:tr w:rsidR="001B413F" w14:paraId="55A8E690" w14:textId="77777777" w:rsidTr="001B413F">
        <w:tc>
          <w:tcPr>
            <w:tcW w:w="0" w:type="auto"/>
            <w:tcBorders>
              <w:top w:val="single" w:sz="8" w:space="0" w:color="000000"/>
              <w:left w:val="single" w:sz="8" w:space="0" w:color="000000"/>
              <w:bottom w:val="single" w:sz="6" w:space="0" w:color="000000"/>
              <w:right w:val="single" w:sz="8" w:space="0" w:color="000000"/>
            </w:tcBorders>
            <w:vAlign w:val="center"/>
            <w:hideMark/>
          </w:tcPr>
          <w:p w14:paraId="081D0D71" w14:textId="77777777" w:rsidR="001B413F" w:rsidRDefault="001B413F" w:rsidP="001B413F">
            <w:pPr>
              <w:pStyle w:val="biaogecenter"/>
              <w:wordWrap w:val="0"/>
              <w:rPr>
                <w:rFonts w:hint="eastAsia"/>
              </w:rPr>
            </w:pPr>
            <w:r>
              <w:rPr>
                <w:rFonts w:hAnsi="等线"/>
                <w:color w:val="000000"/>
              </w:rPr>
              <w:t>J</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5D995EF9" w14:textId="77777777" w:rsidR="001B413F" w:rsidRDefault="001B413F" w:rsidP="001B413F">
            <w:pPr>
              <w:pStyle w:val="biaogeleft"/>
              <w:wordWrap w:val="0"/>
              <w:rPr>
                <w:rFonts w:hint="eastAsia"/>
              </w:rPr>
            </w:pPr>
            <w:r>
              <w:rPr>
                <w:rFonts w:hAnsi="等线" w:hint="eastAsia"/>
                <w:color w:val="000000"/>
              </w:rPr>
              <w:t>金融业</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5FDD55C4" w14:textId="0FD8FBFF" w:rsidR="001B413F" w:rsidRDefault="001B413F" w:rsidP="001B413F">
            <w:pPr>
              <w:pStyle w:val="biaogeright"/>
              <w:wordWrap w:val="0"/>
              <w:rPr>
                <w:rFonts w:hint="eastAsia"/>
              </w:rPr>
            </w:pPr>
            <w:r>
              <w:t>-</w:t>
            </w:r>
          </w:p>
        </w:tc>
        <w:tc>
          <w:tcPr>
            <w:tcW w:w="2802" w:type="dxa"/>
            <w:tcBorders>
              <w:top w:val="single" w:sz="8" w:space="0" w:color="000000"/>
              <w:left w:val="single" w:sz="8" w:space="0" w:color="000000"/>
              <w:bottom w:val="single" w:sz="6" w:space="0" w:color="000000"/>
              <w:right w:val="single" w:sz="8" w:space="0" w:color="000000"/>
            </w:tcBorders>
            <w:vAlign w:val="center"/>
            <w:hideMark/>
          </w:tcPr>
          <w:p w14:paraId="49301BD7" w14:textId="12482122" w:rsidR="001B413F" w:rsidRDefault="001B413F" w:rsidP="001B413F">
            <w:pPr>
              <w:pStyle w:val="biaogeright"/>
              <w:wordWrap w:val="0"/>
              <w:rPr>
                <w:rFonts w:hint="eastAsia"/>
              </w:rPr>
            </w:pPr>
            <w:r>
              <w:t>-</w:t>
            </w:r>
          </w:p>
        </w:tc>
      </w:tr>
      <w:tr w:rsidR="001B413F" w14:paraId="3C578707" w14:textId="77777777" w:rsidTr="001B413F">
        <w:tc>
          <w:tcPr>
            <w:tcW w:w="0" w:type="auto"/>
            <w:tcBorders>
              <w:top w:val="single" w:sz="8" w:space="0" w:color="000000"/>
              <w:left w:val="single" w:sz="8" w:space="0" w:color="000000"/>
              <w:bottom w:val="single" w:sz="6" w:space="0" w:color="000000"/>
              <w:right w:val="single" w:sz="8" w:space="0" w:color="000000"/>
            </w:tcBorders>
            <w:vAlign w:val="center"/>
            <w:hideMark/>
          </w:tcPr>
          <w:p w14:paraId="4BA20BE3" w14:textId="77777777" w:rsidR="001B413F" w:rsidRDefault="001B413F" w:rsidP="001B413F">
            <w:pPr>
              <w:pStyle w:val="biaogecenter"/>
              <w:wordWrap w:val="0"/>
              <w:rPr>
                <w:rFonts w:hint="eastAsia"/>
              </w:rPr>
            </w:pPr>
            <w:r>
              <w:rPr>
                <w:rFonts w:hAnsi="等线"/>
                <w:color w:val="000000"/>
              </w:rPr>
              <w:t>K</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22AEDAAF" w14:textId="77777777" w:rsidR="001B413F" w:rsidRDefault="001B413F" w:rsidP="001B413F">
            <w:pPr>
              <w:pStyle w:val="biaogeleft"/>
              <w:wordWrap w:val="0"/>
              <w:rPr>
                <w:rFonts w:hint="eastAsia"/>
              </w:rPr>
            </w:pPr>
            <w:r>
              <w:rPr>
                <w:rFonts w:hAnsi="等线" w:hint="eastAsia"/>
                <w:color w:val="000000"/>
              </w:rPr>
              <w:t>房地产业</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29082F89" w14:textId="742BD15E" w:rsidR="001B413F" w:rsidRDefault="001B413F" w:rsidP="001B413F">
            <w:pPr>
              <w:pStyle w:val="biaogeright"/>
              <w:wordWrap w:val="0"/>
              <w:rPr>
                <w:rFonts w:hint="eastAsia"/>
              </w:rPr>
            </w:pPr>
            <w:r>
              <w:t>-</w:t>
            </w:r>
          </w:p>
        </w:tc>
        <w:tc>
          <w:tcPr>
            <w:tcW w:w="2802" w:type="dxa"/>
            <w:tcBorders>
              <w:top w:val="single" w:sz="8" w:space="0" w:color="000000"/>
              <w:left w:val="single" w:sz="8" w:space="0" w:color="000000"/>
              <w:bottom w:val="single" w:sz="6" w:space="0" w:color="000000"/>
              <w:right w:val="single" w:sz="8" w:space="0" w:color="000000"/>
            </w:tcBorders>
            <w:vAlign w:val="center"/>
            <w:hideMark/>
          </w:tcPr>
          <w:p w14:paraId="3A146AF2" w14:textId="500BEFF2" w:rsidR="001B413F" w:rsidRDefault="001B413F" w:rsidP="001B413F">
            <w:pPr>
              <w:pStyle w:val="biaogeright"/>
              <w:wordWrap w:val="0"/>
              <w:rPr>
                <w:rFonts w:hint="eastAsia"/>
              </w:rPr>
            </w:pPr>
            <w:r>
              <w:t>-</w:t>
            </w:r>
          </w:p>
        </w:tc>
      </w:tr>
      <w:tr w:rsidR="001B413F" w14:paraId="562857A1" w14:textId="77777777" w:rsidTr="001B413F">
        <w:tc>
          <w:tcPr>
            <w:tcW w:w="0" w:type="auto"/>
            <w:tcBorders>
              <w:top w:val="single" w:sz="8" w:space="0" w:color="000000"/>
              <w:left w:val="single" w:sz="8" w:space="0" w:color="000000"/>
              <w:bottom w:val="single" w:sz="6" w:space="0" w:color="000000"/>
              <w:right w:val="single" w:sz="8" w:space="0" w:color="000000"/>
            </w:tcBorders>
            <w:vAlign w:val="center"/>
            <w:hideMark/>
          </w:tcPr>
          <w:p w14:paraId="04E3EB77" w14:textId="77777777" w:rsidR="001B413F" w:rsidRDefault="001B413F" w:rsidP="001B413F">
            <w:pPr>
              <w:pStyle w:val="biaogecenter"/>
              <w:wordWrap w:val="0"/>
              <w:rPr>
                <w:rFonts w:hint="eastAsia"/>
              </w:rPr>
            </w:pPr>
            <w:r>
              <w:rPr>
                <w:rFonts w:hAnsi="等线"/>
                <w:color w:val="000000"/>
              </w:rPr>
              <w:t>L</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36CCF87E" w14:textId="77777777" w:rsidR="001B413F" w:rsidRDefault="001B413F" w:rsidP="001B413F">
            <w:pPr>
              <w:pStyle w:val="biaogeleft"/>
              <w:wordWrap w:val="0"/>
              <w:rPr>
                <w:rFonts w:hint="eastAsia"/>
              </w:rPr>
            </w:pPr>
            <w:r>
              <w:rPr>
                <w:rFonts w:hAnsi="等线" w:hint="eastAsia"/>
                <w:color w:val="000000"/>
              </w:rPr>
              <w:t>租赁和商务服务业</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7065BF74" w14:textId="7500E6DC" w:rsidR="001B413F" w:rsidRDefault="001B413F" w:rsidP="001B413F">
            <w:pPr>
              <w:pStyle w:val="biaogeright"/>
              <w:wordWrap w:val="0"/>
              <w:rPr>
                <w:rFonts w:hint="eastAsia"/>
              </w:rPr>
            </w:pPr>
            <w:r>
              <w:t>-</w:t>
            </w:r>
          </w:p>
        </w:tc>
        <w:tc>
          <w:tcPr>
            <w:tcW w:w="2802" w:type="dxa"/>
            <w:tcBorders>
              <w:top w:val="single" w:sz="8" w:space="0" w:color="000000"/>
              <w:left w:val="single" w:sz="8" w:space="0" w:color="000000"/>
              <w:bottom w:val="single" w:sz="6" w:space="0" w:color="000000"/>
              <w:right w:val="single" w:sz="8" w:space="0" w:color="000000"/>
            </w:tcBorders>
            <w:vAlign w:val="center"/>
            <w:hideMark/>
          </w:tcPr>
          <w:p w14:paraId="0A6EC280" w14:textId="3EA57EDB" w:rsidR="001B413F" w:rsidRDefault="001B413F" w:rsidP="001B413F">
            <w:pPr>
              <w:pStyle w:val="biaogeright"/>
              <w:wordWrap w:val="0"/>
              <w:rPr>
                <w:rFonts w:hint="eastAsia"/>
              </w:rPr>
            </w:pPr>
            <w:r>
              <w:t>-</w:t>
            </w:r>
          </w:p>
        </w:tc>
      </w:tr>
      <w:tr w:rsidR="001B413F" w14:paraId="5B058AE0" w14:textId="77777777" w:rsidTr="001B413F">
        <w:tc>
          <w:tcPr>
            <w:tcW w:w="0" w:type="auto"/>
            <w:tcBorders>
              <w:top w:val="single" w:sz="8" w:space="0" w:color="000000"/>
              <w:left w:val="single" w:sz="8" w:space="0" w:color="000000"/>
              <w:bottom w:val="single" w:sz="6" w:space="0" w:color="000000"/>
              <w:right w:val="single" w:sz="8" w:space="0" w:color="000000"/>
            </w:tcBorders>
            <w:vAlign w:val="center"/>
            <w:hideMark/>
          </w:tcPr>
          <w:p w14:paraId="64B69EFE" w14:textId="77777777" w:rsidR="001B413F" w:rsidRDefault="001B413F" w:rsidP="001B413F">
            <w:pPr>
              <w:pStyle w:val="biaogecenter"/>
              <w:wordWrap w:val="0"/>
              <w:rPr>
                <w:rFonts w:hint="eastAsia"/>
              </w:rPr>
            </w:pPr>
            <w:r>
              <w:rPr>
                <w:rFonts w:hAnsi="等线"/>
                <w:color w:val="000000"/>
              </w:rPr>
              <w:t>M</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4CFE5881" w14:textId="77777777" w:rsidR="001B413F" w:rsidRDefault="001B413F" w:rsidP="001B413F">
            <w:pPr>
              <w:pStyle w:val="biaogeleft"/>
              <w:wordWrap w:val="0"/>
              <w:rPr>
                <w:rFonts w:hint="eastAsia"/>
              </w:rPr>
            </w:pPr>
            <w:r>
              <w:rPr>
                <w:rFonts w:hAnsi="等线" w:hint="eastAsia"/>
                <w:color w:val="000000"/>
              </w:rPr>
              <w:t>科学研究和技术服务业</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54962BB9" w14:textId="6E0077FD" w:rsidR="001B413F" w:rsidRDefault="001B413F" w:rsidP="001B413F">
            <w:pPr>
              <w:pStyle w:val="biaogeright"/>
              <w:wordWrap w:val="0"/>
              <w:rPr>
                <w:rFonts w:hint="eastAsia"/>
              </w:rPr>
            </w:pPr>
            <w:r>
              <w:t>156,403.61</w:t>
            </w:r>
          </w:p>
        </w:tc>
        <w:tc>
          <w:tcPr>
            <w:tcW w:w="2802" w:type="dxa"/>
            <w:tcBorders>
              <w:top w:val="single" w:sz="8" w:space="0" w:color="000000"/>
              <w:left w:val="single" w:sz="8" w:space="0" w:color="000000"/>
              <w:bottom w:val="single" w:sz="6" w:space="0" w:color="000000"/>
              <w:right w:val="single" w:sz="8" w:space="0" w:color="000000"/>
            </w:tcBorders>
            <w:vAlign w:val="center"/>
            <w:hideMark/>
          </w:tcPr>
          <w:p w14:paraId="20183066" w14:textId="23081C59" w:rsidR="001B413F" w:rsidRDefault="001B413F" w:rsidP="001B413F">
            <w:pPr>
              <w:pStyle w:val="biaogeright"/>
              <w:wordWrap w:val="0"/>
              <w:rPr>
                <w:rFonts w:hint="eastAsia"/>
              </w:rPr>
            </w:pPr>
            <w:r>
              <w:t>3.48</w:t>
            </w:r>
          </w:p>
        </w:tc>
      </w:tr>
      <w:tr w:rsidR="001B413F" w14:paraId="4FD9FBCD" w14:textId="77777777" w:rsidTr="001B413F">
        <w:tc>
          <w:tcPr>
            <w:tcW w:w="0" w:type="auto"/>
            <w:tcBorders>
              <w:top w:val="single" w:sz="8" w:space="0" w:color="000000"/>
              <w:left w:val="single" w:sz="8" w:space="0" w:color="000000"/>
              <w:bottom w:val="single" w:sz="6" w:space="0" w:color="000000"/>
              <w:right w:val="single" w:sz="8" w:space="0" w:color="000000"/>
            </w:tcBorders>
            <w:vAlign w:val="center"/>
            <w:hideMark/>
          </w:tcPr>
          <w:p w14:paraId="7EAD9AB3" w14:textId="77777777" w:rsidR="001B413F" w:rsidRDefault="001B413F" w:rsidP="001B413F">
            <w:pPr>
              <w:pStyle w:val="biaogecenter"/>
              <w:wordWrap w:val="0"/>
              <w:rPr>
                <w:rFonts w:hint="eastAsia"/>
              </w:rPr>
            </w:pPr>
            <w:r>
              <w:rPr>
                <w:rFonts w:hAnsi="等线"/>
                <w:color w:val="000000"/>
              </w:rPr>
              <w:t>N</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6514B15F" w14:textId="77777777" w:rsidR="001B413F" w:rsidRDefault="001B413F" w:rsidP="001B413F">
            <w:pPr>
              <w:pStyle w:val="biaogeleft"/>
              <w:wordWrap w:val="0"/>
              <w:rPr>
                <w:rFonts w:hint="eastAsia"/>
              </w:rPr>
            </w:pPr>
            <w:r>
              <w:rPr>
                <w:rFonts w:hAnsi="等线" w:hint="eastAsia"/>
                <w:color w:val="000000"/>
              </w:rPr>
              <w:t>水利、环境和公共设施管理业</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65E57C86" w14:textId="09344A7E" w:rsidR="001B413F" w:rsidRDefault="001B413F" w:rsidP="001B413F">
            <w:pPr>
              <w:pStyle w:val="biaogeright"/>
              <w:wordWrap w:val="0"/>
              <w:rPr>
                <w:rFonts w:hint="eastAsia"/>
              </w:rPr>
            </w:pPr>
            <w:r>
              <w:t>47,921.60</w:t>
            </w:r>
          </w:p>
        </w:tc>
        <w:tc>
          <w:tcPr>
            <w:tcW w:w="2802" w:type="dxa"/>
            <w:tcBorders>
              <w:top w:val="single" w:sz="8" w:space="0" w:color="000000"/>
              <w:left w:val="single" w:sz="8" w:space="0" w:color="000000"/>
              <w:bottom w:val="single" w:sz="6" w:space="0" w:color="000000"/>
              <w:right w:val="single" w:sz="8" w:space="0" w:color="000000"/>
            </w:tcBorders>
            <w:vAlign w:val="center"/>
            <w:hideMark/>
          </w:tcPr>
          <w:p w14:paraId="2FE719EA" w14:textId="361A742E" w:rsidR="001B413F" w:rsidRDefault="001B413F" w:rsidP="001B413F">
            <w:pPr>
              <w:pStyle w:val="biaogeright"/>
              <w:wordWrap w:val="0"/>
              <w:rPr>
                <w:rFonts w:hint="eastAsia"/>
              </w:rPr>
            </w:pPr>
            <w:r>
              <w:t>1.07</w:t>
            </w:r>
          </w:p>
        </w:tc>
      </w:tr>
      <w:tr w:rsidR="001B413F" w14:paraId="094379D8" w14:textId="77777777" w:rsidTr="001B413F">
        <w:tc>
          <w:tcPr>
            <w:tcW w:w="0" w:type="auto"/>
            <w:tcBorders>
              <w:top w:val="single" w:sz="8" w:space="0" w:color="000000"/>
              <w:left w:val="single" w:sz="8" w:space="0" w:color="000000"/>
              <w:bottom w:val="single" w:sz="6" w:space="0" w:color="000000"/>
              <w:right w:val="single" w:sz="8" w:space="0" w:color="000000"/>
            </w:tcBorders>
            <w:vAlign w:val="center"/>
            <w:hideMark/>
          </w:tcPr>
          <w:p w14:paraId="789DC07C" w14:textId="77777777" w:rsidR="001B413F" w:rsidRDefault="001B413F" w:rsidP="001B413F">
            <w:pPr>
              <w:pStyle w:val="biaogecenter"/>
              <w:wordWrap w:val="0"/>
              <w:rPr>
                <w:rFonts w:hint="eastAsia"/>
              </w:rPr>
            </w:pPr>
            <w:r>
              <w:rPr>
                <w:rFonts w:hAnsi="等线"/>
                <w:color w:val="000000"/>
              </w:rPr>
              <w:t>O</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56EE4D28" w14:textId="77777777" w:rsidR="001B413F" w:rsidRDefault="001B413F" w:rsidP="001B413F">
            <w:pPr>
              <w:pStyle w:val="biaogeleft"/>
              <w:wordWrap w:val="0"/>
              <w:rPr>
                <w:rFonts w:hint="eastAsia"/>
              </w:rPr>
            </w:pPr>
            <w:r>
              <w:rPr>
                <w:rFonts w:hAnsi="等线" w:hint="eastAsia"/>
                <w:color w:val="000000"/>
              </w:rPr>
              <w:t>居民服务、修理和其他服务业</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0F12D7F8" w14:textId="2FE7C93A" w:rsidR="001B413F" w:rsidRDefault="001B413F" w:rsidP="001B413F">
            <w:pPr>
              <w:pStyle w:val="biaogeright"/>
              <w:wordWrap w:val="0"/>
              <w:rPr>
                <w:rFonts w:hint="eastAsia"/>
              </w:rPr>
            </w:pPr>
            <w:r>
              <w:t>-</w:t>
            </w:r>
          </w:p>
        </w:tc>
        <w:tc>
          <w:tcPr>
            <w:tcW w:w="2802" w:type="dxa"/>
            <w:tcBorders>
              <w:top w:val="single" w:sz="8" w:space="0" w:color="000000"/>
              <w:left w:val="single" w:sz="8" w:space="0" w:color="000000"/>
              <w:bottom w:val="single" w:sz="6" w:space="0" w:color="000000"/>
              <w:right w:val="single" w:sz="8" w:space="0" w:color="000000"/>
            </w:tcBorders>
            <w:vAlign w:val="center"/>
            <w:hideMark/>
          </w:tcPr>
          <w:p w14:paraId="60F3EFCD" w14:textId="6A1F789B" w:rsidR="001B413F" w:rsidRDefault="001B413F" w:rsidP="001B413F">
            <w:pPr>
              <w:pStyle w:val="biaogeright"/>
              <w:wordWrap w:val="0"/>
              <w:rPr>
                <w:rFonts w:hint="eastAsia"/>
              </w:rPr>
            </w:pPr>
            <w:r>
              <w:t>-</w:t>
            </w:r>
          </w:p>
        </w:tc>
      </w:tr>
      <w:tr w:rsidR="001B413F" w14:paraId="0741867A" w14:textId="77777777" w:rsidTr="001B413F">
        <w:tc>
          <w:tcPr>
            <w:tcW w:w="0" w:type="auto"/>
            <w:tcBorders>
              <w:top w:val="single" w:sz="8" w:space="0" w:color="000000"/>
              <w:left w:val="single" w:sz="8" w:space="0" w:color="000000"/>
              <w:bottom w:val="single" w:sz="6" w:space="0" w:color="000000"/>
              <w:right w:val="single" w:sz="8" w:space="0" w:color="000000"/>
            </w:tcBorders>
            <w:vAlign w:val="center"/>
            <w:hideMark/>
          </w:tcPr>
          <w:p w14:paraId="7CA61C4C" w14:textId="77777777" w:rsidR="001B413F" w:rsidRDefault="001B413F" w:rsidP="001B413F">
            <w:pPr>
              <w:pStyle w:val="biaogecenter"/>
              <w:wordWrap w:val="0"/>
              <w:rPr>
                <w:rFonts w:hint="eastAsia"/>
              </w:rPr>
            </w:pPr>
            <w:r>
              <w:rPr>
                <w:rFonts w:hAnsi="等线"/>
                <w:color w:val="000000"/>
              </w:rPr>
              <w:t>P</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0B987EBB" w14:textId="77777777" w:rsidR="001B413F" w:rsidRDefault="001B413F" w:rsidP="001B413F">
            <w:pPr>
              <w:pStyle w:val="biaogeleft"/>
              <w:wordWrap w:val="0"/>
              <w:rPr>
                <w:rFonts w:hint="eastAsia"/>
              </w:rPr>
            </w:pPr>
            <w:r>
              <w:rPr>
                <w:rFonts w:hAnsi="等线" w:hint="eastAsia"/>
                <w:color w:val="000000"/>
              </w:rPr>
              <w:t>教育</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74428DCB" w14:textId="5462B789" w:rsidR="001B413F" w:rsidRDefault="001B413F" w:rsidP="001B413F">
            <w:pPr>
              <w:pStyle w:val="biaogeright"/>
              <w:wordWrap w:val="0"/>
              <w:rPr>
                <w:rFonts w:hint="eastAsia"/>
              </w:rPr>
            </w:pPr>
            <w:r>
              <w:t>-</w:t>
            </w:r>
          </w:p>
        </w:tc>
        <w:tc>
          <w:tcPr>
            <w:tcW w:w="2802" w:type="dxa"/>
            <w:tcBorders>
              <w:top w:val="single" w:sz="8" w:space="0" w:color="000000"/>
              <w:left w:val="single" w:sz="8" w:space="0" w:color="000000"/>
              <w:bottom w:val="single" w:sz="6" w:space="0" w:color="000000"/>
              <w:right w:val="single" w:sz="8" w:space="0" w:color="000000"/>
            </w:tcBorders>
            <w:vAlign w:val="center"/>
            <w:hideMark/>
          </w:tcPr>
          <w:p w14:paraId="384697FD" w14:textId="6A27EBD1" w:rsidR="001B413F" w:rsidRDefault="001B413F" w:rsidP="001B413F">
            <w:pPr>
              <w:pStyle w:val="biaogeright"/>
              <w:wordWrap w:val="0"/>
              <w:rPr>
                <w:rFonts w:hint="eastAsia"/>
              </w:rPr>
            </w:pPr>
            <w:r>
              <w:t>-</w:t>
            </w:r>
          </w:p>
        </w:tc>
      </w:tr>
      <w:tr w:rsidR="001B413F" w14:paraId="390AA8F6" w14:textId="77777777" w:rsidTr="001B413F">
        <w:tc>
          <w:tcPr>
            <w:tcW w:w="0" w:type="auto"/>
            <w:tcBorders>
              <w:top w:val="single" w:sz="8" w:space="0" w:color="000000"/>
              <w:left w:val="single" w:sz="8" w:space="0" w:color="000000"/>
              <w:bottom w:val="single" w:sz="6" w:space="0" w:color="000000"/>
              <w:right w:val="single" w:sz="8" w:space="0" w:color="000000"/>
            </w:tcBorders>
            <w:vAlign w:val="center"/>
            <w:hideMark/>
          </w:tcPr>
          <w:p w14:paraId="77D0A752" w14:textId="77777777" w:rsidR="001B413F" w:rsidRDefault="001B413F" w:rsidP="001B413F">
            <w:pPr>
              <w:pStyle w:val="biaogecenter"/>
              <w:wordWrap w:val="0"/>
              <w:rPr>
                <w:rFonts w:hint="eastAsia"/>
              </w:rPr>
            </w:pPr>
            <w:r>
              <w:rPr>
                <w:rFonts w:hAnsi="等线"/>
                <w:color w:val="000000"/>
              </w:rPr>
              <w:t>Q</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1AAFED0D" w14:textId="77777777" w:rsidR="001B413F" w:rsidRDefault="001B413F" w:rsidP="001B413F">
            <w:pPr>
              <w:pStyle w:val="biaogeleft"/>
              <w:wordWrap w:val="0"/>
              <w:rPr>
                <w:rFonts w:hint="eastAsia"/>
              </w:rPr>
            </w:pPr>
            <w:r>
              <w:rPr>
                <w:rFonts w:hAnsi="等线" w:hint="eastAsia"/>
                <w:color w:val="000000"/>
              </w:rPr>
              <w:t>卫生和社会工作</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6A25D3BA" w14:textId="188EA418" w:rsidR="001B413F" w:rsidRDefault="001B413F" w:rsidP="001B413F">
            <w:pPr>
              <w:pStyle w:val="biaogeright"/>
              <w:wordWrap w:val="0"/>
              <w:rPr>
                <w:rFonts w:hint="eastAsia"/>
              </w:rPr>
            </w:pPr>
            <w:r>
              <w:t>-</w:t>
            </w:r>
          </w:p>
        </w:tc>
        <w:tc>
          <w:tcPr>
            <w:tcW w:w="2802" w:type="dxa"/>
            <w:tcBorders>
              <w:top w:val="single" w:sz="8" w:space="0" w:color="000000"/>
              <w:left w:val="single" w:sz="8" w:space="0" w:color="000000"/>
              <w:bottom w:val="single" w:sz="6" w:space="0" w:color="000000"/>
              <w:right w:val="single" w:sz="8" w:space="0" w:color="000000"/>
            </w:tcBorders>
            <w:vAlign w:val="center"/>
            <w:hideMark/>
          </w:tcPr>
          <w:p w14:paraId="483875C4" w14:textId="3339E72A" w:rsidR="001B413F" w:rsidRDefault="001B413F" w:rsidP="001B413F">
            <w:pPr>
              <w:pStyle w:val="biaogeright"/>
              <w:wordWrap w:val="0"/>
              <w:rPr>
                <w:rFonts w:hint="eastAsia"/>
              </w:rPr>
            </w:pPr>
            <w:r>
              <w:t>-</w:t>
            </w:r>
          </w:p>
        </w:tc>
      </w:tr>
      <w:tr w:rsidR="001B413F" w14:paraId="5050AE85" w14:textId="77777777" w:rsidTr="001B413F">
        <w:tc>
          <w:tcPr>
            <w:tcW w:w="0" w:type="auto"/>
            <w:tcBorders>
              <w:top w:val="single" w:sz="8" w:space="0" w:color="000000"/>
              <w:left w:val="single" w:sz="8" w:space="0" w:color="000000"/>
              <w:bottom w:val="single" w:sz="6" w:space="0" w:color="000000"/>
              <w:right w:val="single" w:sz="8" w:space="0" w:color="000000"/>
            </w:tcBorders>
            <w:vAlign w:val="center"/>
            <w:hideMark/>
          </w:tcPr>
          <w:p w14:paraId="6900A727" w14:textId="77777777" w:rsidR="001B413F" w:rsidRDefault="001B413F" w:rsidP="001B413F">
            <w:pPr>
              <w:pStyle w:val="biaogecenter"/>
              <w:wordWrap w:val="0"/>
              <w:rPr>
                <w:rFonts w:hint="eastAsia"/>
              </w:rPr>
            </w:pPr>
            <w:r>
              <w:rPr>
                <w:rFonts w:hAnsi="等线"/>
                <w:color w:val="000000"/>
              </w:rPr>
              <w:t>R</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59196F70" w14:textId="77777777" w:rsidR="001B413F" w:rsidRDefault="001B413F" w:rsidP="001B413F">
            <w:pPr>
              <w:pStyle w:val="biaogeleft"/>
              <w:wordWrap w:val="0"/>
              <w:rPr>
                <w:rFonts w:hint="eastAsia"/>
              </w:rPr>
            </w:pPr>
            <w:r>
              <w:rPr>
                <w:rFonts w:hAnsi="等线" w:hint="eastAsia"/>
                <w:color w:val="000000"/>
              </w:rPr>
              <w:t>文化、体育和娱乐业</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3FD50796" w14:textId="4F6603CF" w:rsidR="001B413F" w:rsidRDefault="001B413F" w:rsidP="001B413F">
            <w:pPr>
              <w:pStyle w:val="biaogeright"/>
              <w:wordWrap w:val="0"/>
              <w:rPr>
                <w:rFonts w:hint="eastAsia"/>
              </w:rPr>
            </w:pPr>
            <w:r>
              <w:t>-</w:t>
            </w:r>
          </w:p>
        </w:tc>
        <w:tc>
          <w:tcPr>
            <w:tcW w:w="2802" w:type="dxa"/>
            <w:tcBorders>
              <w:top w:val="single" w:sz="8" w:space="0" w:color="000000"/>
              <w:left w:val="single" w:sz="8" w:space="0" w:color="000000"/>
              <w:bottom w:val="single" w:sz="6" w:space="0" w:color="000000"/>
              <w:right w:val="single" w:sz="8" w:space="0" w:color="000000"/>
            </w:tcBorders>
            <w:vAlign w:val="center"/>
            <w:hideMark/>
          </w:tcPr>
          <w:p w14:paraId="6A90CE8C" w14:textId="17ACF5F7" w:rsidR="001B413F" w:rsidRDefault="001B413F" w:rsidP="001B413F">
            <w:pPr>
              <w:pStyle w:val="biaogeright"/>
              <w:wordWrap w:val="0"/>
              <w:rPr>
                <w:rFonts w:hint="eastAsia"/>
              </w:rPr>
            </w:pPr>
            <w:r>
              <w:t>-</w:t>
            </w:r>
          </w:p>
        </w:tc>
      </w:tr>
      <w:tr w:rsidR="001B413F" w14:paraId="5A6EC4F2" w14:textId="77777777" w:rsidTr="001B413F">
        <w:tc>
          <w:tcPr>
            <w:tcW w:w="0" w:type="auto"/>
            <w:tcBorders>
              <w:top w:val="single" w:sz="8" w:space="0" w:color="000000"/>
              <w:left w:val="single" w:sz="8" w:space="0" w:color="000000"/>
              <w:bottom w:val="single" w:sz="6" w:space="0" w:color="000000"/>
              <w:right w:val="single" w:sz="8" w:space="0" w:color="000000"/>
            </w:tcBorders>
            <w:vAlign w:val="center"/>
            <w:hideMark/>
          </w:tcPr>
          <w:p w14:paraId="4244001B" w14:textId="77777777" w:rsidR="001B413F" w:rsidRDefault="001B413F" w:rsidP="001B413F">
            <w:pPr>
              <w:pStyle w:val="biaogecenter"/>
              <w:wordWrap w:val="0"/>
              <w:rPr>
                <w:rFonts w:hint="eastAsia"/>
              </w:rPr>
            </w:pPr>
            <w:r>
              <w:rPr>
                <w:rFonts w:hAnsi="等线"/>
                <w:color w:val="000000"/>
              </w:rPr>
              <w:t>S</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45C4D2D7" w14:textId="77777777" w:rsidR="001B413F" w:rsidRDefault="001B413F" w:rsidP="001B413F">
            <w:pPr>
              <w:pStyle w:val="biaogeleft"/>
              <w:wordWrap w:val="0"/>
              <w:rPr>
                <w:rFonts w:hint="eastAsia"/>
              </w:rPr>
            </w:pPr>
            <w:r>
              <w:rPr>
                <w:rFonts w:hAnsi="等线" w:hint="eastAsia"/>
                <w:color w:val="000000"/>
              </w:rPr>
              <w:t>综合</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2AD96370" w14:textId="6164CF6F" w:rsidR="001B413F" w:rsidRDefault="001B413F" w:rsidP="001B413F">
            <w:pPr>
              <w:pStyle w:val="biaogeright"/>
              <w:wordWrap w:val="0"/>
              <w:rPr>
                <w:rFonts w:hint="eastAsia"/>
              </w:rPr>
            </w:pPr>
            <w:r>
              <w:t>-</w:t>
            </w:r>
          </w:p>
        </w:tc>
        <w:tc>
          <w:tcPr>
            <w:tcW w:w="2802" w:type="dxa"/>
            <w:tcBorders>
              <w:top w:val="single" w:sz="8" w:space="0" w:color="000000"/>
              <w:left w:val="single" w:sz="8" w:space="0" w:color="000000"/>
              <w:bottom w:val="single" w:sz="6" w:space="0" w:color="000000"/>
              <w:right w:val="single" w:sz="8" w:space="0" w:color="000000"/>
            </w:tcBorders>
            <w:vAlign w:val="center"/>
            <w:hideMark/>
          </w:tcPr>
          <w:p w14:paraId="70C897A7" w14:textId="7376B2D5" w:rsidR="001B413F" w:rsidRDefault="001B413F" w:rsidP="001B413F">
            <w:pPr>
              <w:pStyle w:val="biaogeright"/>
              <w:wordWrap w:val="0"/>
              <w:rPr>
                <w:rFonts w:hint="eastAsia"/>
              </w:rPr>
            </w:pPr>
            <w:r>
              <w:t>-</w:t>
            </w:r>
          </w:p>
        </w:tc>
      </w:tr>
      <w:tr w:rsidR="001B413F" w14:paraId="04E4C9F1" w14:textId="77777777" w:rsidTr="001B413F">
        <w:tc>
          <w:tcPr>
            <w:tcW w:w="0" w:type="auto"/>
            <w:tcBorders>
              <w:top w:val="single" w:sz="8" w:space="0" w:color="000000"/>
              <w:left w:val="single" w:sz="8" w:space="0" w:color="000000"/>
              <w:bottom w:val="single" w:sz="6" w:space="0" w:color="000000"/>
              <w:right w:val="single" w:sz="8" w:space="0" w:color="000000"/>
            </w:tcBorders>
            <w:vAlign w:val="center"/>
            <w:hideMark/>
          </w:tcPr>
          <w:p w14:paraId="66866BAD" w14:textId="77777777" w:rsidR="001B413F" w:rsidRDefault="001B413F" w:rsidP="001B413F">
            <w:pPr>
              <w:widowControl/>
              <w:jc w:val="left"/>
              <w:rPr>
                <w:rFonts w:cs="宋体"/>
                <w:kern w:val="0"/>
                <w:sz w:val="20"/>
                <w:szCs w:val="20"/>
              </w:rPr>
            </w:pP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4DDDBE0A" w14:textId="77777777" w:rsidR="001B413F" w:rsidRDefault="001B413F" w:rsidP="001B413F">
            <w:pPr>
              <w:pStyle w:val="biaogeleft"/>
              <w:wordWrap w:val="0"/>
              <w:rPr>
                <w:rFonts w:hint="eastAsia"/>
              </w:rPr>
            </w:pPr>
            <w:r>
              <w:rPr>
                <w:rFonts w:hAnsi="等线" w:hint="eastAsia"/>
                <w:color w:val="000000"/>
              </w:rPr>
              <w:t>合计</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4ED05894" w14:textId="2BB78998" w:rsidR="001B413F" w:rsidRDefault="001B413F" w:rsidP="001B413F">
            <w:pPr>
              <w:pStyle w:val="biaogeright"/>
              <w:wordWrap w:val="0"/>
              <w:rPr>
                <w:rFonts w:hint="eastAsia"/>
              </w:rPr>
            </w:pPr>
            <w:r>
              <w:t>4,106,786.74</w:t>
            </w:r>
          </w:p>
        </w:tc>
        <w:tc>
          <w:tcPr>
            <w:tcW w:w="2802" w:type="dxa"/>
            <w:tcBorders>
              <w:top w:val="single" w:sz="8" w:space="0" w:color="000000"/>
              <w:left w:val="single" w:sz="8" w:space="0" w:color="000000"/>
              <w:bottom w:val="single" w:sz="6" w:space="0" w:color="000000"/>
              <w:right w:val="single" w:sz="8" w:space="0" w:color="000000"/>
            </w:tcBorders>
            <w:vAlign w:val="center"/>
            <w:hideMark/>
          </w:tcPr>
          <w:p w14:paraId="29E30287" w14:textId="3B265B92" w:rsidR="001B413F" w:rsidRDefault="001B413F" w:rsidP="001B413F">
            <w:pPr>
              <w:pStyle w:val="biaogeright"/>
              <w:wordWrap w:val="0"/>
              <w:rPr>
                <w:rFonts w:hint="eastAsia"/>
              </w:rPr>
            </w:pPr>
            <w:r>
              <w:t>91.28</w:t>
            </w:r>
          </w:p>
        </w:tc>
      </w:tr>
    </w:tbl>
    <w:p w14:paraId="5823CE4F" w14:textId="77777777" w:rsidR="004D3275" w:rsidRDefault="004D3275" w:rsidP="004D3275">
      <w:pPr>
        <w:spacing w:line="360" w:lineRule="auto"/>
        <w:ind w:firstLineChars="200" w:firstLine="480"/>
        <w:rPr>
          <w:rFonts w:asciiTheme="minorEastAsia" w:hAnsiTheme="minorEastAsia" w:cs="Times New Roman" w:hint="eastAsia"/>
          <w:sz w:val="24"/>
          <w:szCs w:val="24"/>
        </w:rPr>
      </w:pPr>
    </w:p>
    <w:p w14:paraId="70AE8988"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w:t>
      </w:r>
      <w:r w:rsidRPr="007D5062">
        <w:rPr>
          <w:rFonts w:asciiTheme="minorEastAsia" w:hAnsiTheme="minorEastAsia" w:cs="Times New Roman" w:hint="eastAsia"/>
          <w:sz w:val="24"/>
          <w:szCs w:val="24"/>
        </w:rPr>
        <w:t>报告期末按行业分类的港股通投资股票投资组合</w:t>
      </w:r>
    </w:p>
    <w:p w14:paraId="72DF28A1" w14:textId="77777777" w:rsidR="004D3275" w:rsidRDefault="004D3275" w:rsidP="004D3275">
      <w:pPr>
        <w:spacing w:line="360" w:lineRule="auto"/>
        <w:ind w:firstLineChars="200" w:firstLine="480"/>
        <w:rPr>
          <w:rFonts w:asciiTheme="minorEastAsia" w:hAnsiTheme="minorEastAsia" w:cs="Times New Roman" w:hint="eastAsia"/>
          <w:sz w:val="24"/>
          <w:szCs w:val="24"/>
        </w:rPr>
      </w:pPr>
      <w:r w:rsidRPr="007D5062">
        <w:rPr>
          <w:rFonts w:asciiTheme="minorEastAsia" w:hAnsiTheme="minorEastAsia" w:cs="Times New Roman" w:hint="eastAsia"/>
          <w:sz w:val="24"/>
          <w:szCs w:val="24"/>
        </w:rPr>
        <w:t>本基金本报告期末未持有港股通股票。</w:t>
      </w:r>
    </w:p>
    <w:p w14:paraId="76269D00" w14:textId="77777777" w:rsidR="004D3275" w:rsidRDefault="004D3275" w:rsidP="004D3275">
      <w:pPr>
        <w:spacing w:line="360" w:lineRule="auto"/>
        <w:ind w:firstLineChars="200" w:firstLine="480"/>
        <w:rPr>
          <w:rFonts w:asciiTheme="minorEastAsia" w:hAnsiTheme="minorEastAsia" w:cs="Times New Roman" w:hint="eastAsia"/>
          <w:sz w:val="24"/>
          <w:szCs w:val="24"/>
        </w:rPr>
      </w:pPr>
    </w:p>
    <w:p w14:paraId="4261F439"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w:t>
      </w:r>
      <w:r w:rsidRPr="007D5062">
        <w:rPr>
          <w:rFonts w:asciiTheme="minorEastAsia" w:hAnsiTheme="minorEastAsia" w:cs="Times New Roman" w:hint="eastAsia"/>
          <w:sz w:val="24"/>
          <w:szCs w:val="24"/>
        </w:rPr>
        <w:t>报告期末按公允价值占基金资产净值比例大小排序的前十名股票投资明细</w:t>
      </w:r>
    </w:p>
    <w:tbl>
      <w:tblPr>
        <w:tblW w:w="9080" w:type="dxa"/>
        <w:tblInd w:w="108" w:type="dxa"/>
        <w:tblLook w:val="04A0" w:firstRow="1" w:lastRow="0" w:firstColumn="1" w:lastColumn="0" w:noHBand="0" w:noVBand="1"/>
      </w:tblPr>
      <w:tblGrid>
        <w:gridCol w:w="471"/>
        <w:gridCol w:w="1482"/>
        <w:gridCol w:w="1777"/>
        <w:gridCol w:w="1782"/>
        <w:gridCol w:w="1782"/>
        <w:gridCol w:w="1786"/>
      </w:tblGrid>
      <w:tr w:rsidR="004D3275" w14:paraId="5CC1985B" w14:textId="77777777" w:rsidTr="001B413F">
        <w:tc>
          <w:tcPr>
            <w:tcW w:w="471" w:type="dxa"/>
            <w:tcBorders>
              <w:top w:val="single" w:sz="8" w:space="0" w:color="000000"/>
              <w:left w:val="single" w:sz="8" w:space="0" w:color="000000"/>
              <w:bottom w:val="single" w:sz="6" w:space="0" w:color="000000"/>
              <w:right w:val="single" w:sz="8" w:space="0" w:color="000000"/>
            </w:tcBorders>
            <w:vAlign w:val="center"/>
            <w:hideMark/>
          </w:tcPr>
          <w:p w14:paraId="42E305D9" w14:textId="77777777" w:rsidR="004D3275" w:rsidRDefault="004D3275" w:rsidP="00114C8C">
            <w:pPr>
              <w:pStyle w:val="biaogecenter"/>
              <w:wordWrap w:val="0"/>
              <w:rPr>
                <w:rFonts w:hint="eastAsia"/>
              </w:rPr>
            </w:pPr>
            <w:r>
              <w:rPr>
                <w:rFonts w:hAnsi="等线" w:hint="eastAsia"/>
                <w:color w:val="000000"/>
              </w:rPr>
              <w:t>序号</w:t>
            </w:r>
          </w:p>
        </w:tc>
        <w:tc>
          <w:tcPr>
            <w:tcW w:w="1482" w:type="dxa"/>
            <w:tcBorders>
              <w:top w:val="single" w:sz="8" w:space="0" w:color="000000"/>
              <w:left w:val="single" w:sz="8" w:space="0" w:color="000000"/>
              <w:bottom w:val="single" w:sz="6" w:space="0" w:color="000000"/>
              <w:right w:val="single" w:sz="8" w:space="0" w:color="000000"/>
            </w:tcBorders>
            <w:vAlign w:val="center"/>
            <w:hideMark/>
          </w:tcPr>
          <w:p w14:paraId="1A643931" w14:textId="77777777" w:rsidR="004D3275" w:rsidRDefault="004D3275" w:rsidP="00114C8C">
            <w:pPr>
              <w:pStyle w:val="biaogecenter"/>
              <w:wordWrap w:val="0"/>
              <w:rPr>
                <w:rFonts w:hint="eastAsia"/>
              </w:rPr>
            </w:pPr>
            <w:r>
              <w:rPr>
                <w:rFonts w:hAnsi="等线" w:hint="eastAsia"/>
                <w:color w:val="000000"/>
              </w:rPr>
              <w:t>股票代码</w:t>
            </w:r>
          </w:p>
        </w:tc>
        <w:tc>
          <w:tcPr>
            <w:tcW w:w="1777" w:type="dxa"/>
            <w:tcBorders>
              <w:top w:val="single" w:sz="8" w:space="0" w:color="000000"/>
              <w:left w:val="single" w:sz="8" w:space="0" w:color="000000"/>
              <w:bottom w:val="single" w:sz="6" w:space="0" w:color="000000"/>
              <w:right w:val="single" w:sz="8" w:space="0" w:color="000000"/>
            </w:tcBorders>
            <w:vAlign w:val="center"/>
            <w:hideMark/>
          </w:tcPr>
          <w:p w14:paraId="11F2BABC" w14:textId="77777777" w:rsidR="004D3275" w:rsidRDefault="004D3275" w:rsidP="00114C8C">
            <w:pPr>
              <w:pStyle w:val="biaogecenter"/>
              <w:wordWrap w:val="0"/>
              <w:rPr>
                <w:rFonts w:hint="eastAsia"/>
              </w:rPr>
            </w:pPr>
            <w:r>
              <w:rPr>
                <w:rFonts w:hAnsi="等线" w:hint="eastAsia"/>
                <w:color w:val="000000"/>
              </w:rPr>
              <w:t>股票名称</w:t>
            </w:r>
          </w:p>
        </w:tc>
        <w:tc>
          <w:tcPr>
            <w:tcW w:w="1782" w:type="dxa"/>
            <w:tcBorders>
              <w:top w:val="single" w:sz="8" w:space="0" w:color="000000"/>
              <w:left w:val="single" w:sz="8" w:space="0" w:color="000000"/>
              <w:bottom w:val="single" w:sz="6" w:space="0" w:color="000000"/>
              <w:right w:val="single" w:sz="8" w:space="0" w:color="000000"/>
            </w:tcBorders>
            <w:vAlign w:val="center"/>
            <w:hideMark/>
          </w:tcPr>
          <w:p w14:paraId="27F27F09" w14:textId="77777777" w:rsidR="004D3275" w:rsidRDefault="004D3275" w:rsidP="00114C8C">
            <w:pPr>
              <w:pStyle w:val="biaogecenter"/>
              <w:wordWrap w:val="0"/>
              <w:rPr>
                <w:rFonts w:hint="eastAsia"/>
              </w:rPr>
            </w:pPr>
            <w:r>
              <w:rPr>
                <w:rFonts w:hAnsi="等线" w:hint="eastAsia"/>
                <w:color w:val="000000"/>
              </w:rPr>
              <w:t>数量</w:t>
            </w:r>
            <w:r>
              <w:rPr>
                <w:rFonts w:hAnsi="等线"/>
                <w:color w:val="000000"/>
              </w:rPr>
              <w:t>(</w:t>
            </w:r>
            <w:r>
              <w:rPr>
                <w:rFonts w:hAnsi="等线" w:hint="eastAsia"/>
                <w:color w:val="000000"/>
              </w:rPr>
              <w:t>股</w:t>
            </w:r>
            <w:r>
              <w:rPr>
                <w:rFonts w:hAnsi="等线"/>
                <w:color w:val="000000"/>
              </w:rPr>
              <w:t>)</w:t>
            </w:r>
          </w:p>
        </w:tc>
        <w:tc>
          <w:tcPr>
            <w:tcW w:w="1782" w:type="dxa"/>
            <w:tcBorders>
              <w:top w:val="single" w:sz="8" w:space="0" w:color="000000"/>
              <w:left w:val="single" w:sz="8" w:space="0" w:color="000000"/>
              <w:bottom w:val="single" w:sz="6" w:space="0" w:color="000000"/>
              <w:right w:val="single" w:sz="8" w:space="0" w:color="000000"/>
            </w:tcBorders>
            <w:vAlign w:val="center"/>
            <w:hideMark/>
          </w:tcPr>
          <w:p w14:paraId="1D0053B7" w14:textId="77777777" w:rsidR="004D3275" w:rsidRDefault="004D3275" w:rsidP="00114C8C">
            <w:pPr>
              <w:pStyle w:val="biaogecenter"/>
              <w:wordWrap w:val="0"/>
              <w:rPr>
                <w:rFonts w:hint="eastAsia"/>
              </w:rPr>
            </w:pPr>
            <w:r>
              <w:rPr>
                <w:rFonts w:hAnsi="等线" w:hint="eastAsia"/>
                <w:color w:val="000000"/>
              </w:rPr>
              <w:t>公允价值</w:t>
            </w:r>
            <w:r>
              <w:rPr>
                <w:rFonts w:hAnsi="等线"/>
                <w:color w:val="000000"/>
              </w:rPr>
              <w:t>(</w:t>
            </w:r>
            <w:r>
              <w:rPr>
                <w:rFonts w:hAnsi="等线" w:hint="eastAsia"/>
                <w:color w:val="000000"/>
              </w:rPr>
              <w:t>元</w:t>
            </w:r>
            <w:r>
              <w:rPr>
                <w:rFonts w:hAnsi="等线"/>
                <w:color w:val="000000"/>
              </w:rPr>
              <w:t>)</w:t>
            </w:r>
          </w:p>
        </w:tc>
        <w:tc>
          <w:tcPr>
            <w:tcW w:w="1786" w:type="dxa"/>
            <w:tcBorders>
              <w:top w:val="single" w:sz="8" w:space="0" w:color="000000"/>
              <w:left w:val="single" w:sz="8" w:space="0" w:color="000000"/>
              <w:bottom w:val="single" w:sz="6" w:space="0" w:color="000000"/>
              <w:right w:val="single" w:sz="8" w:space="0" w:color="000000"/>
            </w:tcBorders>
            <w:vAlign w:val="center"/>
            <w:hideMark/>
          </w:tcPr>
          <w:p w14:paraId="309845FC" w14:textId="77777777" w:rsidR="004D3275" w:rsidRDefault="004D3275" w:rsidP="00114C8C">
            <w:pPr>
              <w:pStyle w:val="biaogecenter"/>
              <w:wordWrap w:val="0"/>
              <w:rPr>
                <w:rFonts w:hint="eastAsia"/>
              </w:rPr>
            </w:pPr>
            <w:r>
              <w:rPr>
                <w:rFonts w:hAnsi="等线" w:hint="eastAsia"/>
                <w:color w:val="000000"/>
              </w:rPr>
              <w:t>占基金资产净值比例（％）</w:t>
            </w:r>
          </w:p>
        </w:tc>
      </w:tr>
      <w:tr w:rsidR="001B413F" w14:paraId="13237136" w14:textId="77777777" w:rsidTr="001B413F">
        <w:tc>
          <w:tcPr>
            <w:tcW w:w="471" w:type="dxa"/>
            <w:tcBorders>
              <w:top w:val="single" w:sz="8" w:space="0" w:color="000000"/>
              <w:left w:val="single" w:sz="8" w:space="0" w:color="000000"/>
              <w:bottom w:val="single" w:sz="6" w:space="0" w:color="000000"/>
              <w:right w:val="single" w:sz="8" w:space="0" w:color="000000"/>
            </w:tcBorders>
            <w:vAlign w:val="center"/>
            <w:hideMark/>
          </w:tcPr>
          <w:p w14:paraId="09FEC3AA" w14:textId="77777777" w:rsidR="001B413F" w:rsidRDefault="001B413F" w:rsidP="001B413F">
            <w:pPr>
              <w:pStyle w:val="biaogecenter"/>
              <w:wordWrap w:val="0"/>
              <w:rPr>
                <w:rFonts w:hint="eastAsia"/>
              </w:rPr>
            </w:pPr>
            <w:r>
              <w:rPr>
                <w:rFonts w:hAnsi="等线"/>
                <w:color w:val="000000"/>
              </w:rPr>
              <w:t>1</w:t>
            </w:r>
          </w:p>
        </w:tc>
        <w:tc>
          <w:tcPr>
            <w:tcW w:w="1482" w:type="dxa"/>
            <w:tcBorders>
              <w:top w:val="single" w:sz="8" w:space="0" w:color="000000"/>
              <w:left w:val="single" w:sz="8" w:space="0" w:color="000000"/>
              <w:bottom w:val="single" w:sz="6" w:space="0" w:color="000000"/>
              <w:right w:val="single" w:sz="8" w:space="0" w:color="000000"/>
            </w:tcBorders>
            <w:vAlign w:val="center"/>
            <w:hideMark/>
          </w:tcPr>
          <w:p w14:paraId="0DA4F3C1" w14:textId="4993B13A" w:rsidR="001B413F" w:rsidRDefault="001B413F" w:rsidP="001B413F">
            <w:pPr>
              <w:pStyle w:val="biaogeleft"/>
              <w:wordWrap w:val="0"/>
              <w:rPr>
                <w:rFonts w:hint="eastAsia"/>
              </w:rPr>
            </w:pPr>
            <w:r w:rsidRPr="006317A8">
              <w:rPr>
                <w:rFonts w:hAnsi="等线"/>
                <w:color w:val="000000"/>
              </w:rPr>
              <w:t>688313</w:t>
            </w:r>
          </w:p>
        </w:tc>
        <w:tc>
          <w:tcPr>
            <w:tcW w:w="1777" w:type="dxa"/>
            <w:tcBorders>
              <w:top w:val="single" w:sz="8" w:space="0" w:color="000000"/>
              <w:left w:val="single" w:sz="8" w:space="0" w:color="000000"/>
              <w:bottom w:val="single" w:sz="6" w:space="0" w:color="000000"/>
              <w:right w:val="single" w:sz="8" w:space="0" w:color="000000"/>
            </w:tcBorders>
            <w:vAlign w:val="center"/>
            <w:hideMark/>
          </w:tcPr>
          <w:p w14:paraId="0C27DFED" w14:textId="4202D8F5" w:rsidR="001B413F" w:rsidRDefault="001B413F" w:rsidP="001B413F">
            <w:pPr>
              <w:pStyle w:val="biaogeleft"/>
              <w:wordWrap w:val="0"/>
              <w:rPr>
                <w:rFonts w:hint="eastAsia"/>
              </w:rPr>
            </w:pPr>
            <w:proofErr w:type="gramStart"/>
            <w:r w:rsidRPr="006317A8">
              <w:rPr>
                <w:rFonts w:hAnsi="等线" w:hint="eastAsia"/>
                <w:color w:val="000000"/>
              </w:rPr>
              <w:t>仕</w:t>
            </w:r>
            <w:proofErr w:type="gramEnd"/>
            <w:r w:rsidRPr="006317A8">
              <w:rPr>
                <w:rFonts w:hAnsi="等线" w:hint="eastAsia"/>
                <w:color w:val="000000"/>
              </w:rPr>
              <w:t>佳光子</w:t>
            </w:r>
          </w:p>
        </w:tc>
        <w:tc>
          <w:tcPr>
            <w:tcW w:w="1782" w:type="dxa"/>
            <w:tcBorders>
              <w:top w:val="single" w:sz="8" w:space="0" w:color="000000"/>
              <w:left w:val="single" w:sz="8" w:space="0" w:color="000000"/>
              <w:bottom w:val="single" w:sz="6" w:space="0" w:color="000000"/>
              <w:right w:val="single" w:sz="8" w:space="0" w:color="000000"/>
            </w:tcBorders>
            <w:vAlign w:val="center"/>
            <w:hideMark/>
          </w:tcPr>
          <w:p w14:paraId="70C62C09" w14:textId="024A1583" w:rsidR="001B413F" w:rsidRDefault="001B413F" w:rsidP="001B413F">
            <w:pPr>
              <w:pStyle w:val="biaogeright"/>
              <w:wordWrap w:val="0"/>
              <w:rPr>
                <w:rFonts w:hint="eastAsia"/>
              </w:rPr>
            </w:pPr>
            <w:r w:rsidRPr="006317A8">
              <w:rPr>
                <w:rFonts w:hAnsi="等线"/>
                <w:color w:val="000000"/>
              </w:rPr>
              <w:t>5,192</w:t>
            </w:r>
          </w:p>
        </w:tc>
        <w:tc>
          <w:tcPr>
            <w:tcW w:w="1782" w:type="dxa"/>
            <w:tcBorders>
              <w:top w:val="single" w:sz="8" w:space="0" w:color="000000"/>
              <w:left w:val="single" w:sz="8" w:space="0" w:color="000000"/>
              <w:bottom w:val="single" w:sz="6" w:space="0" w:color="000000"/>
              <w:right w:val="single" w:sz="8" w:space="0" w:color="000000"/>
            </w:tcBorders>
            <w:vAlign w:val="center"/>
            <w:hideMark/>
          </w:tcPr>
          <w:p w14:paraId="7D944429" w14:textId="6F27E248" w:rsidR="001B413F" w:rsidRDefault="001B413F" w:rsidP="001B413F">
            <w:pPr>
              <w:pStyle w:val="biaogeright"/>
              <w:wordWrap w:val="0"/>
              <w:rPr>
                <w:rFonts w:hint="eastAsia"/>
              </w:rPr>
            </w:pPr>
            <w:r w:rsidRPr="006317A8">
              <w:rPr>
                <w:rFonts w:hAnsi="等线"/>
                <w:color w:val="000000"/>
              </w:rPr>
              <w:t>197,555.60</w:t>
            </w:r>
          </w:p>
        </w:tc>
        <w:tc>
          <w:tcPr>
            <w:tcW w:w="1786" w:type="dxa"/>
            <w:tcBorders>
              <w:top w:val="single" w:sz="8" w:space="0" w:color="000000"/>
              <w:left w:val="single" w:sz="8" w:space="0" w:color="000000"/>
              <w:bottom w:val="single" w:sz="6" w:space="0" w:color="000000"/>
              <w:right w:val="single" w:sz="8" w:space="0" w:color="000000"/>
            </w:tcBorders>
            <w:vAlign w:val="center"/>
            <w:hideMark/>
          </w:tcPr>
          <w:p w14:paraId="3C07D281" w14:textId="6820DDFD" w:rsidR="001B413F" w:rsidRDefault="001B413F" w:rsidP="001B413F">
            <w:pPr>
              <w:pStyle w:val="biaogeright"/>
              <w:wordWrap w:val="0"/>
              <w:rPr>
                <w:rFonts w:hint="eastAsia"/>
              </w:rPr>
            </w:pPr>
            <w:r w:rsidRPr="006317A8">
              <w:rPr>
                <w:rFonts w:hAnsi="等线"/>
                <w:color w:val="000000"/>
              </w:rPr>
              <w:t>4.39</w:t>
            </w:r>
          </w:p>
        </w:tc>
      </w:tr>
      <w:tr w:rsidR="001B413F" w14:paraId="39F913DD" w14:textId="77777777" w:rsidTr="001B413F">
        <w:tc>
          <w:tcPr>
            <w:tcW w:w="471" w:type="dxa"/>
            <w:tcBorders>
              <w:top w:val="single" w:sz="8" w:space="0" w:color="000000"/>
              <w:left w:val="single" w:sz="8" w:space="0" w:color="000000"/>
              <w:bottom w:val="single" w:sz="6" w:space="0" w:color="000000"/>
              <w:right w:val="single" w:sz="8" w:space="0" w:color="000000"/>
            </w:tcBorders>
            <w:vAlign w:val="center"/>
            <w:hideMark/>
          </w:tcPr>
          <w:p w14:paraId="51BAEFFF" w14:textId="77777777" w:rsidR="001B413F" w:rsidRDefault="001B413F" w:rsidP="001B413F">
            <w:pPr>
              <w:pStyle w:val="biaogecenter"/>
              <w:wordWrap w:val="0"/>
              <w:rPr>
                <w:rFonts w:hint="eastAsia"/>
              </w:rPr>
            </w:pPr>
            <w:r>
              <w:rPr>
                <w:rFonts w:hAnsi="等线"/>
                <w:color w:val="000000"/>
              </w:rPr>
              <w:t>2</w:t>
            </w:r>
          </w:p>
        </w:tc>
        <w:tc>
          <w:tcPr>
            <w:tcW w:w="1482" w:type="dxa"/>
            <w:tcBorders>
              <w:top w:val="single" w:sz="8" w:space="0" w:color="000000"/>
              <w:left w:val="single" w:sz="8" w:space="0" w:color="000000"/>
              <w:bottom w:val="single" w:sz="6" w:space="0" w:color="000000"/>
              <w:right w:val="single" w:sz="8" w:space="0" w:color="000000"/>
            </w:tcBorders>
            <w:vAlign w:val="center"/>
            <w:hideMark/>
          </w:tcPr>
          <w:p w14:paraId="0B95D924" w14:textId="4FF1312A" w:rsidR="001B413F" w:rsidRDefault="001B413F" w:rsidP="001B413F">
            <w:pPr>
              <w:pStyle w:val="biaogeleft"/>
              <w:wordWrap w:val="0"/>
              <w:rPr>
                <w:rFonts w:hint="eastAsia"/>
              </w:rPr>
            </w:pPr>
            <w:r w:rsidRPr="006317A8">
              <w:rPr>
                <w:rFonts w:hAnsi="等线"/>
                <w:color w:val="000000"/>
              </w:rPr>
              <w:t>688582</w:t>
            </w:r>
          </w:p>
        </w:tc>
        <w:tc>
          <w:tcPr>
            <w:tcW w:w="1777" w:type="dxa"/>
            <w:tcBorders>
              <w:top w:val="single" w:sz="8" w:space="0" w:color="000000"/>
              <w:left w:val="single" w:sz="8" w:space="0" w:color="000000"/>
              <w:bottom w:val="single" w:sz="6" w:space="0" w:color="000000"/>
              <w:right w:val="single" w:sz="8" w:space="0" w:color="000000"/>
            </w:tcBorders>
            <w:vAlign w:val="center"/>
            <w:hideMark/>
          </w:tcPr>
          <w:p w14:paraId="0EB7E2D8" w14:textId="72F7F491" w:rsidR="001B413F" w:rsidRDefault="001B413F" w:rsidP="001B413F">
            <w:pPr>
              <w:pStyle w:val="biaogeleft"/>
              <w:wordWrap w:val="0"/>
              <w:rPr>
                <w:rFonts w:hint="eastAsia"/>
              </w:rPr>
            </w:pPr>
            <w:proofErr w:type="gramStart"/>
            <w:r w:rsidRPr="006317A8">
              <w:rPr>
                <w:rFonts w:hAnsi="等线" w:hint="eastAsia"/>
                <w:color w:val="000000"/>
              </w:rPr>
              <w:t>芯动联</w:t>
            </w:r>
            <w:proofErr w:type="gramEnd"/>
            <w:r w:rsidRPr="006317A8">
              <w:rPr>
                <w:rFonts w:hAnsi="等线" w:hint="eastAsia"/>
                <w:color w:val="000000"/>
              </w:rPr>
              <w:t>科</w:t>
            </w:r>
          </w:p>
        </w:tc>
        <w:tc>
          <w:tcPr>
            <w:tcW w:w="1782" w:type="dxa"/>
            <w:tcBorders>
              <w:top w:val="single" w:sz="8" w:space="0" w:color="000000"/>
              <w:left w:val="single" w:sz="8" w:space="0" w:color="000000"/>
              <w:bottom w:val="single" w:sz="6" w:space="0" w:color="000000"/>
              <w:right w:val="single" w:sz="8" w:space="0" w:color="000000"/>
            </w:tcBorders>
            <w:vAlign w:val="center"/>
            <w:hideMark/>
          </w:tcPr>
          <w:p w14:paraId="3F8624C0" w14:textId="2D6E567D" w:rsidR="001B413F" w:rsidRDefault="001B413F" w:rsidP="001B413F">
            <w:pPr>
              <w:pStyle w:val="biaogeright"/>
              <w:wordWrap w:val="0"/>
              <w:rPr>
                <w:rFonts w:hint="eastAsia"/>
              </w:rPr>
            </w:pPr>
            <w:r w:rsidRPr="006317A8">
              <w:rPr>
                <w:rFonts w:hAnsi="等线"/>
                <w:color w:val="000000"/>
              </w:rPr>
              <w:t>2,888</w:t>
            </w:r>
          </w:p>
        </w:tc>
        <w:tc>
          <w:tcPr>
            <w:tcW w:w="1782" w:type="dxa"/>
            <w:tcBorders>
              <w:top w:val="single" w:sz="8" w:space="0" w:color="000000"/>
              <w:left w:val="single" w:sz="8" w:space="0" w:color="000000"/>
              <w:bottom w:val="single" w:sz="6" w:space="0" w:color="000000"/>
              <w:right w:val="single" w:sz="8" w:space="0" w:color="000000"/>
            </w:tcBorders>
            <w:vAlign w:val="center"/>
            <w:hideMark/>
          </w:tcPr>
          <w:p w14:paraId="183CC101" w14:textId="7CF8BDF7" w:rsidR="001B413F" w:rsidRDefault="001B413F" w:rsidP="001B413F">
            <w:pPr>
              <w:pStyle w:val="biaogeright"/>
              <w:wordWrap w:val="0"/>
              <w:rPr>
                <w:rFonts w:hint="eastAsia"/>
              </w:rPr>
            </w:pPr>
            <w:r w:rsidRPr="006317A8">
              <w:rPr>
                <w:rFonts w:hAnsi="等线"/>
                <w:color w:val="000000"/>
              </w:rPr>
              <w:t>194,073.60</w:t>
            </w:r>
          </w:p>
        </w:tc>
        <w:tc>
          <w:tcPr>
            <w:tcW w:w="1786" w:type="dxa"/>
            <w:tcBorders>
              <w:top w:val="single" w:sz="8" w:space="0" w:color="000000"/>
              <w:left w:val="single" w:sz="8" w:space="0" w:color="000000"/>
              <w:bottom w:val="single" w:sz="6" w:space="0" w:color="000000"/>
              <w:right w:val="single" w:sz="8" w:space="0" w:color="000000"/>
            </w:tcBorders>
            <w:vAlign w:val="center"/>
            <w:hideMark/>
          </w:tcPr>
          <w:p w14:paraId="6DC50260" w14:textId="6D9CB4A6" w:rsidR="001B413F" w:rsidRDefault="001B413F" w:rsidP="001B413F">
            <w:pPr>
              <w:pStyle w:val="biaogeright"/>
              <w:wordWrap w:val="0"/>
              <w:rPr>
                <w:rFonts w:hint="eastAsia"/>
              </w:rPr>
            </w:pPr>
            <w:r w:rsidRPr="006317A8">
              <w:rPr>
                <w:rFonts w:hAnsi="等线"/>
                <w:color w:val="000000"/>
              </w:rPr>
              <w:t>4.31</w:t>
            </w:r>
          </w:p>
        </w:tc>
      </w:tr>
      <w:tr w:rsidR="001B413F" w14:paraId="28D0A682" w14:textId="77777777" w:rsidTr="001B413F">
        <w:tc>
          <w:tcPr>
            <w:tcW w:w="471" w:type="dxa"/>
            <w:tcBorders>
              <w:top w:val="single" w:sz="8" w:space="0" w:color="000000"/>
              <w:left w:val="single" w:sz="8" w:space="0" w:color="000000"/>
              <w:bottom w:val="single" w:sz="6" w:space="0" w:color="000000"/>
              <w:right w:val="single" w:sz="8" w:space="0" w:color="000000"/>
            </w:tcBorders>
            <w:vAlign w:val="center"/>
            <w:hideMark/>
          </w:tcPr>
          <w:p w14:paraId="237BC9D9" w14:textId="77777777" w:rsidR="001B413F" w:rsidRDefault="001B413F" w:rsidP="001B413F">
            <w:pPr>
              <w:pStyle w:val="biaogecenter"/>
              <w:wordWrap w:val="0"/>
              <w:rPr>
                <w:rFonts w:hint="eastAsia"/>
              </w:rPr>
            </w:pPr>
            <w:r>
              <w:rPr>
                <w:rFonts w:hAnsi="等线"/>
                <w:color w:val="000000"/>
              </w:rPr>
              <w:t>3</w:t>
            </w:r>
          </w:p>
        </w:tc>
        <w:tc>
          <w:tcPr>
            <w:tcW w:w="1482" w:type="dxa"/>
            <w:tcBorders>
              <w:top w:val="single" w:sz="8" w:space="0" w:color="000000"/>
              <w:left w:val="single" w:sz="8" w:space="0" w:color="000000"/>
              <w:bottom w:val="single" w:sz="6" w:space="0" w:color="000000"/>
              <w:right w:val="single" w:sz="8" w:space="0" w:color="000000"/>
            </w:tcBorders>
            <w:vAlign w:val="center"/>
            <w:hideMark/>
          </w:tcPr>
          <w:p w14:paraId="5EFB4506" w14:textId="2FCB3154" w:rsidR="001B413F" w:rsidRDefault="001B413F" w:rsidP="001B413F">
            <w:pPr>
              <w:pStyle w:val="biaogeleft"/>
              <w:wordWrap w:val="0"/>
              <w:rPr>
                <w:rFonts w:hint="eastAsia"/>
              </w:rPr>
            </w:pPr>
            <w:r w:rsidRPr="006317A8">
              <w:rPr>
                <w:rFonts w:hAnsi="等线"/>
                <w:color w:val="000000"/>
              </w:rPr>
              <w:t>688536</w:t>
            </w:r>
          </w:p>
        </w:tc>
        <w:tc>
          <w:tcPr>
            <w:tcW w:w="1777" w:type="dxa"/>
            <w:tcBorders>
              <w:top w:val="single" w:sz="8" w:space="0" w:color="000000"/>
              <w:left w:val="single" w:sz="8" w:space="0" w:color="000000"/>
              <w:bottom w:val="single" w:sz="6" w:space="0" w:color="000000"/>
              <w:right w:val="single" w:sz="8" w:space="0" w:color="000000"/>
            </w:tcBorders>
            <w:vAlign w:val="center"/>
            <w:hideMark/>
          </w:tcPr>
          <w:p w14:paraId="6893E40C" w14:textId="21302215" w:rsidR="001B413F" w:rsidRDefault="001B413F" w:rsidP="001B413F">
            <w:pPr>
              <w:pStyle w:val="biaogeleft"/>
              <w:wordWrap w:val="0"/>
              <w:rPr>
                <w:rFonts w:hint="eastAsia"/>
              </w:rPr>
            </w:pPr>
            <w:proofErr w:type="gramStart"/>
            <w:r w:rsidRPr="006317A8">
              <w:rPr>
                <w:rFonts w:hAnsi="等线" w:hint="eastAsia"/>
                <w:color w:val="000000"/>
              </w:rPr>
              <w:t>思瑞浦</w:t>
            </w:r>
            <w:proofErr w:type="gramEnd"/>
          </w:p>
        </w:tc>
        <w:tc>
          <w:tcPr>
            <w:tcW w:w="1782" w:type="dxa"/>
            <w:tcBorders>
              <w:top w:val="single" w:sz="8" w:space="0" w:color="000000"/>
              <w:left w:val="single" w:sz="8" w:space="0" w:color="000000"/>
              <w:bottom w:val="single" w:sz="6" w:space="0" w:color="000000"/>
              <w:right w:val="single" w:sz="8" w:space="0" w:color="000000"/>
            </w:tcBorders>
            <w:vAlign w:val="center"/>
            <w:hideMark/>
          </w:tcPr>
          <w:p w14:paraId="0CA09DA5" w14:textId="4E984CCE" w:rsidR="001B413F" w:rsidRDefault="001B413F" w:rsidP="001B413F">
            <w:pPr>
              <w:pStyle w:val="biaogeright"/>
              <w:wordWrap w:val="0"/>
              <w:rPr>
                <w:rFonts w:hint="eastAsia"/>
              </w:rPr>
            </w:pPr>
            <w:r w:rsidRPr="006317A8">
              <w:rPr>
                <w:rFonts w:hAnsi="等线"/>
                <w:color w:val="000000"/>
              </w:rPr>
              <w:t>1,376</w:t>
            </w:r>
          </w:p>
        </w:tc>
        <w:tc>
          <w:tcPr>
            <w:tcW w:w="1782" w:type="dxa"/>
            <w:tcBorders>
              <w:top w:val="single" w:sz="8" w:space="0" w:color="000000"/>
              <w:left w:val="single" w:sz="8" w:space="0" w:color="000000"/>
              <w:bottom w:val="single" w:sz="6" w:space="0" w:color="000000"/>
              <w:right w:val="single" w:sz="8" w:space="0" w:color="000000"/>
            </w:tcBorders>
            <w:vAlign w:val="center"/>
            <w:hideMark/>
          </w:tcPr>
          <w:p w14:paraId="08CC6B08" w14:textId="43C7581F" w:rsidR="001B413F" w:rsidRDefault="001B413F" w:rsidP="001B413F">
            <w:pPr>
              <w:pStyle w:val="biaogeright"/>
              <w:wordWrap w:val="0"/>
              <w:rPr>
                <w:rFonts w:hint="eastAsia"/>
              </w:rPr>
            </w:pPr>
            <w:r w:rsidRPr="006317A8">
              <w:rPr>
                <w:rFonts w:hAnsi="等线"/>
                <w:color w:val="000000"/>
              </w:rPr>
              <w:t>190,878.72</w:t>
            </w:r>
          </w:p>
        </w:tc>
        <w:tc>
          <w:tcPr>
            <w:tcW w:w="1786" w:type="dxa"/>
            <w:tcBorders>
              <w:top w:val="single" w:sz="8" w:space="0" w:color="000000"/>
              <w:left w:val="single" w:sz="8" w:space="0" w:color="000000"/>
              <w:bottom w:val="single" w:sz="6" w:space="0" w:color="000000"/>
              <w:right w:val="single" w:sz="8" w:space="0" w:color="000000"/>
            </w:tcBorders>
            <w:vAlign w:val="center"/>
            <w:hideMark/>
          </w:tcPr>
          <w:p w14:paraId="2532CC34" w14:textId="518C7C92" w:rsidR="001B413F" w:rsidRDefault="001B413F" w:rsidP="001B413F">
            <w:pPr>
              <w:pStyle w:val="biaogeright"/>
              <w:wordWrap w:val="0"/>
              <w:rPr>
                <w:rFonts w:hint="eastAsia"/>
              </w:rPr>
            </w:pPr>
            <w:r w:rsidRPr="006317A8">
              <w:rPr>
                <w:rFonts w:hAnsi="等线"/>
                <w:color w:val="000000"/>
              </w:rPr>
              <w:t>4.24</w:t>
            </w:r>
          </w:p>
        </w:tc>
      </w:tr>
      <w:tr w:rsidR="001B413F" w14:paraId="4F9B46BC" w14:textId="77777777" w:rsidTr="001B413F">
        <w:tc>
          <w:tcPr>
            <w:tcW w:w="471" w:type="dxa"/>
            <w:tcBorders>
              <w:top w:val="single" w:sz="8" w:space="0" w:color="000000"/>
              <w:left w:val="single" w:sz="8" w:space="0" w:color="000000"/>
              <w:bottom w:val="single" w:sz="6" w:space="0" w:color="000000"/>
              <w:right w:val="single" w:sz="8" w:space="0" w:color="000000"/>
            </w:tcBorders>
            <w:vAlign w:val="center"/>
            <w:hideMark/>
          </w:tcPr>
          <w:p w14:paraId="679084DE" w14:textId="77777777" w:rsidR="001B413F" w:rsidRDefault="001B413F" w:rsidP="001B413F">
            <w:pPr>
              <w:pStyle w:val="biaogecenter"/>
              <w:wordWrap w:val="0"/>
              <w:rPr>
                <w:rFonts w:hint="eastAsia"/>
              </w:rPr>
            </w:pPr>
            <w:r>
              <w:rPr>
                <w:rFonts w:hAnsi="等线"/>
                <w:color w:val="000000"/>
              </w:rPr>
              <w:t>4</w:t>
            </w:r>
          </w:p>
        </w:tc>
        <w:tc>
          <w:tcPr>
            <w:tcW w:w="1482" w:type="dxa"/>
            <w:tcBorders>
              <w:top w:val="single" w:sz="8" w:space="0" w:color="000000"/>
              <w:left w:val="single" w:sz="8" w:space="0" w:color="000000"/>
              <w:bottom w:val="single" w:sz="6" w:space="0" w:color="000000"/>
              <w:right w:val="single" w:sz="8" w:space="0" w:color="000000"/>
            </w:tcBorders>
            <w:vAlign w:val="center"/>
            <w:hideMark/>
          </w:tcPr>
          <w:p w14:paraId="2E4628F8" w14:textId="1593C8AE" w:rsidR="001B413F" w:rsidRDefault="001B413F" w:rsidP="001B413F">
            <w:pPr>
              <w:pStyle w:val="biaogeleft"/>
              <w:wordWrap w:val="0"/>
              <w:rPr>
                <w:rFonts w:hint="eastAsia"/>
              </w:rPr>
            </w:pPr>
            <w:r w:rsidRPr="006317A8">
              <w:rPr>
                <w:rFonts w:hAnsi="等线"/>
                <w:color w:val="000000"/>
              </w:rPr>
              <w:t>688256</w:t>
            </w:r>
          </w:p>
        </w:tc>
        <w:tc>
          <w:tcPr>
            <w:tcW w:w="1777" w:type="dxa"/>
            <w:tcBorders>
              <w:top w:val="single" w:sz="8" w:space="0" w:color="000000"/>
              <w:left w:val="single" w:sz="8" w:space="0" w:color="000000"/>
              <w:bottom w:val="single" w:sz="6" w:space="0" w:color="000000"/>
              <w:right w:val="single" w:sz="8" w:space="0" w:color="000000"/>
            </w:tcBorders>
            <w:vAlign w:val="center"/>
            <w:hideMark/>
          </w:tcPr>
          <w:p w14:paraId="549E7049" w14:textId="6186744E" w:rsidR="001B413F" w:rsidRDefault="001B413F" w:rsidP="001B413F">
            <w:pPr>
              <w:pStyle w:val="biaogeleft"/>
              <w:wordWrap w:val="0"/>
              <w:rPr>
                <w:rFonts w:hint="eastAsia"/>
              </w:rPr>
            </w:pPr>
            <w:r w:rsidRPr="006317A8">
              <w:rPr>
                <w:rFonts w:hAnsi="等线" w:hint="eastAsia"/>
                <w:color w:val="000000"/>
              </w:rPr>
              <w:t>寒武纪</w:t>
            </w:r>
          </w:p>
        </w:tc>
        <w:tc>
          <w:tcPr>
            <w:tcW w:w="1782" w:type="dxa"/>
            <w:tcBorders>
              <w:top w:val="single" w:sz="8" w:space="0" w:color="000000"/>
              <w:left w:val="single" w:sz="8" w:space="0" w:color="000000"/>
              <w:bottom w:val="single" w:sz="6" w:space="0" w:color="000000"/>
              <w:right w:val="single" w:sz="8" w:space="0" w:color="000000"/>
            </w:tcBorders>
            <w:vAlign w:val="center"/>
            <w:hideMark/>
          </w:tcPr>
          <w:p w14:paraId="5D467137" w14:textId="7E28BDE8" w:rsidR="001B413F" w:rsidRDefault="001B413F" w:rsidP="001B413F">
            <w:pPr>
              <w:pStyle w:val="biaogeright"/>
              <w:wordWrap w:val="0"/>
              <w:rPr>
                <w:rFonts w:hint="eastAsia"/>
              </w:rPr>
            </w:pPr>
            <w:r w:rsidRPr="006317A8">
              <w:rPr>
                <w:rFonts w:hAnsi="等线"/>
                <w:color w:val="000000"/>
              </w:rPr>
              <w:t>297</w:t>
            </w:r>
          </w:p>
        </w:tc>
        <w:tc>
          <w:tcPr>
            <w:tcW w:w="1782" w:type="dxa"/>
            <w:tcBorders>
              <w:top w:val="single" w:sz="8" w:space="0" w:color="000000"/>
              <w:left w:val="single" w:sz="8" w:space="0" w:color="000000"/>
              <w:bottom w:val="single" w:sz="6" w:space="0" w:color="000000"/>
              <w:right w:val="single" w:sz="8" w:space="0" w:color="000000"/>
            </w:tcBorders>
            <w:vAlign w:val="center"/>
            <w:hideMark/>
          </w:tcPr>
          <w:p w14:paraId="72723CDE" w14:textId="7C0A6ADC" w:rsidR="001B413F" w:rsidRDefault="001B413F" w:rsidP="001B413F">
            <w:pPr>
              <w:pStyle w:val="biaogeright"/>
              <w:wordWrap w:val="0"/>
              <w:rPr>
                <w:rFonts w:hint="eastAsia"/>
              </w:rPr>
            </w:pPr>
            <w:r w:rsidRPr="006317A8">
              <w:rPr>
                <w:rFonts w:hAnsi="等线"/>
                <w:color w:val="000000"/>
              </w:rPr>
              <w:t>178,645.50</w:t>
            </w:r>
          </w:p>
        </w:tc>
        <w:tc>
          <w:tcPr>
            <w:tcW w:w="1786" w:type="dxa"/>
            <w:tcBorders>
              <w:top w:val="single" w:sz="8" w:space="0" w:color="000000"/>
              <w:left w:val="single" w:sz="8" w:space="0" w:color="000000"/>
              <w:bottom w:val="single" w:sz="6" w:space="0" w:color="000000"/>
              <w:right w:val="single" w:sz="8" w:space="0" w:color="000000"/>
            </w:tcBorders>
            <w:vAlign w:val="center"/>
            <w:hideMark/>
          </w:tcPr>
          <w:p w14:paraId="23961473" w14:textId="36B2643F" w:rsidR="001B413F" w:rsidRDefault="001B413F" w:rsidP="001B413F">
            <w:pPr>
              <w:pStyle w:val="biaogeright"/>
              <w:wordWrap w:val="0"/>
              <w:rPr>
                <w:rFonts w:hint="eastAsia"/>
              </w:rPr>
            </w:pPr>
            <w:r w:rsidRPr="006317A8">
              <w:rPr>
                <w:rFonts w:hAnsi="等线"/>
                <w:color w:val="000000"/>
              </w:rPr>
              <w:t>3.97</w:t>
            </w:r>
          </w:p>
        </w:tc>
      </w:tr>
      <w:tr w:rsidR="001B413F" w14:paraId="0BEDD07D" w14:textId="77777777" w:rsidTr="001B413F">
        <w:tc>
          <w:tcPr>
            <w:tcW w:w="471" w:type="dxa"/>
            <w:tcBorders>
              <w:top w:val="single" w:sz="8" w:space="0" w:color="000000"/>
              <w:left w:val="single" w:sz="8" w:space="0" w:color="000000"/>
              <w:bottom w:val="single" w:sz="6" w:space="0" w:color="000000"/>
              <w:right w:val="single" w:sz="8" w:space="0" w:color="000000"/>
            </w:tcBorders>
            <w:vAlign w:val="center"/>
            <w:hideMark/>
          </w:tcPr>
          <w:p w14:paraId="12F574AA" w14:textId="77777777" w:rsidR="001B413F" w:rsidRDefault="001B413F" w:rsidP="001B413F">
            <w:pPr>
              <w:pStyle w:val="biaogecenter"/>
              <w:wordWrap w:val="0"/>
              <w:rPr>
                <w:rFonts w:hint="eastAsia"/>
              </w:rPr>
            </w:pPr>
            <w:r>
              <w:rPr>
                <w:rFonts w:hAnsi="等线"/>
                <w:color w:val="000000"/>
              </w:rPr>
              <w:t>5</w:t>
            </w:r>
          </w:p>
        </w:tc>
        <w:tc>
          <w:tcPr>
            <w:tcW w:w="1482" w:type="dxa"/>
            <w:tcBorders>
              <w:top w:val="single" w:sz="8" w:space="0" w:color="000000"/>
              <w:left w:val="single" w:sz="8" w:space="0" w:color="000000"/>
              <w:bottom w:val="single" w:sz="6" w:space="0" w:color="000000"/>
              <w:right w:val="single" w:sz="8" w:space="0" w:color="000000"/>
            </w:tcBorders>
            <w:vAlign w:val="center"/>
            <w:hideMark/>
          </w:tcPr>
          <w:p w14:paraId="6D89537B" w14:textId="74BC9522" w:rsidR="001B413F" w:rsidRDefault="001B413F" w:rsidP="001B413F">
            <w:pPr>
              <w:pStyle w:val="biaogeleft"/>
              <w:wordWrap w:val="0"/>
              <w:rPr>
                <w:rFonts w:hint="eastAsia"/>
              </w:rPr>
            </w:pPr>
            <w:r w:rsidRPr="006317A8">
              <w:rPr>
                <w:rFonts w:hAnsi="等线"/>
                <w:color w:val="000000"/>
              </w:rPr>
              <w:t>688269</w:t>
            </w:r>
          </w:p>
        </w:tc>
        <w:tc>
          <w:tcPr>
            <w:tcW w:w="1777" w:type="dxa"/>
            <w:tcBorders>
              <w:top w:val="single" w:sz="8" w:space="0" w:color="000000"/>
              <w:left w:val="single" w:sz="8" w:space="0" w:color="000000"/>
              <w:bottom w:val="single" w:sz="6" w:space="0" w:color="000000"/>
              <w:right w:val="single" w:sz="8" w:space="0" w:color="000000"/>
            </w:tcBorders>
            <w:vAlign w:val="center"/>
            <w:hideMark/>
          </w:tcPr>
          <w:p w14:paraId="48547897" w14:textId="01B227CD" w:rsidR="001B413F" w:rsidRDefault="001B413F" w:rsidP="001B413F">
            <w:pPr>
              <w:pStyle w:val="biaogeleft"/>
              <w:wordWrap w:val="0"/>
              <w:rPr>
                <w:rFonts w:hint="eastAsia"/>
              </w:rPr>
            </w:pPr>
            <w:proofErr w:type="gramStart"/>
            <w:r w:rsidRPr="006317A8">
              <w:rPr>
                <w:rFonts w:hAnsi="等线" w:hint="eastAsia"/>
                <w:color w:val="000000"/>
              </w:rPr>
              <w:t>凯</w:t>
            </w:r>
            <w:proofErr w:type="gramEnd"/>
            <w:r w:rsidRPr="006317A8">
              <w:rPr>
                <w:rFonts w:hAnsi="等线" w:hint="eastAsia"/>
                <w:color w:val="000000"/>
              </w:rPr>
              <w:t>立新材</w:t>
            </w:r>
          </w:p>
        </w:tc>
        <w:tc>
          <w:tcPr>
            <w:tcW w:w="1782" w:type="dxa"/>
            <w:tcBorders>
              <w:top w:val="single" w:sz="8" w:space="0" w:color="000000"/>
              <w:left w:val="single" w:sz="8" w:space="0" w:color="000000"/>
              <w:bottom w:val="single" w:sz="6" w:space="0" w:color="000000"/>
              <w:right w:val="single" w:sz="8" w:space="0" w:color="000000"/>
            </w:tcBorders>
            <w:vAlign w:val="center"/>
            <w:hideMark/>
          </w:tcPr>
          <w:p w14:paraId="6BA309B3" w14:textId="2AAD8D0F" w:rsidR="001B413F" w:rsidRDefault="001B413F" w:rsidP="001B413F">
            <w:pPr>
              <w:pStyle w:val="biaogeright"/>
              <w:wordWrap w:val="0"/>
              <w:rPr>
                <w:rFonts w:hint="eastAsia"/>
              </w:rPr>
            </w:pPr>
            <w:r w:rsidRPr="006317A8">
              <w:rPr>
                <w:rFonts w:hAnsi="等线"/>
                <w:color w:val="000000"/>
              </w:rPr>
              <w:t>4,553</w:t>
            </w:r>
          </w:p>
        </w:tc>
        <w:tc>
          <w:tcPr>
            <w:tcW w:w="1782" w:type="dxa"/>
            <w:tcBorders>
              <w:top w:val="single" w:sz="8" w:space="0" w:color="000000"/>
              <w:left w:val="single" w:sz="8" w:space="0" w:color="000000"/>
              <w:bottom w:val="single" w:sz="6" w:space="0" w:color="000000"/>
              <w:right w:val="single" w:sz="8" w:space="0" w:color="000000"/>
            </w:tcBorders>
            <w:vAlign w:val="center"/>
            <w:hideMark/>
          </w:tcPr>
          <w:p w14:paraId="68B817DA" w14:textId="5F094B05" w:rsidR="001B413F" w:rsidRDefault="001B413F" w:rsidP="001B413F">
            <w:pPr>
              <w:pStyle w:val="biaogeright"/>
              <w:wordWrap w:val="0"/>
              <w:rPr>
                <w:rFonts w:hint="eastAsia"/>
              </w:rPr>
            </w:pPr>
            <w:r w:rsidRPr="006317A8">
              <w:rPr>
                <w:rFonts w:hAnsi="等线"/>
                <w:color w:val="000000"/>
              </w:rPr>
              <w:t>151,159.60</w:t>
            </w:r>
          </w:p>
        </w:tc>
        <w:tc>
          <w:tcPr>
            <w:tcW w:w="1786" w:type="dxa"/>
            <w:tcBorders>
              <w:top w:val="single" w:sz="8" w:space="0" w:color="000000"/>
              <w:left w:val="single" w:sz="8" w:space="0" w:color="000000"/>
              <w:bottom w:val="single" w:sz="6" w:space="0" w:color="000000"/>
              <w:right w:val="single" w:sz="8" w:space="0" w:color="000000"/>
            </w:tcBorders>
            <w:vAlign w:val="center"/>
            <w:hideMark/>
          </w:tcPr>
          <w:p w14:paraId="797801E6" w14:textId="028FF61B" w:rsidR="001B413F" w:rsidRDefault="001B413F" w:rsidP="001B413F">
            <w:pPr>
              <w:pStyle w:val="biaogeright"/>
              <w:wordWrap w:val="0"/>
              <w:rPr>
                <w:rFonts w:hint="eastAsia"/>
              </w:rPr>
            </w:pPr>
            <w:r w:rsidRPr="006317A8">
              <w:rPr>
                <w:rFonts w:hAnsi="等线"/>
                <w:color w:val="000000"/>
              </w:rPr>
              <w:t>3.36</w:t>
            </w:r>
          </w:p>
        </w:tc>
      </w:tr>
      <w:tr w:rsidR="001B413F" w14:paraId="6BC67F02" w14:textId="77777777" w:rsidTr="001B413F">
        <w:tc>
          <w:tcPr>
            <w:tcW w:w="471" w:type="dxa"/>
            <w:tcBorders>
              <w:top w:val="single" w:sz="8" w:space="0" w:color="000000"/>
              <w:left w:val="single" w:sz="8" w:space="0" w:color="000000"/>
              <w:bottom w:val="single" w:sz="6" w:space="0" w:color="000000"/>
              <w:right w:val="single" w:sz="8" w:space="0" w:color="000000"/>
            </w:tcBorders>
            <w:vAlign w:val="center"/>
            <w:hideMark/>
          </w:tcPr>
          <w:p w14:paraId="3D640FAC" w14:textId="77777777" w:rsidR="001B413F" w:rsidRDefault="001B413F" w:rsidP="001B413F">
            <w:pPr>
              <w:pStyle w:val="biaogecenter"/>
              <w:wordWrap w:val="0"/>
              <w:rPr>
                <w:rFonts w:hint="eastAsia"/>
              </w:rPr>
            </w:pPr>
            <w:r>
              <w:rPr>
                <w:rFonts w:hAnsi="等线"/>
                <w:color w:val="000000"/>
              </w:rPr>
              <w:t>6</w:t>
            </w:r>
          </w:p>
        </w:tc>
        <w:tc>
          <w:tcPr>
            <w:tcW w:w="1482" w:type="dxa"/>
            <w:tcBorders>
              <w:top w:val="single" w:sz="8" w:space="0" w:color="000000"/>
              <w:left w:val="single" w:sz="8" w:space="0" w:color="000000"/>
              <w:bottom w:val="single" w:sz="6" w:space="0" w:color="000000"/>
              <w:right w:val="single" w:sz="8" w:space="0" w:color="000000"/>
            </w:tcBorders>
            <w:vAlign w:val="center"/>
            <w:hideMark/>
          </w:tcPr>
          <w:p w14:paraId="42B9FF2B" w14:textId="67E123E0" w:rsidR="001B413F" w:rsidRDefault="001B413F" w:rsidP="001B413F">
            <w:pPr>
              <w:pStyle w:val="biaogeleft"/>
              <w:wordWrap w:val="0"/>
              <w:rPr>
                <w:rFonts w:hint="eastAsia"/>
              </w:rPr>
            </w:pPr>
            <w:r w:rsidRPr="006317A8">
              <w:rPr>
                <w:rFonts w:hAnsi="等线"/>
                <w:color w:val="000000"/>
              </w:rPr>
              <w:t>688779</w:t>
            </w:r>
          </w:p>
        </w:tc>
        <w:tc>
          <w:tcPr>
            <w:tcW w:w="1777" w:type="dxa"/>
            <w:tcBorders>
              <w:top w:val="single" w:sz="8" w:space="0" w:color="000000"/>
              <w:left w:val="single" w:sz="8" w:space="0" w:color="000000"/>
              <w:bottom w:val="single" w:sz="6" w:space="0" w:color="000000"/>
              <w:right w:val="single" w:sz="8" w:space="0" w:color="000000"/>
            </w:tcBorders>
            <w:vAlign w:val="center"/>
            <w:hideMark/>
          </w:tcPr>
          <w:p w14:paraId="747EEB9C" w14:textId="432A3FD0" w:rsidR="001B413F" w:rsidRDefault="001B413F" w:rsidP="001B413F">
            <w:pPr>
              <w:pStyle w:val="biaogeleft"/>
              <w:wordWrap w:val="0"/>
              <w:rPr>
                <w:rFonts w:hint="eastAsia"/>
              </w:rPr>
            </w:pPr>
            <w:r w:rsidRPr="006317A8">
              <w:rPr>
                <w:rFonts w:hAnsi="等线" w:hint="eastAsia"/>
                <w:color w:val="000000"/>
              </w:rPr>
              <w:t>五矿新能</w:t>
            </w:r>
          </w:p>
        </w:tc>
        <w:tc>
          <w:tcPr>
            <w:tcW w:w="1782" w:type="dxa"/>
            <w:tcBorders>
              <w:top w:val="single" w:sz="8" w:space="0" w:color="000000"/>
              <w:left w:val="single" w:sz="8" w:space="0" w:color="000000"/>
              <w:bottom w:val="single" w:sz="6" w:space="0" w:color="000000"/>
              <w:right w:val="single" w:sz="8" w:space="0" w:color="000000"/>
            </w:tcBorders>
            <w:vAlign w:val="center"/>
            <w:hideMark/>
          </w:tcPr>
          <w:p w14:paraId="4421BB74" w14:textId="46DEED92" w:rsidR="001B413F" w:rsidRDefault="001B413F" w:rsidP="001B413F">
            <w:pPr>
              <w:pStyle w:val="biaogeright"/>
              <w:wordWrap w:val="0"/>
              <w:rPr>
                <w:rFonts w:hint="eastAsia"/>
              </w:rPr>
            </w:pPr>
            <w:r w:rsidRPr="006317A8">
              <w:rPr>
                <w:rFonts w:hAnsi="等线"/>
                <w:color w:val="000000"/>
              </w:rPr>
              <w:t>27,174</w:t>
            </w:r>
          </w:p>
        </w:tc>
        <w:tc>
          <w:tcPr>
            <w:tcW w:w="1782" w:type="dxa"/>
            <w:tcBorders>
              <w:top w:val="single" w:sz="8" w:space="0" w:color="000000"/>
              <w:left w:val="single" w:sz="8" w:space="0" w:color="000000"/>
              <w:bottom w:val="single" w:sz="6" w:space="0" w:color="000000"/>
              <w:right w:val="single" w:sz="8" w:space="0" w:color="000000"/>
            </w:tcBorders>
            <w:vAlign w:val="center"/>
            <w:hideMark/>
          </w:tcPr>
          <w:p w14:paraId="5D212DAD" w14:textId="714CE02A" w:rsidR="001B413F" w:rsidRDefault="001B413F" w:rsidP="001B413F">
            <w:pPr>
              <w:pStyle w:val="biaogeright"/>
              <w:wordWrap w:val="0"/>
              <w:rPr>
                <w:rFonts w:hint="eastAsia"/>
              </w:rPr>
            </w:pPr>
            <w:r w:rsidRPr="006317A8">
              <w:rPr>
                <w:rFonts w:hAnsi="等线"/>
                <w:color w:val="000000"/>
              </w:rPr>
              <w:t>147,826.56</w:t>
            </w:r>
          </w:p>
        </w:tc>
        <w:tc>
          <w:tcPr>
            <w:tcW w:w="1786" w:type="dxa"/>
            <w:tcBorders>
              <w:top w:val="single" w:sz="8" w:space="0" w:color="000000"/>
              <w:left w:val="single" w:sz="8" w:space="0" w:color="000000"/>
              <w:bottom w:val="single" w:sz="6" w:space="0" w:color="000000"/>
              <w:right w:val="single" w:sz="8" w:space="0" w:color="000000"/>
            </w:tcBorders>
            <w:vAlign w:val="center"/>
            <w:hideMark/>
          </w:tcPr>
          <w:p w14:paraId="5CE22C33" w14:textId="2D409B34" w:rsidR="001B413F" w:rsidRDefault="001B413F" w:rsidP="001B413F">
            <w:pPr>
              <w:pStyle w:val="biaogeright"/>
              <w:wordWrap w:val="0"/>
              <w:rPr>
                <w:rFonts w:hint="eastAsia"/>
              </w:rPr>
            </w:pPr>
            <w:r w:rsidRPr="006317A8">
              <w:rPr>
                <w:rFonts w:hAnsi="等线"/>
                <w:color w:val="000000"/>
              </w:rPr>
              <w:t>3.29</w:t>
            </w:r>
          </w:p>
        </w:tc>
      </w:tr>
      <w:tr w:rsidR="001B413F" w14:paraId="5BC71A6C" w14:textId="77777777" w:rsidTr="001B413F">
        <w:tc>
          <w:tcPr>
            <w:tcW w:w="471" w:type="dxa"/>
            <w:tcBorders>
              <w:top w:val="single" w:sz="8" w:space="0" w:color="000000"/>
              <w:left w:val="single" w:sz="8" w:space="0" w:color="000000"/>
              <w:bottom w:val="single" w:sz="6" w:space="0" w:color="000000"/>
              <w:right w:val="single" w:sz="8" w:space="0" w:color="000000"/>
            </w:tcBorders>
            <w:vAlign w:val="center"/>
            <w:hideMark/>
          </w:tcPr>
          <w:p w14:paraId="390371CE" w14:textId="77777777" w:rsidR="001B413F" w:rsidRDefault="001B413F" w:rsidP="001B413F">
            <w:pPr>
              <w:pStyle w:val="biaogecenter"/>
              <w:wordWrap w:val="0"/>
              <w:rPr>
                <w:rFonts w:hint="eastAsia"/>
              </w:rPr>
            </w:pPr>
            <w:r>
              <w:rPr>
                <w:rFonts w:hAnsi="等线"/>
                <w:color w:val="000000"/>
              </w:rPr>
              <w:lastRenderedPageBreak/>
              <w:t>7</w:t>
            </w:r>
          </w:p>
        </w:tc>
        <w:tc>
          <w:tcPr>
            <w:tcW w:w="1482" w:type="dxa"/>
            <w:tcBorders>
              <w:top w:val="single" w:sz="8" w:space="0" w:color="000000"/>
              <w:left w:val="single" w:sz="8" w:space="0" w:color="000000"/>
              <w:bottom w:val="single" w:sz="6" w:space="0" w:color="000000"/>
              <w:right w:val="single" w:sz="8" w:space="0" w:color="000000"/>
            </w:tcBorders>
            <w:vAlign w:val="center"/>
            <w:hideMark/>
          </w:tcPr>
          <w:p w14:paraId="5431ABE6" w14:textId="228EDBC1" w:rsidR="001B413F" w:rsidRDefault="001B413F" w:rsidP="001B413F">
            <w:pPr>
              <w:pStyle w:val="biaogeleft"/>
              <w:wordWrap w:val="0"/>
              <w:rPr>
                <w:rFonts w:hint="eastAsia"/>
              </w:rPr>
            </w:pPr>
            <w:r w:rsidRPr="006317A8">
              <w:rPr>
                <w:rFonts w:hAnsi="等线"/>
                <w:color w:val="000000"/>
              </w:rPr>
              <w:t>688128</w:t>
            </w:r>
          </w:p>
        </w:tc>
        <w:tc>
          <w:tcPr>
            <w:tcW w:w="1777" w:type="dxa"/>
            <w:tcBorders>
              <w:top w:val="single" w:sz="8" w:space="0" w:color="000000"/>
              <w:left w:val="single" w:sz="8" w:space="0" w:color="000000"/>
              <w:bottom w:val="single" w:sz="6" w:space="0" w:color="000000"/>
              <w:right w:val="single" w:sz="8" w:space="0" w:color="000000"/>
            </w:tcBorders>
            <w:vAlign w:val="center"/>
            <w:hideMark/>
          </w:tcPr>
          <w:p w14:paraId="109C7C03" w14:textId="5D9147FD" w:rsidR="001B413F" w:rsidRDefault="001B413F" w:rsidP="001B413F">
            <w:pPr>
              <w:pStyle w:val="biaogeleft"/>
              <w:wordWrap w:val="0"/>
              <w:rPr>
                <w:rFonts w:hint="eastAsia"/>
              </w:rPr>
            </w:pPr>
            <w:r w:rsidRPr="006317A8">
              <w:rPr>
                <w:rFonts w:hAnsi="等线" w:hint="eastAsia"/>
                <w:color w:val="000000"/>
              </w:rPr>
              <w:t>中国电</w:t>
            </w:r>
            <w:proofErr w:type="gramStart"/>
            <w:r w:rsidRPr="006317A8">
              <w:rPr>
                <w:rFonts w:hAnsi="等线" w:hint="eastAsia"/>
                <w:color w:val="000000"/>
              </w:rPr>
              <w:t>研</w:t>
            </w:r>
            <w:proofErr w:type="gramEnd"/>
          </w:p>
        </w:tc>
        <w:tc>
          <w:tcPr>
            <w:tcW w:w="1782" w:type="dxa"/>
            <w:tcBorders>
              <w:top w:val="single" w:sz="8" w:space="0" w:color="000000"/>
              <w:left w:val="single" w:sz="8" w:space="0" w:color="000000"/>
              <w:bottom w:val="single" w:sz="6" w:space="0" w:color="000000"/>
              <w:right w:val="single" w:sz="8" w:space="0" w:color="000000"/>
            </w:tcBorders>
            <w:vAlign w:val="center"/>
            <w:hideMark/>
          </w:tcPr>
          <w:p w14:paraId="5E4E3051" w14:textId="29839CB0" w:rsidR="001B413F" w:rsidRDefault="001B413F" w:rsidP="001B413F">
            <w:pPr>
              <w:pStyle w:val="biaogeright"/>
              <w:wordWrap w:val="0"/>
              <w:rPr>
                <w:rFonts w:hint="eastAsia"/>
              </w:rPr>
            </w:pPr>
            <w:r w:rsidRPr="006317A8">
              <w:rPr>
                <w:rFonts w:hAnsi="等线"/>
                <w:color w:val="000000"/>
              </w:rPr>
              <w:t>5,668</w:t>
            </w:r>
          </w:p>
        </w:tc>
        <w:tc>
          <w:tcPr>
            <w:tcW w:w="1782" w:type="dxa"/>
            <w:tcBorders>
              <w:top w:val="single" w:sz="8" w:space="0" w:color="000000"/>
              <w:left w:val="single" w:sz="8" w:space="0" w:color="000000"/>
              <w:bottom w:val="single" w:sz="6" w:space="0" w:color="000000"/>
              <w:right w:val="single" w:sz="8" w:space="0" w:color="000000"/>
            </w:tcBorders>
            <w:vAlign w:val="center"/>
            <w:hideMark/>
          </w:tcPr>
          <w:p w14:paraId="78A07A39" w14:textId="391ED55E" w:rsidR="001B413F" w:rsidRDefault="001B413F" w:rsidP="001B413F">
            <w:pPr>
              <w:pStyle w:val="biaogeright"/>
              <w:wordWrap w:val="0"/>
              <w:rPr>
                <w:rFonts w:hint="eastAsia"/>
              </w:rPr>
            </w:pPr>
            <w:r w:rsidRPr="006317A8">
              <w:rPr>
                <w:rFonts w:hAnsi="等线"/>
                <w:color w:val="000000"/>
              </w:rPr>
              <w:t>138,866.00</w:t>
            </w:r>
          </w:p>
        </w:tc>
        <w:tc>
          <w:tcPr>
            <w:tcW w:w="1786" w:type="dxa"/>
            <w:tcBorders>
              <w:top w:val="single" w:sz="8" w:space="0" w:color="000000"/>
              <w:left w:val="single" w:sz="8" w:space="0" w:color="000000"/>
              <w:bottom w:val="single" w:sz="6" w:space="0" w:color="000000"/>
              <w:right w:val="single" w:sz="8" w:space="0" w:color="000000"/>
            </w:tcBorders>
            <w:vAlign w:val="center"/>
            <w:hideMark/>
          </w:tcPr>
          <w:p w14:paraId="3F7DE501" w14:textId="6EEC5149" w:rsidR="001B413F" w:rsidRDefault="001B413F" w:rsidP="001B413F">
            <w:pPr>
              <w:pStyle w:val="biaogeright"/>
              <w:wordWrap w:val="0"/>
              <w:rPr>
                <w:rFonts w:hint="eastAsia"/>
              </w:rPr>
            </w:pPr>
            <w:r w:rsidRPr="006317A8">
              <w:rPr>
                <w:rFonts w:hAnsi="等线"/>
                <w:color w:val="000000"/>
              </w:rPr>
              <w:t>3.09</w:t>
            </w:r>
          </w:p>
        </w:tc>
      </w:tr>
      <w:tr w:rsidR="001B413F" w14:paraId="1E1AD0B9" w14:textId="77777777" w:rsidTr="001B413F">
        <w:tc>
          <w:tcPr>
            <w:tcW w:w="471" w:type="dxa"/>
            <w:tcBorders>
              <w:top w:val="single" w:sz="8" w:space="0" w:color="000000"/>
              <w:left w:val="single" w:sz="8" w:space="0" w:color="000000"/>
              <w:bottom w:val="single" w:sz="6" w:space="0" w:color="000000"/>
              <w:right w:val="single" w:sz="8" w:space="0" w:color="000000"/>
            </w:tcBorders>
            <w:vAlign w:val="center"/>
            <w:hideMark/>
          </w:tcPr>
          <w:p w14:paraId="004D90E2" w14:textId="77777777" w:rsidR="001B413F" w:rsidRDefault="001B413F" w:rsidP="001B413F">
            <w:pPr>
              <w:pStyle w:val="biaogecenter"/>
              <w:wordWrap w:val="0"/>
              <w:rPr>
                <w:rFonts w:hint="eastAsia"/>
              </w:rPr>
            </w:pPr>
            <w:r>
              <w:rPr>
                <w:rFonts w:hAnsi="等线"/>
                <w:color w:val="000000"/>
              </w:rPr>
              <w:t>8</w:t>
            </w:r>
          </w:p>
        </w:tc>
        <w:tc>
          <w:tcPr>
            <w:tcW w:w="1482" w:type="dxa"/>
            <w:tcBorders>
              <w:top w:val="single" w:sz="8" w:space="0" w:color="000000"/>
              <w:left w:val="single" w:sz="8" w:space="0" w:color="000000"/>
              <w:bottom w:val="single" w:sz="6" w:space="0" w:color="000000"/>
              <w:right w:val="single" w:sz="8" w:space="0" w:color="000000"/>
            </w:tcBorders>
            <w:vAlign w:val="center"/>
            <w:hideMark/>
          </w:tcPr>
          <w:p w14:paraId="3ABBD3F1" w14:textId="7AF74B10" w:rsidR="001B413F" w:rsidRDefault="001B413F" w:rsidP="001B413F">
            <w:pPr>
              <w:pStyle w:val="biaogeleft"/>
              <w:wordWrap w:val="0"/>
              <w:rPr>
                <w:rFonts w:hint="eastAsia"/>
              </w:rPr>
            </w:pPr>
            <w:r w:rsidRPr="006317A8">
              <w:rPr>
                <w:rFonts w:hAnsi="等线"/>
                <w:color w:val="000000"/>
              </w:rPr>
              <w:t>688187</w:t>
            </w:r>
          </w:p>
        </w:tc>
        <w:tc>
          <w:tcPr>
            <w:tcW w:w="1777" w:type="dxa"/>
            <w:tcBorders>
              <w:top w:val="single" w:sz="8" w:space="0" w:color="000000"/>
              <w:left w:val="single" w:sz="8" w:space="0" w:color="000000"/>
              <w:bottom w:val="single" w:sz="6" w:space="0" w:color="000000"/>
              <w:right w:val="single" w:sz="8" w:space="0" w:color="000000"/>
            </w:tcBorders>
            <w:vAlign w:val="center"/>
            <w:hideMark/>
          </w:tcPr>
          <w:p w14:paraId="52BE93FA" w14:textId="7C07943A" w:rsidR="001B413F" w:rsidRDefault="001B413F" w:rsidP="001B413F">
            <w:pPr>
              <w:pStyle w:val="biaogeleft"/>
              <w:wordWrap w:val="0"/>
              <w:rPr>
                <w:rFonts w:hint="eastAsia"/>
              </w:rPr>
            </w:pPr>
            <w:r w:rsidRPr="006317A8">
              <w:rPr>
                <w:rFonts w:hAnsi="等线" w:hint="eastAsia"/>
                <w:color w:val="000000"/>
              </w:rPr>
              <w:t>时代电气</w:t>
            </w:r>
          </w:p>
        </w:tc>
        <w:tc>
          <w:tcPr>
            <w:tcW w:w="1782" w:type="dxa"/>
            <w:tcBorders>
              <w:top w:val="single" w:sz="8" w:space="0" w:color="000000"/>
              <w:left w:val="single" w:sz="8" w:space="0" w:color="000000"/>
              <w:bottom w:val="single" w:sz="6" w:space="0" w:color="000000"/>
              <w:right w:val="single" w:sz="8" w:space="0" w:color="000000"/>
            </w:tcBorders>
            <w:vAlign w:val="center"/>
            <w:hideMark/>
          </w:tcPr>
          <w:p w14:paraId="743FB45C" w14:textId="49CE792B" w:rsidR="001B413F" w:rsidRDefault="001B413F" w:rsidP="001B413F">
            <w:pPr>
              <w:pStyle w:val="biaogeright"/>
              <w:wordWrap w:val="0"/>
              <w:rPr>
                <w:rFonts w:hint="eastAsia"/>
              </w:rPr>
            </w:pPr>
            <w:r w:rsidRPr="006317A8">
              <w:rPr>
                <w:rFonts w:hAnsi="等线"/>
                <w:color w:val="000000"/>
              </w:rPr>
              <w:t>3,099</w:t>
            </w:r>
          </w:p>
        </w:tc>
        <w:tc>
          <w:tcPr>
            <w:tcW w:w="1782" w:type="dxa"/>
            <w:tcBorders>
              <w:top w:val="single" w:sz="8" w:space="0" w:color="000000"/>
              <w:left w:val="single" w:sz="8" w:space="0" w:color="000000"/>
              <w:bottom w:val="single" w:sz="6" w:space="0" w:color="000000"/>
              <w:right w:val="single" w:sz="8" w:space="0" w:color="000000"/>
            </w:tcBorders>
            <w:vAlign w:val="center"/>
            <w:hideMark/>
          </w:tcPr>
          <w:p w14:paraId="4AF725C2" w14:textId="110B4974" w:rsidR="001B413F" w:rsidRDefault="001B413F" w:rsidP="001B413F">
            <w:pPr>
              <w:pStyle w:val="biaogeright"/>
              <w:wordWrap w:val="0"/>
              <w:rPr>
                <w:rFonts w:hint="eastAsia"/>
              </w:rPr>
            </w:pPr>
            <w:r w:rsidRPr="006317A8">
              <w:rPr>
                <w:rFonts w:hAnsi="等线"/>
                <w:color w:val="000000"/>
              </w:rPr>
              <w:t>132,172.35</w:t>
            </w:r>
          </w:p>
        </w:tc>
        <w:tc>
          <w:tcPr>
            <w:tcW w:w="1786" w:type="dxa"/>
            <w:tcBorders>
              <w:top w:val="single" w:sz="8" w:space="0" w:color="000000"/>
              <w:left w:val="single" w:sz="8" w:space="0" w:color="000000"/>
              <w:bottom w:val="single" w:sz="6" w:space="0" w:color="000000"/>
              <w:right w:val="single" w:sz="8" w:space="0" w:color="000000"/>
            </w:tcBorders>
            <w:vAlign w:val="center"/>
            <w:hideMark/>
          </w:tcPr>
          <w:p w14:paraId="06705288" w14:textId="790DB104" w:rsidR="001B413F" w:rsidRDefault="001B413F" w:rsidP="001B413F">
            <w:pPr>
              <w:pStyle w:val="biaogeright"/>
              <w:wordWrap w:val="0"/>
              <w:rPr>
                <w:rFonts w:hint="eastAsia"/>
              </w:rPr>
            </w:pPr>
            <w:r w:rsidRPr="006317A8">
              <w:rPr>
                <w:rFonts w:hAnsi="等线"/>
                <w:color w:val="000000"/>
              </w:rPr>
              <w:t>2.94</w:t>
            </w:r>
          </w:p>
        </w:tc>
      </w:tr>
      <w:tr w:rsidR="001B413F" w14:paraId="5559897A" w14:textId="77777777" w:rsidTr="001B413F">
        <w:tc>
          <w:tcPr>
            <w:tcW w:w="471" w:type="dxa"/>
            <w:tcBorders>
              <w:top w:val="single" w:sz="8" w:space="0" w:color="000000"/>
              <w:left w:val="single" w:sz="8" w:space="0" w:color="000000"/>
              <w:bottom w:val="single" w:sz="6" w:space="0" w:color="000000"/>
              <w:right w:val="single" w:sz="8" w:space="0" w:color="000000"/>
            </w:tcBorders>
            <w:vAlign w:val="center"/>
            <w:hideMark/>
          </w:tcPr>
          <w:p w14:paraId="05C60E38" w14:textId="77777777" w:rsidR="001B413F" w:rsidRDefault="001B413F" w:rsidP="001B413F">
            <w:pPr>
              <w:pStyle w:val="biaogecenter"/>
              <w:wordWrap w:val="0"/>
              <w:rPr>
                <w:rFonts w:hint="eastAsia"/>
              </w:rPr>
            </w:pPr>
            <w:r>
              <w:rPr>
                <w:rFonts w:hAnsi="等线"/>
                <w:color w:val="000000"/>
              </w:rPr>
              <w:t>9</w:t>
            </w:r>
          </w:p>
        </w:tc>
        <w:tc>
          <w:tcPr>
            <w:tcW w:w="1482" w:type="dxa"/>
            <w:tcBorders>
              <w:top w:val="single" w:sz="8" w:space="0" w:color="000000"/>
              <w:left w:val="single" w:sz="8" w:space="0" w:color="000000"/>
              <w:bottom w:val="single" w:sz="6" w:space="0" w:color="000000"/>
              <w:right w:val="single" w:sz="8" w:space="0" w:color="000000"/>
            </w:tcBorders>
            <w:vAlign w:val="center"/>
            <w:hideMark/>
          </w:tcPr>
          <w:p w14:paraId="1A1C38FD" w14:textId="1D4CEA67" w:rsidR="001B413F" w:rsidRDefault="001B413F" w:rsidP="001B413F">
            <w:pPr>
              <w:pStyle w:val="biaogeleft"/>
              <w:wordWrap w:val="0"/>
              <w:rPr>
                <w:rFonts w:hint="eastAsia"/>
              </w:rPr>
            </w:pPr>
            <w:r w:rsidRPr="006317A8">
              <w:rPr>
                <w:rFonts w:hAnsi="等线"/>
                <w:color w:val="000000"/>
              </w:rPr>
              <w:t>688049</w:t>
            </w:r>
          </w:p>
        </w:tc>
        <w:tc>
          <w:tcPr>
            <w:tcW w:w="1777" w:type="dxa"/>
            <w:tcBorders>
              <w:top w:val="single" w:sz="8" w:space="0" w:color="000000"/>
              <w:left w:val="single" w:sz="8" w:space="0" w:color="000000"/>
              <w:bottom w:val="single" w:sz="6" w:space="0" w:color="000000"/>
              <w:right w:val="single" w:sz="8" w:space="0" w:color="000000"/>
            </w:tcBorders>
            <w:vAlign w:val="center"/>
            <w:hideMark/>
          </w:tcPr>
          <w:p w14:paraId="47C2EFB1" w14:textId="2AC94650" w:rsidR="001B413F" w:rsidRDefault="001B413F" w:rsidP="001B413F">
            <w:pPr>
              <w:pStyle w:val="biaogeleft"/>
              <w:wordWrap w:val="0"/>
              <w:rPr>
                <w:rFonts w:hint="eastAsia"/>
              </w:rPr>
            </w:pPr>
            <w:proofErr w:type="gramStart"/>
            <w:r w:rsidRPr="006317A8">
              <w:rPr>
                <w:rFonts w:hAnsi="等线" w:hint="eastAsia"/>
                <w:color w:val="000000"/>
              </w:rPr>
              <w:t>炬芯科技</w:t>
            </w:r>
            <w:proofErr w:type="gramEnd"/>
          </w:p>
        </w:tc>
        <w:tc>
          <w:tcPr>
            <w:tcW w:w="1782" w:type="dxa"/>
            <w:tcBorders>
              <w:top w:val="single" w:sz="8" w:space="0" w:color="000000"/>
              <w:left w:val="single" w:sz="8" w:space="0" w:color="000000"/>
              <w:bottom w:val="single" w:sz="6" w:space="0" w:color="000000"/>
              <w:right w:val="single" w:sz="8" w:space="0" w:color="000000"/>
            </w:tcBorders>
            <w:vAlign w:val="center"/>
            <w:hideMark/>
          </w:tcPr>
          <w:p w14:paraId="1C723278" w14:textId="069B3D30" w:rsidR="001B413F" w:rsidRDefault="001B413F" w:rsidP="001B413F">
            <w:pPr>
              <w:pStyle w:val="biaogeright"/>
              <w:wordWrap w:val="0"/>
              <w:rPr>
                <w:rFonts w:hint="eastAsia"/>
              </w:rPr>
            </w:pPr>
            <w:r w:rsidRPr="006317A8">
              <w:rPr>
                <w:rFonts w:hAnsi="等线"/>
                <w:color w:val="000000"/>
              </w:rPr>
              <w:t>2,080</w:t>
            </w:r>
          </w:p>
        </w:tc>
        <w:tc>
          <w:tcPr>
            <w:tcW w:w="1782" w:type="dxa"/>
            <w:tcBorders>
              <w:top w:val="single" w:sz="8" w:space="0" w:color="000000"/>
              <w:left w:val="single" w:sz="8" w:space="0" w:color="000000"/>
              <w:bottom w:val="single" w:sz="6" w:space="0" w:color="000000"/>
              <w:right w:val="single" w:sz="8" w:space="0" w:color="000000"/>
            </w:tcBorders>
            <w:vAlign w:val="center"/>
            <w:hideMark/>
          </w:tcPr>
          <w:p w14:paraId="6406DEE9" w14:textId="0C8710EA" w:rsidR="001B413F" w:rsidRDefault="001B413F" w:rsidP="001B413F">
            <w:pPr>
              <w:pStyle w:val="biaogeright"/>
              <w:wordWrap w:val="0"/>
              <w:rPr>
                <w:rFonts w:hint="eastAsia"/>
              </w:rPr>
            </w:pPr>
            <w:r w:rsidRPr="006317A8">
              <w:rPr>
                <w:rFonts w:hAnsi="等线"/>
                <w:color w:val="000000"/>
              </w:rPr>
              <w:t>125,840.00</w:t>
            </w:r>
          </w:p>
        </w:tc>
        <w:tc>
          <w:tcPr>
            <w:tcW w:w="1786" w:type="dxa"/>
            <w:tcBorders>
              <w:top w:val="single" w:sz="8" w:space="0" w:color="000000"/>
              <w:left w:val="single" w:sz="8" w:space="0" w:color="000000"/>
              <w:bottom w:val="single" w:sz="6" w:space="0" w:color="000000"/>
              <w:right w:val="single" w:sz="8" w:space="0" w:color="000000"/>
            </w:tcBorders>
            <w:vAlign w:val="center"/>
            <w:hideMark/>
          </w:tcPr>
          <w:p w14:paraId="76A28F1F" w14:textId="34A09682" w:rsidR="001B413F" w:rsidRDefault="001B413F" w:rsidP="001B413F">
            <w:pPr>
              <w:pStyle w:val="biaogeright"/>
              <w:wordWrap w:val="0"/>
              <w:rPr>
                <w:rFonts w:hint="eastAsia"/>
              </w:rPr>
            </w:pPr>
            <w:r w:rsidRPr="006317A8">
              <w:rPr>
                <w:rFonts w:hAnsi="等线"/>
                <w:color w:val="000000"/>
              </w:rPr>
              <w:t>2.80</w:t>
            </w:r>
          </w:p>
        </w:tc>
      </w:tr>
      <w:tr w:rsidR="001B413F" w14:paraId="24F85FFB" w14:textId="77777777" w:rsidTr="001B413F">
        <w:tc>
          <w:tcPr>
            <w:tcW w:w="471" w:type="dxa"/>
            <w:tcBorders>
              <w:top w:val="single" w:sz="8" w:space="0" w:color="000000"/>
              <w:left w:val="single" w:sz="8" w:space="0" w:color="000000"/>
              <w:bottom w:val="single" w:sz="6" w:space="0" w:color="000000"/>
              <w:right w:val="single" w:sz="8" w:space="0" w:color="000000"/>
            </w:tcBorders>
            <w:vAlign w:val="center"/>
            <w:hideMark/>
          </w:tcPr>
          <w:p w14:paraId="66FBF8D7" w14:textId="77777777" w:rsidR="001B413F" w:rsidRDefault="001B413F" w:rsidP="001B413F">
            <w:pPr>
              <w:pStyle w:val="biaogecenter"/>
              <w:wordWrap w:val="0"/>
              <w:rPr>
                <w:rFonts w:hint="eastAsia"/>
              </w:rPr>
            </w:pPr>
            <w:r>
              <w:rPr>
                <w:rFonts w:hAnsi="等线"/>
                <w:color w:val="000000"/>
              </w:rPr>
              <w:t>10</w:t>
            </w:r>
          </w:p>
        </w:tc>
        <w:tc>
          <w:tcPr>
            <w:tcW w:w="1482" w:type="dxa"/>
            <w:tcBorders>
              <w:top w:val="single" w:sz="8" w:space="0" w:color="000000"/>
              <w:left w:val="single" w:sz="8" w:space="0" w:color="000000"/>
              <w:bottom w:val="single" w:sz="6" w:space="0" w:color="000000"/>
              <w:right w:val="single" w:sz="8" w:space="0" w:color="000000"/>
            </w:tcBorders>
            <w:vAlign w:val="center"/>
            <w:hideMark/>
          </w:tcPr>
          <w:p w14:paraId="6B86430B" w14:textId="0FBAC73B" w:rsidR="001B413F" w:rsidRDefault="001B413F" w:rsidP="001B413F">
            <w:pPr>
              <w:pStyle w:val="biaogeleft"/>
              <w:wordWrap w:val="0"/>
              <w:rPr>
                <w:rFonts w:hint="eastAsia"/>
              </w:rPr>
            </w:pPr>
            <w:r w:rsidRPr="006317A8">
              <w:rPr>
                <w:rFonts w:hAnsi="等线"/>
                <w:color w:val="000000"/>
              </w:rPr>
              <w:t>688668</w:t>
            </w:r>
          </w:p>
        </w:tc>
        <w:tc>
          <w:tcPr>
            <w:tcW w:w="1777" w:type="dxa"/>
            <w:tcBorders>
              <w:top w:val="single" w:sz="8" w:space="0" w:color="000000"/>
              <w:left w:val="single" w:sz="8" w:space="0" w:color="000000"/>
              <w:bottom w:val="single" w:sz="6" w:space="0" w:color="000000"/>
              <w:right w:val="single" w:sz="8" w:space="0" w:color="000000"/>
            </w:tcBorders>
            <w:vAlign w:val="center"/>
            <w:hideMark/>
          </w:tcPr>
          <w:p w14:paraId="18C6EF44" w14:textId="0B79D949" w:rsidR="001B413F" w:rsidRDefault="001B413F" w:rsidP="001B413F">
            <w:pPr>
              <w:pStyle w:val="biaogeleft"/>
              <w:wordWrap w:val="0"/>
              <w:rPr>
                <w:rFonts w:hint="eastAsia"/>
              </w:rPr>
            </w:pPr>
            <w:r w:rsidRPr="006317A8">
              <w:rPr>
                <w:rFonts w:hAnsi="等线" w:hint="eastAsia"/>
                <w:color w:val="000000"/>
              </w:rPr>
              <w:t>鼎通科技</w:t>
            </w:r>
          </w:p>
        </w:tc>
        <w:tc>
          <w:tcPr>
            <w:tcW w:w="1782" w:type="dxa"/>
            <w:tcBorders>
              <w:top w:val="single" w:sz="8" w:space="0" w:color="000000"/>
              <w:left w:val="single" w:sz="8" w:space="0" w:color="000000"/>
              <w:bottom w:val="single" w:sz="6" w:space="0" w:color="000000"/>
              <w:right w:val="single" w:sz="8" w:space="0" w:color="000000"/>
            </w:tcBorders>
            <w:vAlign w:val="center"/>
            <w:hideMark/>
          </w:tcPr>
          <w:p w14:paraId="22D5B755" w14:textId="5C91777F" w:rsidR="001B413F" w:rsidRDefault="001B413F" w:rsidP="001B413F">
            <w:pPr>
              <w:pStyle w:val="biaogeright"/>
              <w:wordWrap w:val="0"/>
              <w:rPr>
                <w:rFonts w:hint="eastAsia"/>
              </w:rPr>
            </w:pPr>
            <w:r w:rsidRPr="006317A8">
              <w:rPr>
                <w:rFonts w:hAnsi="等线"/>
                <w:color w:val="000000"/>
              </w:rPr>
              <w:t>1,975</w:t>
            </w:r>
          </w:p>
        </w:tc>
        <w:tc>
          <w:tcPr>
            <w:tcW w:w="1782" w:type="dxa"/>
            <w:tcBorders>
              <w:top w:val="single" w:sz="8" w:space="0" w:color="000000"/>
              <w:left w:val="single" w:sz="8" w:space="0" w:color="000000"/>
              <w:bottom w:val="single" w:sz="6" w:space="0" w:color="000000"/>
              <w:right w:val="single" w:sz="8" w:space="0" w:color="000000"/>
            </w:tcBorders>
            <w:vAlign w:val="center"/>
            <w:hideMark/>
          </w:tcPr>
          <w:p w14:paraId="7BE6F11F" w14:textId="53A222E5" w:rsidR="001B413F" w:rsidRDefault="001B413F" w:rsidP="001B413F">
            <w:pPr>
              <w:pStyle w:val="biaogeright"/>
              <w:wordWrap w:val="0"/>
              <w:rPr>
                <w:rFonts w:hint="eastAsia"/>
              </w:rPr>
            </w:pPr>
            <w:r w:rsidRPr="006317A8">
              <w:rPr>
                <w:rFonts w:hAnsi="等线"/>
                <w:color w:val="000000"/>
              </w:rPr>
              <w:t>123,358.50</w:t>
            </w:r>
          </w:p>
        </w:tc>
        <w:tc>
          <w:tcPr>
            <w:tcW w:w="1786" w:type="dxa"/>
            <w:tcBorders>
              <w:top w:val="single" w:sz="8" w:space="0" w:color="000000"/>
              <w:left w:val="single" w:sz="8" w:space="0" w:color="000000"/>
              <w:bottom w:val="single" w:sz="6" w:space="0" w:color="000000"/>
              <w:right w:val="single" w:sz="8" w:space="0" w:color="000000"/>
            </w:tcBorders>
            <w:vAlign w:val="center"/>
            <w:hideMark/>
          </w:tcPr>
          <w:p w14:paraId="65BD29C5" w14:textId="0E218A47" w:rsidR="001B413F" w:rsidRDefault="001B413F" w:rsidP="001B413F">
            <w:pPr>
              <w:pStyle w:val="biaogeright"/>
              <w:wordWrap w:val="0"/>
              <w:rPr>
                <w:rFonts w:hint="eastAsia"/>
              </w:rPr>
            </w:pPr>
            <w:r w:rsidRPr="006317A8">
              <w:rPr>
                <w:rFonts w:hAnsi="等线"/>
                <w:color w:val="000000"/>
              </w:rPr>
              <w:t>2.74</w:t>
            </w:r>
          </w:p>
        </w:tc>
      </w:tr>
    </w:tbl>
    <w:p w14:paraId="6786EBDC" w14:textId="77777777" w:rsidR="004D3275" w:rsidRDefault="004D3275" w:rsidP="004D3275">
      <w:pPr>
        <w:spacing w:line="360" w:lineRule="auto"/>
        <w:ind w:firstLineChars="200" w:firstLine="480"/>
        <w:rPr>
          <w:rFonts w:asciiTheme="minorEastAsia" w:hAnsiTheme="minorEastAsia" w:cs="Times New Roman" w:hint="eastAsia"/>
          <w:sz w:val="24"/>
          <w:szCs w:val="24"/>
        </w:rPr>
      </w:pPr>
    </w:p>
    <w:p w14:paraId="3E13424B"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w:t>
      </w:r>
      <w:r w:rsidRPr="007D5062">
        <w:rPr>
          <w:rFonts w:asciiTheme="minorEastAsia" w:hAnsiTheme="minorEastAsia" w:cs="Times New Roman" w:hint="eastAsia"/>
          <w:sz w:val="24"/>
          <w:szCs w:val="24"/>
        </w:rPr>
        <w:t>报告期末按债券品种分类的债券投资组合</w:t>
      </w:r>
    </w:p>
    <w:tbl>
      <w:tblPr>
        <w:tblW w:w="9080" w:type="dxa"/>
        <w:tblInd w:w="108" w:type="dxa"/>
        <w:tblLook w:val="04A0" w:firstRow="1" w:lastRow="0" w:firstColumn="1" w:lastColumn="0" w:noHBand="0" w:noVBand="1"/>
      </w:tblPr>
      <w:tblGrid>
        <w:gridCol w:w="1210"/>
        <w:gridCol w:w="3481"/>
        <w:gridCol w:w="2573"/>
        <w:gridCol w:w="1816"/>
      </w:tblGrid>
      <w:tr w:rsidR="004D3275" w14:paraId="41F275A4" w14:textId="77777777" w:rsidTr="001B413F">
        <w:tc>
          <w:tcPr>
            <w:tcW w:w="1210" w:type="dxa"/>
            <w:tcBorders>
              <w:top w:val="single" w:sz="8" w:space="0" w:color="000000"/>
              <w:left w:val="single" w:sz="8" w:space="0" w:color="000000"/>
              <w:bottom w:val="single" w:sz="6" w:space="0" w:color="000000"/>
              <w:right w:val="single" w:sz="8" w:space="0" w:color="000000"/>
            </w:tcBorders>
            <w:vAlign w:val="center"/>
            <w:hideMark/>
          </w:tcPr>
          <w:p w14:paraId="03E31C41" w14:textId="77777777" w:rsidR="004D3275" w:rsidRDefault="004D3275" w:rsidP="00114C8C">
            <w:pPr>
              <w:pStyle w:val="biaogecenter"/>
              <w:wordWrap w:val="0"/>
              <w:rPr>
                <w:rFonts w:hint="eastAsia"/>
              </w:rPr>
            </w:pPr>
            <w:r>
              <w:rPr>
                <w:rFonts w:hAnsi="等线" w:hint="eastAsia"/>
                <w:color w:val="000000"/>
              </w:rPr>
              <w:t>序号</w:t>
            </w:r>
          </w:p>
        </w:tc>
        <w:tc>
          <w:tcPr>
            <w:tcW w:w="3481" w:type="dxa"/>
            <w:tcBorders>
              <w:top w:val="single" w:sz="8" w:space="0" w:color="000000"/>
              <w:left w:val="single" w:sz="8" w:space="0" w:color="000000"/>
              <w:bottom w:val="single" w:sz="6" w:space="0" w:color="000000"/>
              <w:right w:val="single" w:sz="8" w:space="0" w:color="000000"/>
            </w:tcBorders>
            <w:vAlign w:val="center"/>
            <w:hideMark/>
          </w:tcPr>
          <w:p w14:paraId="3ABF9765" w14:textId="77777777" w:rsidR="004D3275" w:rsidRDefault="004D3275" w:rsidP="00114C8C">
            <w:pPr>
              <w:pStyle w:val="biaogecenter"/>
              <w:wordWrap w:val="0"/>
              <w:rPr>
                <w:rFonts w:hint="eastAsia"/>
              </w:rPr>
            </w:pPr>
            <w:r>
              <w:rPr>
                <w:rFonts w:hAnsi="等线" w:hint="eastAsia"/>
                <w:color w:val="000000"/>
              </w:rPr>
              <w:t>债券品种</w:t>
            </w:r>
          </w:p>
        </w:tc>
        <w:tc>
          <w:tcPr>
            <w:tcW w:w="2573" w:type="dxa"/>
            <w:tcBorders>
              <w:top w:val="single" w:sz="8" w:space="0" w:color="000000"/>
              <w:left w:val="single" w:sz="8" w:space="0" w:color="000000"/>
              <w:bottom w:val="single" w:sz="6" w:space="0" w:color="000000"/>
              <w:right w:val="single" w:sz="8" w:space="0" w:color="000000"/>
            </w:tcBorders>
            <w:vAlign w:val="center"/>
            <w:hideMark/>
          </w:tcPr>
          <w:p w14:paraId="631FD6DB" w14:textId="77777777" w:rsidR="004D3275" w:rsidRDefault="004D3275" w:rsidP="00114C8C">
            <w:pPr>
              <w:pStyle w:val="biaogecenter"/>
              <w:wordWrap w:val="0"/>
              <w:rPr>
                <w:rFonts w:hint="eastAsia"/>
              </w:rPr>
            </w:pPr>
            <w:r>
              <w:rPr>
                <w:rFonts w:hAnsi="等线" w:hint="eastAsia"/>
                <w:color w:val="000000"/>
              </w:rPr>
              <w:t>公允价值</w:t>
            </w:r>
            <w:r>
              <w:rPr>
                <w:rFonts w:hAnsi="等线"/>
                <w:color w:val="000000"/>
              </w:rPr>
              <w:t>(</w:t>
            </w:r>
            <w:r>
              <w:rPr>
                <w:rFonts w:hAnsi="等线" w:hint="eastAsia"/>
                <w:color w:val="000000"/>
              </w:rPr>
              <w:t>元</w:t>
            </w:r>
            <w:r>
              <w:rPr>
                <w:rFonts w:hAnsi="等线"/>
                <w:color w:val="000000"/>
              </w:rPr>
              <w:t>)</w:t>
            </w:r>
          </w:p>
        </w:tc>
        <w:tc>
          <w:tcPr>
            <w:tcW w:w="1816" w:type="dxa"/>
            <w:tcBorders>
              <w:top w:val="single" w:sz="8" w:space="0" w:color="000000"/>
              <w:left w:val="single" w:sz="8" w:space="0" w:color="000000"/>
              <w:bottom w:val="single" w:sz="6" w:space="0" w:color="000000"/>
              <w:right w:val="single" w:sz="8" w:space="0" w:color="000000"/>
            </w:tcBorders>
            <w:vAlign w:val="center"/>
            <w:hideMark/>
          </w:tcPr>
          <w:p w14:paraId="57826F3E" w14:textId="77777777" w:rsidR="004D3275" w:rsidRDefault="004D3275" w:rsidP="00114C8C">
            <w:pPr>
              <w:pStyle w:val="biaogecenter"/>
              <w:wordWrap w:val="0"/>
              <w:rPr>
                <w:rFonts w:hint="eastAsia"/>
              </w:rPr>
            </w:pPr>
            <w:r>
              <w:rPr>
                <w:rFonts w:hAnsi="等线" w:hint="eastAsia"/>
                <w:color w:val="000000"/>
              </w:rPr>
              <w:t>占基金资产净值比例（％）</w:t>
            </w:r>
          </w:p>
        </w:tc>
      </w:tr>
      <w:tr w:rsidR="001B413F" w14:paraId="3782BF41" w14:textId="77777777" w:rsidTr="001B413F">
        <w:tc>
          <w:tcPr>
            <w:tcW w:w="1210" w:type="dxa"/>
            <w:tcBorders>
              <w:top w:val="single" w:sz="8" w:space="0" w:color="000000"/>
              <w:left w:val="single" w:sz="8" w:space="0" w:color="000000"/>
              <w:bottom w:val="single" w:sz="6" w:space="0" w:color="000000"/>
              <w:right w:val="single" w:sz="8" w:space="0" w:color="000000"/>
            </w:tcBorders>
            <w:vAlign w:val="center"/>
            <w:hideMark/>
          </w:tcPr>
          <w:p w14:paraId="0D97DF6F" w14:textId="77777777" w:rsidR="001B413F" w:rsidRDefault="001B413F" w:rsidP="001B413F">
            <w:pPr>
              <w:pStyle w:val="biaogecenter"/>
              <w:wordWrap w:val="0"/>
              <w:rPr>
                <w:rFonts w:hint="eastAsia"/>
              </w:rPr>
            </w:pPr>
            <w:r>
              <w:rPr>
                <w:rFonts w:hAnsi="等线"/>
                <w:color w:val="000000"/>
              </w:rPr>
              <w:t>1</w:t>
            </w:r>
          </w:p>
        </w:tc>
        <w:tc>
          <w:tcPr>
            <w:tcW w:w="3481" w:type="dxa"/>
            <w:tcBorders>
              <w:top w:val="single" w:sz="8" w:space="0" w:color="000000"/>
              <w:left w:val="single" w:sz="8" w:space="0" w:color="000000"/>
              <w:bottom w:val="single" w:sz="6" w:space="0" w:color="000000"/>
              <w:right w:val="single" w:sz="8" w:space="0" w:color="000000"/>
            </w:tcBorders>
            <w:vAlign w:val="center"/>
            <w:hideMark/>
          </w:tcPr>
          <w:p w14:paraId="16636A69" w14:textId="77777777" w:rsidR="001B413F" w:rsidRDefault="001B413F" w:rsidP="001B413F">
            <w:pPr>
              <w:pStyle w:val="biaogeleft"/>
              <w:wordWrap w:val="0"/>
              <w:rPr>
                <w:rFonts w:hint="eastAsia"/>
              </w:rPr>
            </w:pPr>
            <w:r>
              <w:rPr>
                <w:rFonts w:hAnsi="等线" w:hint="eastAsia"/>
                <w:color w:val="000000"/>
              </w:rPr>
              <w:t>国家债券</w:t>
            </w:r>
          </w:p>
        </w:tc>
        <w:tc>
          <w:tcPr>
            <w:tcW w:w="2573" w:type="dxa"/>
            <w:tcBorders>
              <w:top w:val="single" w:sz="8" w:space="0" w:color="000000"/>
              <w:left w:val="single" w:sz="8" w:space="0" w:color="000000"/>
              <w:bottom w:val="single" w:sz="6" w:space="0" w:color="000000"/>
              <w:right w:val="single" w:sz="8" w:space="0" w:color="000000"/>
            </w:tcBorders>
            <w:vAlign w:val="center"/>
            <w:hideMark/>
          </w:tcPr>
          <w:p w14:paraId="7EF603C0" w14:textId="37C28C87" w:rsidR="001B413F" w:rsidRDefault="001B413F" w:rsidP="001B413F">
            <w:pPr>
              <w:pStyle w:val="biaogeright"/>
              <w:wordWrap w:val="0"/>
              <w:rPr>
                <w:rFonts w:hint="eastAsia"/>
              </w:rPr>
            </w:pPr>
            <w:r w:rsidRPr="006317A8">
              <w:rPr>
                <w:rFonts w:hAnsi="等线"/>
                <w:color w:val="000000"/>
              </w:rPr>
              <w:t>200,881.48</w:t>
            </w:r>
          </w:p>
        </w:tc>
        <w:tc>
          <w:tcPr>
            <w:tcW w:w="1816" w:type="dxa"/>
            <w:tcBorders>
              <w:top w:val="single" w:sz="8" w:space="0" w:color="000000"/>
              <w:left w:val="single" w:sz="8" w:space="0" w:color="000000"/>
              <w:bottom w:val="single" w:sz="6" w:space="0" w:color="000000"/>
              <w:right w:val="single" w:sz="8" w:space="0" w:color="000000"/>
            </w:tcBorders>
            <w:vAlign w:val="center"/>
            <w:hideMark/>
          </w:tcPr>
          <w:p w14:paraId="3EFAD323" w14:textId="3D95DC81" w:rsidR="001B413F" w:rsidRDefault="001B413F" w:rsidP="001B413F">
            <w:pPr>
              <w:pStyle w:val="biaogeright"/>
              <w:wordWrap w:val="0"/>
              <w:rPr>
                <w:rFonts w:hint="eastAsia"/>
              </w:rPr>
            </w:pPr>
            <w:r w:rsidRPr="006317A8">
              <w:rPr>
                <w:rFonts w:hAnsi="等线"/>
                <w:color w:val="000000"/>
              </w:rPr>
              <w:t>4.47</w:t>
            </w:r>
          </w:p>
        </w:tc>
      </w:tr>
      <w:tr w:rsidR="001B413F" w14:paraId="64FE87D7" w14:textId="77777777" w:rsidTr="001B413F">
        <w:tc>
          <w:tcPr>
            <w:tcW w:w="1210" w:type="dxa"/>
            <w:tcBorders>
              <w:top w:val="single" w:sz="8" w:space="0" w:color="000000"/>
              <w:left w:val="single" w:sz="8" w:space="0" w:color="000000"/>
              <w:bottom w:val="single" w:sz="6" w:space="0" w:color="000000"/>
              <w:right w:val="single" w:sz="8" w:space="0" w:color="000000"/>
            </w:tcBorders>
            <w:vAlign w:val="center"/>
            <w:hideMark/>
          </w:tcPr>
          <w:p w14:paraId="2DEFFCC7" w14:textId="77777777" w:rsidR="001B413F" w:rsidRDefault="001B413F" w:rsidP="001B413F">
            <w:pPr>
              <w:pStyle w:val="biaogecenter"/>
              <w:wordWrap w:val="0"/>
              <w:rPr>
                <w:rFonts w:hint="eastAsia"/>
              </w:rPr>
            </w:pPr>
            <w:r>
              <w:rPr>
                <w:rFonts w:hAnsi="等线"/>
                <w:color w:val="000000"/>
              </w:rPr>
              <w:t>2</w:t>
            </w:r>
          </w:p>
        </w:tc>
        <w:tc>
          <w:tcPr>
            <w:tcW w:w="3481" w:type="dxa"/>
            <w:tcBorders>
              <w:top w:val="single" w:sz="8" w:space="0" w:color="000000"/>
              <w:left w:val="single" w:sz="8" w:space="0" w:color="000000"/>
              <w:bottom w:val="single" w:sz="6" w:space="0" w:color="000000"/>
              <w:right w:val="single" w:sz="8" w:space="0" w:color="000000"/>
            </w:tcBorders>
            <w:vAlign w:val="center"/>
            <w:hideMark/>
          </w:tcPr>
          <w:p w14:paraId="6AC121CD" w14:textId="77777777" w:rsidR="001B413F" w:rsidRDefault="001B413F" w:rsidP="001B413F">
            <w:pPr>
              <w:pStyle w:val="biaogeleft"/>
              <w:wordWrap w:val="0"/>
              <w:rPr>
                <w:rFonts w:hint="eastAsia"/>
              </w:rPr>
            </w:pPr>
            <w:r>
              <w:rPr>
                <w:rFonts w:hAnsi="等线" w:hint="eastAsia"/>
                <w:color w:val="000000"/>
              </w:rPr>
              <w:t>央行票据</w:t>
            </w:r>
          </w:p>
        </w:tc>
        <w:tc>
          <w:tcPr>
            <w:tcW w:w="2573" w:type="dxa"/>
            <w:tcBorders>
              <w:top w:val="single" w:sz="8" w:space="0" w:color="000000"/>
              <w:left w:val="single" w:sz="8" w:space="0" w:color="000000"/>
              <w:bottom w:val="single" w:sz="6" w:space="0" w:color="000000"/>
              <w:right w:val="single" w:sz="8" w:space="0" w:color="000000"/>
            </w:tcBorders>
            <w:vAlign w:val="center"/>
            <w:hideMark/>
          </w:tcPr>
          <w:p w14:paraId="0E3AA891" w14:textId="393902F3" w:rsidR="001B413F" w:rsidRDefault="001B413F" w:rsidP="001B413F">
            <w:pPr>
              <w:pStyle w:val="biaogeright"/>
              <w:wordWrap w:val="0"/>
              <w:rPr>
                <w:rFonts w:hint="eastAsia"/>
              </w:rPr>
            </w:pPr>
            <w:r w:rsidRPr="006317A8">
              <w:rPr>
                <w:rFonts w:hAnsi="等线"/>
                <w:color w:val="000000"/>
              </w:rPr>
              <w:t>-</w:t>
            </w:r>
          </w:p>
        </w:tc>
        <w:tc>
          <w:tcPr>
            <w:tcW w:w="1816" w:type="dxa"/>
            <w:tcBorders>
              <w:top w:val="single" w:sz="8" w:space="0" w:color="000000"/>
              <w:left w:val="single" w:sz="8" w:space="0" w:color="000000"/>
              <w:bottom w:val="single" w:sz="6" w:space="0" w:color="000000"/>
              <w:right w:val="single" w:sz="8" w:space="0" w:color="000000"/>
            </w:tcBorders>
            <w:vAlign w:val="center"/>
            <w:hideMark/>
          </w:tcPr>
          <w:p w14:paraId="7B617626" w14:textId="5B33060F" w:rsidR="001B413F" w:rsidRDefault="001B413F" w:rsidP="001B413F">
            <w:pPr>
              <w:pStyle w:val="biaogeright"/>
              <w:wordWrap w:val="0"/>
              <w:rPr>
                <w:rFonts w:hint="eastAsia"/>
              </w:rPr>
            </w:pPr>
            <w:r w:rsidRPr="006317A8">
              <w:rPr>
                <w:rFonts w:hAnsi="等线"/>
                <w:color w:val="000000"/>
              </w:rPr>
              <w:t>-</w:t>
            </w:r>
          </w:p>
        </w:tc>
      </w:tr>
      <w:tr w:rsidR="001B413F" w14:paraId="6BDBF0CA" w14:textId="77777777" w:rsidTr="001B413F">
        <w:tc>
          <w:tcPr>
            <w:tcW w:w="1210" w:type="dxa"/>
            <w:tcBorders>
              <w:top w:val="single" w:sz="8" w:space="0" w:color="000000"/>
              <w:left w:val="single" w:sz="8" w:space="0" w:color="000000"/>
              <w:bottom w:val="single" w:sz="6" w:space="0" w:color="000000"/>
              <w:right w:val="single" w:sz="8" w:space="0" w:color="000000"/>
            </w:tcBorders>
            <w:vAlign w:val="center"/>
            <w:hideMark/>
          </w:tcPr>
          <w:p w14:paraId="13AE1CA6" w14:textId="77777777" w:rsidR="001B413F" w:rsidRDefault="001B413F" w:rsidP="001B413F">
            <w:pPr>
              <w:pStyle w:val="biaogecenter"/>
              <w:wordWrap w:val="0"/>
              <w:rPr>
                <w:rFonts w:hint="eastAsia"/>
              </w:rPr>
            </w:pPr>
            <w:r>
              <w:rPr>
                <w:rFonts w:hAnsi="等线"/>
                <w:color w:val="000000"/>
              </w:rPr>
              <w:t>3</w:t>
            </w:r>
          </w:p>
        </w:tc>
        <w:tc>
          <w:tcPr>
            <w:tcW w:w="3481" w:type="dxa"/>
            <w:tcBorders>
              <w:top w:val="single" w:sz="8" w:space="0" w:color="000000"/>
              <w:left w:val="single" w:sz="8" w:space="0" w:color="000000"/>
              <w:bottom w:val="single" w:sz="6" w:space="0" w:color="000000"/>
              <w:right w:val="single" w:sz="8" w:space="0" w:color="000000"/>
            </w:tcBorders>
            <w:vAlign w:val="center"/>
            <w:hideMark/>
          </w:tcPr>
          <w:p w14:paraId="198DC21B" w14:textId="77777777" w:rsidR="001B413F" w:rsidRDefault="001B413F" w:rsidP="001B413F">
            <w:pPr>
              <w:pStyle w:val="biaogeleft"/>
              <w:wordWrap w:val="0"/>
              <w:rPr>
                <w:rFonts w:hint="eastAsia"/>
              </w:rPr>
            </w:pPr>
            <w:r>
              <w:rPr>
                <w:rFonts w:hAnsi="等线" w:hint="eastAsia"/>
                <w:color w:val="000000"/>
              </w:rPr>
              <w:t>金融债券</w:t>
            </w:r>
          </w:p>
        </w:tc>
        <w:tc>
          <w:tcPr>
            <w:tcW w:w="2573" w:type="dxa"/>
            <w:tcBorders>
              <w:top w:val="single" w:sz="8" w:space="0" w:color="000000"/>
              <w:left w:val="single" w:sz="8" w:space="0" w:color="000000"/>
              <w:bottom w:val="single" w:sz="6" w:space="0" w:color="000000"/>
              <w:right w:val="single" w:sz="8" w:space="0" w:color="000000"/>
            </w:tcBorders>
            <w:vAlign w:val="center"/>
            <w:hideMark/>
          </w:tcPr>
          <w:p w14:paraId="6E5C4951" w14:textId="4F7C48DC" w:rsidR="001B413F" w:rsidRDefault="001B413F" w:rsidP="001B413F">
            <w:pPr>
              <w:pStyle w:val="biaogeright"/>
              <w:wordWrap w:val="0"/>
              <w:rPr>
                <w:rFonts w:hint="eastAsia"/>
              </w:rPr>
            </w:pPr>
            <w:r w:rsidRPr="006317A8">
              <w:rPr>
                <w:rFonts w:hAnsi="等线"/>
                <w:color w:val="000000"/>
              </w:rPr>
              <w:t>-</w:t>
            </w:r>
          </w:p>
        </w:tc>
        <w:tc>
          <w:tcPr>
            <w:tcW w:w="1816" w:type="dxa"/>
            <w:tcBorders>
              <w:top w:val="single" w:sz="8" w:space="0" w:color="000000"/>
              <w:left w:val="single" w:sz="8" w:space="0" w:color="000000"/>
              <w:bottom w:val="single" w:sz="6" w:space="0" w:color="000000"/>
              <w:right w:val="single" w:sz="8" w:space="0" w:color="000000"/>
            </w:tcBorders>
            <w:vAlign w:val="center"/>
            <w:hideMark/>
          </w:tcPr>
          <w:p w14:paraId="65759B84" w14:textId="6E0410D6" w:rsidR="001B413F" w:rsidRDefault="001B413F" w:rsidP="001B413F">
            <w:pPr>
              <w:pStyle w:val="biaogeright"/>
              <w:wordWrap w:val="0"/>
              <w:rPr>
                <w:rFonts w:hint="eastAsia"/>
              </w:rPr>
            </w:pPr>
            <w:r w:rsidRPr="006317A8">
              <w:rPr>
                <w:rFonts w:hAnsi="等线"/>
                <w:color w:val="000000"/>
              </w:rPr>
              <w:t>-</w:t>
            </w:r>
          </w:p>
        </w:tc>
      </w:tr>
      <w:tr w:rsidR="001B413F" w14:paraId="66A7FF3B" w14:textId="77777777" w:rsidTr="001B413F">
        <w:tc>
          <w:tcPr>
            <w:tcW w:w="1210" w:type="dxa"/>
            <w:tcBorders>
              <w:top w:val="single" w:sz="8" w:space="0" w:color="000000"/>
              <w:left w:val="single" w:sz="8" w:space="0" w:color="000000"/>
              <w:bottom w:val="single" w:sz="6" w:space="0" w:color="000000"/>
              <w:right w:val="single" w:sz="8" w:space="0" w:color="000000"/>
            </w:tcBorders>
            <w:vAlign w:val="center"/>
            <w:hideMark/>
          </w:tcPr>
          <w:p w14:paraId="6FB16D6A" w14:textId="77777777" w:rsidR="001B413F" w:rsidRDefault="001B413F" w:rsidP="001B413F">
            <w:pPr>
              <w:widowControl/>
              <w:jc w:val="left"/>
              <w:rPr>
                <w:rFonts w:cs="宋体"/>
                <w:kern w:val="0"/>
                <w:sz w:val="20"/>
                <w:szCs w:val="20"/>
              </w:rPr>
            </w:pPr>
          </w:p>
        </w:tc>
        <w:tc>
          <w:tcPr>
            <w:tcW w:w="3481" w:type="dxa"/>
            <w:tcBorders>
              <w:top w:val="single" w:sz="8" w:space="0" w:color="000000"/>
              <w:left w:val="single" w:sz="8" w:space="0" w:color="000000"/>
              <w:bottom w:val="single" w:sz="6" w:space="0" w:color="000000"/>
              <w:right w:val="single" w:sz="8" w:space="0" w:color="000000"/>
            </w:tcBorders>
            <w:vAlign w:val="center"/>
            <w:hideMark/>
          </w:tcPr>
          <w:p w14:paraId="04BF7B6A" w14:textId="77777777" w:rsidR="001B413F" w:rsidRDefault="001B413F" w:rsidP="001B413F">
            <w:pPr>
              <w:pStyle w:val="biaogeleft"/>
              <w:wordWrap w:val="0"/>
              <w:rPr>
                <w:rFonts w:hint="eastAsia"/>
              </w:rPr>
            </w:pPr>
            <w:r>
              <w:rPr>
                <w:rFonts w:hAnsi="等线" w:hint="eastAsia"/>
                <w:color w:val="000000"/>
              </w:rPr>
              <w:t>其中：政策性金融债</w:t>
            </w:r>
          </w:p>
        </w:tc>
        <w:tc>
          <w:tcPr>
            <w:tcW w:w="2573" w:type="dxa"/>
            <w:tcBorders>
              <w:top w:val="single" w:sz="8" w:space="0" w:color="000000"/>
              <w:left w:val="single" w:sz="8" w:space="0" w:color="000000"/>
              <w:bottom w:val="single" w:sz="6" w:space="0" w:color="000000"/>
              <w:right w:val="single" w:sz="8" w:space="0" w:color="000000"/>
            </w:tcBorders>
            <w:vAlign w:val="center"/>
            <w:hideMark/>
          </w:tcPr>
          <w:p w14:paraId="40EE4762" w14:textId="2D06D7AE" w:rsidR="001B413F" w:rsidRDefault="001B413F" w:rsidP="001B413F">
            <w:pPr>
              <w:pStyle w:val="biaogeright"/>
              <w:wordWrap w:val="0"/>
              <w:rPr>
                <w:rFonts w:hint="eastAsia"/>
              </w:rPr>
            </w:pPr>
            <w:r w:rsidRPr="006317A8">
              <w:rPr>
                <w:rFonts w:hAnsi="等线"/>
                <w:color w:val="000000"/>
              </w:rPr>
              <w:t>-</w:t>
            </w:r>
          </w:p>
        </w:tc>
        <w:tc>
          <w:tcPr>
            <w:tcW w:w="1816" w:type="dxa"/>
            <w:tcBorders>
              <w:top w:val="single" w:sz="8" w:space="0" w:color="000000"/>
              <w:left w:val="single" w:sz="8" w:space="0" w:color="000000"/>
              <w:bottom w:val="single" w:sz="6" w:space="0" w:color="000000"/>
              <w:right w:val="single" w:sz="8" w:space="0" w:color="000000"/>
            </w:tcBorders>
            <w:vAlign w:val="center"/>
            <w:hideMark/>
          </w:tcPr>
          <w:p w14:paraId="10354515" w14:textId="7A8D0473" w:rsidR="001B413F" w:rsidRDefault="001B413F" w:rsidP="001B413F">
            <w:pPr>
              <w:pStyle w:val="biaogeright"/>
              <w:wordWrap w:val="0"/>
              <w:rPr>
                <w:rFonts w:hint="eastAsia"/>
              </w:rPr>
            </w:pPr>
            <w:r w:rsidRPr="006317A8">
              <w:rPr>
                <w:rFonts w:hAnsi="等线"/>
                <w:color w:val="000000"/>
              </w:rPr>
              <w:t>-</w:t>
            </w:r>
          </w:p>
        </w:tc>
      </w:tr>
      <w:tr w:rsidR="001B413F" w14:paraId="70BB379D" w14:textId="77777777" w:rsidTr="001B413F">
        <w:tc>
          <w:tcPr>
            <w:tcW w:w="1210" w:type="dxa"/>
            <w:tcBorders>
              <w:top w:val="single" w:sz="8" w:space="0" w:color="000000"/>
              <w:left w:val="single" w:sz="8" w:space="0" w:color="000000"/>
              <w:bottom w:val="single" w:sz="6" w:space="0" w:color="000000"/>
              <w:right w:val="single" w:sz="8" w:space="0" w:color="000000"/>
            </w:tcBorders>
            <w:vAlign w:val="center"/>
            <w:hideMark/>
          </w:tcPr>
          <w:p w14:paraId="55F77B02" w14:textId="77777777" w:rsidR="001B413F" w:rsidRDefault="001B413F" w:rsidP="001B413F">
            <w:pPr>
              <w:pStyle w:val="biaogecenter"/>
              <w:wordWrap w:val="0"/>
              <w:rPr>
                <w:rFonts w:hint="eastAsia"/>
              </w:rPr>
            </w:pPr>
            <w:r>
              <w:rPr>
                <w:rFonts w:hAnsi="等线"/>
                <w:color w:val="000000"/>
              </w:rPr>
              <w:t>4</w:t>
            </w:r>
          </w:p>
        </w:tc>
        <w:tc>
          <w:tcPr>
            <w:tcW w:w="3481" w:type="dxa"/>
            <w:tcBorders>
              <w:top w:val="single" w:sz="8" w:space="0" w:color="000000"/>
              <w:left w:val="single" w:sz="8" w:space="0" w:color="000000"/>
              <w:bottom w:val="single" w:sz="6" w:space="0" w:color="000000"/>
              <w:right w:val="single" w:sz="8" w:space="0" w:color="000000"/>
            </w:tcBorders>
            <w:vAlign w:val="center"/>
            <w:hideMark/>
          </w:tcPr>
          <w:p w14:paraId="1236F03E" w14:textId="77777777" w:rsidR="001B413F" w:rsidRDefault="001B413F" w:rsidP="001B413F">
            <w:pPr>
              <w:pStyle w:val="biaogeleft"/>
              <w:wordWrap w:val="0"/>
              <w:rPr>
                <w:rFonts w:hint="eastAsia"/>
              </w:rPr>
            </w:pPr>
            <w:r>
              <w:rPr>
                <w:rFonts w:hAnsi="等线" w:hint="eastAsia"/>
                <w:color w:val="000000"/>
              </w:rPr>
              <w:t>企业债券</w:t>
            </w:r>
          </w:p>
        </w:tc>
        <w:tc>
          <w:tcPr>
            <w:tcW w:w="2573" w:type="dxa"/>
            <w:tcBorders>
              <w:top w:val="single" w:sz="8" w:space="0" w:color="000000"/>
              <w:left w:val="single" w:sz="8" w:space="0" w:color="000000"/>
              <w:bottom w:val="single" w:sz="6" w:space="0" w:color="000000"/>
              <w:right w:val="single" w:sz="8" w:space="0" w:color="000000"/>
            </w:tcBorders>
            <w:vAlign w:val="center"/>
            <w:hideMark/>
          </w:tcPr>
          <w:p w14:paraId="60AB3F4E" w14:textId="0EF0B29B" w:rsidR="001B413F" w:rsidRDefault="001B413F" w:rsidP="001B413F">
            <w:pPr>
              <w:pStyle w:val="biaogeright"/>
              <w:wordWrap w:val="0"/>
              <w:rPr>
                <w:rFonts w:hint="eastAsia"/>
              </w:rPr>
            </w:pPr>
            <w:r w:rsidRPr="006317A8">
              <w:rPr>
                <w:rFonts w:hAnsi="等线"/>
                <w:color w:val="000000"/>
              </w:rPr>
              <w:t>-</w:t>
            </w:r>
          </w:p>
        </w:tc>
        <w:tc>
          <w:tcPr>
            <w:tcW w:w="1816" w:type="dxa"/>
            <w:tcBorders>
              <w:top w:val="single" w:sz="8" w:space="0" w:color="000000"/>
              <w:left w:val="single" w:sz="8" w:space="0" w:color="000000"/>
              <w:bottom w:val="single" w:sz="6" w:space="0" w:color="000000"/>
              <w:right w:val="single" w:sz="8" w:space="0" w:color="000000"/>
            </w:tcBorders>
            <w:vAlign w:val="center"/>
            <w:hideMark/>
          </w:tcPr>
          <w:p w14:paraId="24A889CD" w14:textId="43009D7B" w:rsidR="001B413F" w:rsidRDefault="001B413F" w:rsidP="001B413F">
            <w:pPr>
              <w:pStyle w:val="biaogeright"/>
              <w:wordWrap w:val="0"/>
              <w:rPr>
                <w:rFonts w:hint="eastAsia"/>
              </w:rPr>
            </w:pPr>
            <w:r w:rsidRPr="006317A8">
              <w:rPr>
                <w:rFonts w:hAnsi="等线"/>
                <w:color w:val="000000"/>
              </w:rPr>
              <w:t>-</w:t>
            </w:r>
          </w:p>
        </w:tc>
      </w:tr>
      <w:tr w:rsidR="001B413F" w14:paraId="599E4CD8" w14:textId="77777777" w:rsidTr="001B413F">
        <w:tc>
          <w:tcPr>
            <w:tcW w:w="1210" w:type="dxa"/>
            <w:tcBorders>
              <w:top w:val="single" w:sz="8" w:space="0" w:color="000000"/>
              <w:left w:val="single" w:sz="8" w:space="0" w:color="000000"/>
              <w:bottom w:val="single" w:sz="6" w:space="0" w:color="000000"/>
              <w:right w:val="single" w:sz="8" w:space="0" w:color="000000"/>
            </w:tcBorders>
            <w:vAlign w:val="center"/>
            <w:hideMark/>
          </w:tcPr>
          <w:p w14:paraId="59518070" w14:textId="77777777" w:rsidR="001B413F" w:rsidRDefault="001B413F" w:rsidP="001B413F">
            <w:pPr>
              <w:pStyle w:val="biaogecenter"/>
              <w:wordWrap w:val="0"/>
              <w:rPr>
                <w:rFonts w:hint="eastAsia"/>
              </w:rPr>
            </w:pPr>
            <w:r>
              <w:rPr>
                <w:rFonts w:hAnsi="等线"/>
                <w:color w:val="000000"/>
              </w:rPr>
              <w:t>5</w:t>
            </w:r>
          </w:p>
        </w:tc>
        <w:tc>
          <w:tcPr>
            <w:tcW w:w="3481" w:type="dxa"/>
            <w:tcBorders>
              <w:top w:val="single" w:sz="8" w:space="0" w:color="000000"/>
              <w:left w:val="single" w:sz="8" w:space="0" w:color="000000"/>
              <w:bottom w:val="single" w:sz="6" w:space="0" w:color="000000"/>
              <w:right w:val="single" w:sz="8" w:space="0" w:color="000000"/>
            </w:tcBorders>
            <w:vAlign w:val="center"/>
            <w:hideMark/>
          </w:tcPr>
          <w:p w14:paraId="26B93303" w14:textId="77777777" w:rsidR="001B413F" w:rsidRDefault="001B413F" w:rsidP="001B413F">
            <w:pPr>
              <w:pStyle w:val="biaogeleft"/>
              <w:wordWrap w:val="0"/>
              <w:rPr>
                <w:rFonts w:hint="eastAsia"/>
              </w:rPr>
            </w:pPr>
            <w:r>
              <w:rPr>
                <w:rFonts w:hAnsi="等线" w:hint="eastAsia"/>
                <w:color w:val="000000"/>
              </w:rPr>
              <w:t>企业短期融资</w:t>
            </w:r>
            <w:proofErr w:type="gramStart"/>
            <w:r>
              <w:rPr>
                <w:rFonts w:hAnsi="等线" w:hint="eastAsia"/>
                <w:color w:val="000000"/>
              </w:rPr>
              <w:t>券</w:t>
            </w:r>
            <w:proofErr w:type="gramEnd"/>
          </w:p>
        </w:tc>
        <w:tc>
          <w:tcPr>
            <w:tcW w:w="2573" w:type="dxa"/>
            <w:tcBorders>
              <w:top w:val="single" w:sz="8" w:space="0" w:color="000000"/>
              <w:left w:val="single" w:sz="8" w:space="0" w:color="000000"/>
              <w:bottom w:val="single" w:sz="6" w:space="0" w:color="000000"/>
              <w:right w:val="single" w:sz="8" w:space="0" w:color="000000"/>
            </w:tcBorders>
            <w:vAlign w:val="center"/>
            <w:hideMark/>
          </w:tcPr>
          <w:p w14:paraId="29E6CA44" w14:textId="09A641DE" w:rsidR="001B413F" w:rsidRDefault="001B413F" w:rsidP="001B413F">
            <w:pPr>
              <w:pStyle w:val="biaogeright"/>
              <w:wordWrap w:val="0"/>
              <w:rPr>
                <w:rFonts w:hint="eastAsia"/>
              </w:rPr>
            </w:pPr>
            <w:r w:rsidRPr="006317A8">
              <w:rPr>
                <w:rFonts w:hAnsi="等线"/>
                <w:color w:val="000000"/>
              </w:rPr>
              <w:t>-</w:t>
            </w:r>
          </w:p>
        </w:tc>
        <w:tc>
          <w:tcPr>
            <w:tcW w:w="1816" w:type="dxa"/>
            <w:tcBorders>
              <w:top w:val="single" w:sz="8" w:space="0" w:color="000000"/>
              <w:left w:val="single" w:sz="8" w:space="0" w:color="000000"/>
              <w:bottom w:val="single" w:sz="6" w:space="0" w:color="000000"/>
              <w:right w:val="single" w:sz="8" w:space="0" w:color="000000"/>
            </w:tcBorders>
            <w:vAlign w:val="center"/>
            <w:hideMark/>
          </w:tcPr>
          <w:p w14:paraId="15EA53D2" w14:textId="4A398E61" w:rsidR="001B413F" w:rsidRDefault="001B413F" w:rsidP="001B413F">
            <w:pPr>
              <w:pStyle w:val="biaogeright"/>
              <w:wordWrap w:val="0"/>
              <w:rPr>
                <w:rFonts w:hint="eastAsia"/>
              </w:rPr>
            </w:pPr>
            <w:r w:rsidRPr="006317A8">
              <w:rPr>
                <w:rFonts w:hAnsi="等线"/>
                <w:color w:val="000000"/>
              </w:rPr>
              <w:t>-</w:t>
            </w:r>
          </w:p>
        </w:tc>
      </w:tr>
      <w:tr w:rsidR="001B413F" w14:paraId="475FDED9" w14:textId="77777777" w:rsidTr="001B413F">
        <w:tc>
          <w:tcPr>
            <w:tcW w:w="1210" w:type="dxa"/>
            <w:tcBorders>
              <w:top w:val="single" w:sz="8" w:space="0" w:color="000000"/>
              <w:left w:val="single" w:sz="8" w:space="0" w:color="000000"/>
              <w:bottom w:val="single" w:sz="6" w:space="0" w:color="000000"/>
              <w:right w:val="single" w:sz="8" w:space="0" w:color="000000"/>
            </w:tcBorders>
            <w:vAlign w:val="center"/>
            <w:hideMark/>
          </w:tcPr>
          <w:p w14:paraId="28F6E518" w14:textId="77777777" w:rsidR="001B413F" w:rsidRDefault="001B413F" w:rsidP="001B413F">
            <w:pPr>
              <w:pStyle w:val="biaogecenter"/>
              <w:wordWrap w:val="0"/>
              <w:rPr>
                <w:rFonts w:hint="eastAsia"/>
              </w:rPr>
            </w:pPr>
            <w:r>
              <w:rPr>
                <w:rFonts w:hAnsi="等线"/>
                <w:color w:val="000000"/>
              </w:rPr>
              <w:t>6</w:t>
            </w:r>
          </w:p>
        </w:tc>
        <w:tc>
          <w:tcPr>
            <w:tcW w:w="3481" w:type="dxa"/>
            <w:tcBorders>
              <w:top w:val="single" w:sz="8" w:space="0" w:color="000000"/>
              <w:left w:val="single" w:sz="8" w:space="0" w:color="000000"/>
              <w:bottom w:val="single" w:sz="6" w:space="0" w:color="000000"/>
              <w:right w:val="single" w:sz="8" w:space="0" w:color="000000"/>
            </w:tcBorders>
            <w:vAlign w:val="center"/>
            <w:hideMark/>
          </w:tcPr>
          <w:p w14:paraId="22BF8F67" w14:textId="77777777" w:rsidR="001B413F" w:rsidRDefault="001B413F" w:rsidP="001B413F">
            <w:pPr>
              <w:pStyle w:val="biaogeleft"/>
              <w:wordWrap w:val="0"/>
              <w:rPr>
                <w:rFonts w:hint="eastAsia"/>
              </w:rPr>
            </w:pPr>
            <w:r>
              <w:rPr>
                <w:rFonts w:hAnsi="等线" w:hint="eastAsia"/>
                <w:color w:val="000000"/>
              </w:rPr>
              <w:t>中期票据</w:t>
            </w:r>
          </w:p>
        </w:tc>
        <w:tc>
          <w:tcPr>
            <w:tcW w:w="2573" w:type="dxa"/>
            <w:tcBorders>
              <w:top w:val="single" w:sz="8" w:space="0" w:color="000000"/>
              <w:left w:val="single" w:sz="8" w:space="0" w:color="000000"/>
              <w:bottom w:val="single" w:sz="6" w:space="0" w:color="000000"/>
              <w:right w:val="single" w:sz="8" w:space="0" w:color="000000"/>
            </w:tcBorders>
            <w:vAlign w:val="center"/>
            <w:hideMark/>
          </w:tcPr>
          <w:p w14:paraId="29ED3969" w14:textId="1D1809F0" w:rsidR="001B413F" w:rsidRDefault="001B413F" w:rsidP="001B413F">
            <w:pPr>
              <w:pStyle w:val="biaogeright"/>
              <w:wordWrap w:val="0"/>
              <w:rPr>
                <w:rFonts w:hint="eastAsia"/>
              </w:rPr>
            </w:pPr>
            <w:r w:rsidRPr="006317A8">
              <w:rPr>
                <w:rFonts w:hAnsi="等线"/>
                <w:color w:val="000000"/>
              </w:rPr>
              <w:t>-</w:t>
            </w:r>
          </w:p>
        </w:tc>
        <w:tc>
          <w:tcPr>
            <w:tcW w:w="1816" w:type="dxa"/>
            <w:tcBorders>
              <w:top w:val="single" w:sz="8" w:space="0" w:color="000000"/>
              <w:left w:val="single" w:sz="8" w:space="0" w:color="000000"/>
              <w:bottom w:val="single" w:sz="6" w:space="0" w:color="000000"/>
              <w:right w:val="single" w:sz="8" w:space="0" w:color="000000"/>
            </w:tcBorders>
            <w:vAlign w:val="center"/>
            <w:hideMark/>
          </w:tcPr>
          <w:p w14:paraId="0CC04691" w14:textId="3E4208D7" w:rsidR="001B413F" w:rsidRDefault="001B413F" w:rsidP="001B413F">
            <w:pPr>
              <w:pStyle w:val="biaogeright"/>
              <w:wordWrap w:val="0"/>
              <w:rPr>
                <w:rFonts w:hint="eastAsia"/>
              </w:rPr>
            </w:pPr>
            <w:r w:rsidRPr="006317A8">
              <w:rPr>
                <w:rFonts w:hAnsi="等线"/>
                <w:color w:val="000000"/>
              </w:rPr>
              <w:t>-</w:t>
            </w:r>
          </w:p>
        </w:tc>
      </w:tr>
      <w:tr w:rsidR="001B413F" w14:paraId="0EAAD1BF" w14:textId="77777777" w:rsidTr="001B413F">
        <w:tc>
          <w:tcPr>
            <w:tcW w:w="1210" w:type="dxa"/>
            <w:tcBorders>
              <w:top w:val="single" w:sz="8" w:space="0" w:color="000000"/>
              <w:left w:val="single" w:sz="8" w:space="0" w:color="000000"/>
              <w:bottom w:val="single" w:sz="6" w:space="0" w:color="000000"/>
              <w:right w:val="single" w:sz="8" w:space="0" w:color="000000"/>
            </w:tcBorders>
            <w:vAlign w:val="center"/>
            <w:hideMark/>
          </w:tcPr>
          <w:p w14:paraId="43F5112F" w14:textId="77777777" w:rsidR="001B413F" w:rsidRDefault="001B413F" w:rsidP="001B413F">
            <w:pPr>
              <w:pStyle w:val="biaogecenter"/>
              <w:wordWrap w:val="0"/>
              <w:rPr>
                <w:rFonts w:hint="eastAsia"/>
              </w:rPr>
            </w:pPr>
            <w:r>
              <w:rPr>
                <w:rFonts w:hAnsi="等线"/>
                <w:color w:val="000000"/>
              </w:rPr>
              <w:t>7</w:t>
            </w:r>
          </w:p>
        </w:tc>
        <w:tc>
          <w:tcPr>
            <w:tcW w:w="3481" w:type="dxa"/>
            <w:tcBorders>
              <w:top w:val="single" w:sz="8" w:space="0" w:color="000000"/>
              <w:left w:val="single" w:sz="8" w:space="0" w:color="000000"/>
              <w:bottom w:val="single" w:sz="6" w:space="0" w:color="000000"/>
              <w:right w:val="single" w:sz="8" w:space="0" w:color="000000"/>
            </w:tcBorders>
            <w:vAlign w:val="center"/>
            <w:hideMark/>
          </w:tcPr>
          <w:p w14:paraId="2BA1168F" w14:textId="77777777" w:rsidR="001B413F" w:rsidRDefault="001B413F" w:rsidP="001B413F">
            <w:pPr>
              <w:pStyle w:val="biaogeleft"/>
              <w:wordWrap w:val="0"/>
              <w:rPr>
                <w:rFonts w:hint="eastAsia"/>
              </w:rPr>
            </w:pPr>
            <w:r>
              <w:rPr>
                <w:rFonts w:hAnsi="等线" w:hint="eastAsia"/>
                <w:color w:val="000000"/>
              </w:rPr>
              <w:t>可转债（可交换债）</w:t>
            </w:r>
          </w:p>
        </w:tc>
        <w:tc>
          <w:tcPr>
            <w:tcW w:w="2573" w:type="dxa"/>
            <w:tcBorders>
              <w:top w:val="single" w:sz="8" w:space="0" w:color="000000"/>
              <w:left w:val="single" w:sz="8" w:space="0" w:color="000000"/>
              <w:bottom w:val="single" w:sz="6" w:space="0" w:color="000000"/>
              <w:right w:val="single" w:sz="8" w:space="0" w:color="000000"/>
            </w:tcBorders>
            <w:vAlign w:val="center"/>
            <w:hideMark/>
          </w:tcPr>
          <w:p w14:paraId="5DEB47A9" w14:textId="0659F2FB" w:rsidR="001B413F" w:rsidRDefault="001B413F" w:rsidP="001B413F">
            <w:pPr>
              <w:pStyle w:val="biaogeright"/>
              <w:wordWrap w:val="0"/>
              <w:rPr>
                <w:rFonts w:hint="eastAsia"/>
              </w:rPr>
            </w:pPr>
            <w:r w:rsidRPr="006317A8">
              <w:rPr>
                <w:rFonts w:hAnsi="等线"/>
                <w:color w:val="000000"/>
              </w:rPr>
              <w:t>-</w:t>
            </w:r>
          </w:p>
        </w:tc>
        <w:tc>
          <w:tcPr>
            <w:tcW w:w="1816" w:type="dxa"/>
            <w:tcBorders>
              <w:top w:val="single" w:sz="8" w:space="0" w:color="000000"/>
              <w:left w:val="single" w:sz="8" w:space="0" w:color="000000"/>
              <w:bottom w:val="single" w:sz="6" w:space="0" w:color="000000"/>
              <w:right w:val="single" w:sz="8" w:space="0" w:color="000000"/>
            </w:tcBorders>
            <w:vAlign w:val="center"/>
            <w:hideMark/>
          </w:tcPr>
          <w:p w14:paraId="262904D3" w14:textId="43CB369D" w:rsidR="001B413F" w:rsidRDefault="001B413F" w:rsidP="001B413F">
            <w:pPr>
              <w:pStyle w:val="biaogeright"/>
              <w:wordWrap w:val="0"/>
              <w:rPr>
                <w:rFonts w:hint="eastAsia"/>
              </w:rPr>
            </w:pPr>
            <w:r w:rsidRPr="006317A8">
              <w:rPr>
                <w:rFonts w:hAnsi="等线"/>
                <w:color w:val="000000"/>
              </w:rPr>
              <w:t>-</w:t>
            </w:r>
          </w:p>
        </w:tc>
      </w:tr>
      <w:tr w:rsidR="001B413F" w14:paraId="3C4E200E" w14:textId="77777777" w:rsidTr="001B413F">
        <w:tc>
          <w:tcPr>
            <w:tcW w:w="1210" w:type="dxa"/>
            <w:tcBorders>
              <w:top w:val="single" w:sz="8" w:space="0" w:color="000000"/>
              <w:left w:val="single" w:sz="8" w:space="0" w:color="000000"/>
              <w:bottom w:val="single" w:sz="6" w:space="0" w:color="000000"/>
              <w:right w:val="single" w:sz="8" w:space="0" w:color="000000"/>
            </w:tcBorders>
            <w:vAlign w:val="center"/>
            <w:hideMark/>
          </w:tcPr>
          <w:p w14:paraId="4A3D3D9D" w14:textId="77777777" w:rsidR="001B413F" w:rsidRDefault="001B413F" w:rsidP="001B413F">
            <w:pPr>
              <w:pStyle w:val="biaogecenter"/>
              <w:wordWrap w:val="0"/>
              <w:rPr>
                <w:rFonts w:hint="eastAsia"/>
              </w:rPr>
            </w:pPr>
            <w:r>
              <w:rPr>
                <w:rFonts w:hAnsi="等线"/>
                <w:color w:val="000000"/>
              </w:rPr>
              <w:t>8</w:t>
            </w:r>
          </w:p>
        </w:tc>
        <w:tc>
          <w:tcPr>
            <w:tcW w:w="3481" w:type="dxa"/>
            <w:tcBorders>
              <w:top w:val="single" w:sz="8" w:space="0" w:color="000000"/>
              <w:left w:val="single" w:sz="8" w:space="0" w:color="000000"/>
              <w:bottom w:val="single" w:sz="6" w:space="0" w:color="000000"/>
              <w:right w:val="single" w:sz="8" w:space="0" w:color="000000"/>
            </w:tcBorders>
            <w:vAlign w:val="center"/>
            <w:hideMark/>
          </w:tcPr>
          <w:p w14:paraId="2A7196D7" w14:textId="77777777" w:rsidR="001B413F" w:rsidRDefault="001B413F" w:rsidP="001B413F">
            <w:pPr>
              <w:pStyle w:val="biaogeleft"/>
              <w:wordWrap w:val="0"/>
              <w:rPr>
                <w:rFonts w:hint="eastAsia"/>
              </w:rPr>
            </w:pPr>
            <w:r>
              <w:rPr>
                <w:rFonts w:hAnsi="等线" w:hint="eastAsia"/>
                <w:color w:val="000000"/>
              </w:rPr>
              <w:t>同业存单</w:t>
            </w:r>
          </w:p>
        </w:tc>
        <w:tc>
          <w:tcPr>
            <w:tcW w:w="2573" w:type="dxa"/>
            <w:tcBorders>
              <w:top w:val="single" w:sz="8" w:space="0" w:color="000000"/>
              <w:left w:val="single" w:sz="8" w:space="0" w:color="000000"/>
              <w:bottom w:val="single" w:sz="6" w:space="0" w:color="000000"/>
              <w:right w:val="single" w:sz="8" w:space="0" w:color="000000"/>
            </w:tcBorders>
            <w:vAlign w:val="center"/>
            <w:hideMark/>
          </w:tcPr>
          <w:p w14:paraId="62B471AC" w14:textId="65FAFE0C" w:rsidR="001B413F" w:rsidRDefault="001B413F" w:rsidP="001B413F">
            <w:pPr>
              <w:pStyle w:val="biaogeright"/>
              <w:wordWrap w:val="0"/>
              <w:rPr>
                <w:rFonts w:hint="eastAsia"/>
              </w:rPr>
            </w:pPr>
            <w:r w:rsidRPr="006317A8">
              <w:rPr>
                <w:rFonts w:hAnsi="等线"/>
                <w:color w:val="000000"/>
              </w:rPr>
              <w:t>-</w:t>
            </w:r>
          </w:p>
        </w:tc>
        <w:tc>
          <w:tcPr>
            <w:tcW w:w="1816" w:type="dxa"/>
            <w:tcBorders>
              <w:top w:val="single" w:sz="8" w:space="0" w:color="000000"/>
              <w:left w:val="single" w:sz="8" w:space="0" w:color="000000"/>
              <w:bottom w:val="single" w:sz="6" w:space="0" w:color="000000"/>
              <w:right w:val="single" w:sz="8" w:space="0" w:color="000000"/>
            </w:tcBorders>
            <w:vAlign w:val="center"/>
            <w:hideMark/>
          </w:tcPr>
          <w:p w14:paraId="3F79BCD5" w14:textId="68F10A78" w:rsidR="001B413F" w:rsidRDefault="001B413F" w:rsidP="001B413F">
            <w:pPr>
              <w:pStyle w:val="biaogeright"/>
              <w:wordWrap w:val="0"/>
              <w:rPr>
                <w:rFonts w:hint="eastAsia"/>
              </w:rPr>
            </w:pPr>
            <w:r w:rsidRPr="006317A8">
              <w:rPr>
                <w:rFonts w:hAnsi="等线"/>
                <w:color w:val="000000"/>
              </w:rPr>
              <w:t>-</w:t>
            </w:r>
          </w:p>
        </w:tc>
      </w:tr>
      <w:tr w:rsidR="001B413F" w14:paraId="716EC552" w14:textId="77777777" w:rsidTr="001B413F">
        <w:tc>
          <w:tcPr>
            <w:tcW w:w="1210" w:type="dxa"/>
            <w:tcBorders>
              <w:top w:val="single" w:sz="8" w:space="0" w:color="000000"/>
              <w:left w:val="single" w:sz="8" w:space="0" w:color="000000"/>
              <w:bottom w:val="single" w:sz="6" w:space="0" w:color="000000"/>
              <w:right w:val="single" w:sz="8" w:space="0" w:color="000000"/>
            </w:tcBorders>
            <w:vAlign w:val="center"/>
            <w:hideMark/>
          </w:tcPr>
          <w:p w14:paraId="1C308969" w14:textId="77777777" w:rsidR="001B413F" w:rsidRDefault="001B413F" w:rsidP="001B413F">
            <w:pPr>
              <w:pStyle w:val="biaogecenter"/>
              <w:wordWrap w:val="0"/>
              <w:rPr>
                <w:rFonts w:hint="eastAsia"/>
              </w:rPr>
            </w:pPr>
            <w:r>
              <w:rPr>
                <w:rFonts w:hAnsi="等线"/>
                <w:color w:val="000000"/>
              </w:rPr>
              <w:t>9</w:t>
            </w:r>
          </w:p>
        </w:tc>
        <w:tc>
          <w:tcPr>
            <w:tcW w:w="3481" w:type="dxa"/>
            <w:tcBorders>
              <w:top w:val="single" w:sz="8" w:space="0" w:color="000000"/>
              <w:left w:val="single" w:sz="8" w:space="0" w:color="000000"/>
              <w:bottom w:val="single" w:sz="6" w:space="0" w:color="000000"/>
              <w:right w:val="single" w:sz="8" w:space="0" w:color="000000"/>
            </w:tcBorders>
            <w:vAlign w:val="center"/>
            <w:hideMark/>
          </w:tcPr>
          <w:p w14:paraId="0D145033" w14:textId="77777777" w:rsidR="001B413F" w:rsidRDefault="001B413F" w:rsidP="001B413F">
            <w:pPr>
              <w:pStyle w:val="biaogeleft"/>
              <w:wordWrap w:val="0"/>
              <w:rPr>
                <w:rFonts w:hint="eastAsia"/>
              </w:rPr>
            </w:pPr>
            <w:r>
              <w:rPr>
                <w:rFonts w:hAnsi="等线" w:hint="eastAsia"/>
                <w:color w:val="000000"/>
              </w:rPr>
              <w:t>其他</w:t>
            </w:r>
          </w:p>
        </w:tc>
        <w:tc>
          <w:tcPr>
            <w:tcW w:w="2573" w:type="dxa"/>
            <w:tcBorders>
              <w:top w:val="single" w:sz="8" w:space="0" w:color="000000"/>
              <w:left w:val="single" w:sz="8" w:space="0" w:color="000000"/>
              <w:bottom w:val="single" w:sz="6" w:space="0" w:color="000000"/>
              <w:right w:val="single" w:sz="8" w:space="0" w:color="000000"/>
            </w:tcBorders>
            <w:vAlign w:val="center"/>
            <w:hideMark/>
          </w:tcPr>
          <w:p w14:paraId="5F5559D7" w14:textId="022B7DF5" w:rsidR="001B413F" w:rsidRDefault="001B413F" w:rsidP="001B413F">
            <w:pPr>
              <w:pStyle w:val="biaogeright"/>
              <w:wordWrap w:val="0"/>
              <w:rPr>
                <w:rFonts w:hint="eastAsia"/>
              </w:rPr>
            </w:pPr>
            <w:r w:rsidRPr="006317A8">
              <w:rPr>
                <w:rFonts w:hAnsi="等线"/>
                <w:color w:val="000000"/>
              </w:rPr>
              <w:t>-</w:t>
            </w:r>
          </w:p>
        </w:tc>
        <w:tc>
          <w:tcPr>
            <w:tcW w:w="1816" w:type="dxa"/>
            <w:tcBorders>
              <w:top w:val="single" w:sz="8" w:space="0" w:color="000000"/>
              <w:left w:val="single" w:sz="8" w:space="0" w:color="000000"/>
              <w:bottom w:val="single" w:sz="6" w:space="0" w:color="000000"/>
              <w:right w:val="single" w:sz="8" w:space="0" w:color="000000"/>
            </w:tcBorders>
            <w:vAlign w:val="center"/>
            <w:hideMark/>
          </w:tcPr>
          <w:p w14:paraId="6864787A" w14:textId="598BC3BE" w:rsidR="001B413F" w:rsidRDefault="001B413F" w:rsidP="001B413F">
            <w:pPr>
              <w:pStyle w:val="biaogeright"/>
              <w:wordWrap w:val="0"/>
              <w:rPr>
                <w:rFonts w:hint="eastAsia"/>
              </w:rPr>
            </w:pPr>
            <w:r w:rsidRPr="006317A8">
              <w:rPr>
                <w:rFonts w:hAnsi="等线"/>
                <w:color w:val="000000"/>
              </w:rPr>
              <w:t>-</w:t>
            </w:r>
          </w:p>
        </w:tc>
      </w:tr>
      <w:tr w:rsidR="001B413F" w14:paraId="4943AA39" w14:textId="77777777" w:rsidTr="001B413F">
        <w:tc>
          <w:tcPr>
            <w:tcW w:w="1210" w:type="dxa"/>
            <w:tcBorders>
              <w:top w:val="single" w:sz="8" w:space="0" w:color="000000"/>
              <w:left w:val="single" w:sz="8" w:space="0" w:color="000000"/>
              <w:bottom w:val="single" w:sz="6" w:space="0" w:color="000000"/>
              <w:right w:val="single" w:sz="8" w:space="0" w:color="000000"/>
            </w:tcBorders>
            <w:vAlign w:val="center"/>
            <w:hideMark/>
          </w:tcPr>
          <w:p w14:paraId="4194D54C" w14:textId="77777777" w:rsidR="001B413F" w:rsidRDefault="001B413F" w:rsidP="001B413F">
            <w:pPr>
              <w:pStyle w:val="biaogecenter"/>
              <w:wordWrap w:val="0"/>
              <w:rPr>
                <w:rFonts w:hint="eastAsia"/>
              </w:rPr>
            </w:pPr>
            <w:r>
              <w:rPr>
                <w:rFonts w:hAnsi="等线"/>
                <w:color w:val="000000"/>
              </w:rPr>
              <w:t>10</w:t>
            </w:r>
          </w:p>
        </w:tc>
        <w:tc>
          <w:tcPr>
            <w:tcW w:w="3481" w:type="dxa"/>
            <w:tcBorders>
              <w:top w:val="single" w:sz="8" w:space="0" w:color="000000"/>
              <w:left w:val="single" w:sz="8" w:space="0" w:color="000000"/>
              <w:bottom w:val="single" w:sz="6" w:space="0" w:color="000000"/>
              <w:right w:val="single" w:sz="8" w:space="0" w:color="000000"/>
            </w:tcBorders>
            <w:vAlign w:val="center"/>
            <w:hideMark/>
          </w:tcPr>
          <w:p w14:paraId="05C79DDA" w14:textId="77777777" w:rsidR="001B413F" w:rsidRDefault="001B413F" w:rsidP="001B413F">
            <w:pPr>
              <w:pStyle w:val="biaogeleft"/>
              <w:wordWrap w:val="0"/>
              <w:rPr>
                <w:rFonts w:hint="eastAsia"/>
              </w:rPr>
            </w:pPr>
            <w:r>
              <w:rPr>
                <w:rFonts w:hAnsi="等线" w:hint="eastAsia"/>
                <w:color w:val="000000"/>
              </w:rPr>
              <w:t>合计</w:t>
            </w:r>
          </w:p>
        </w:tc>
        <w:tc>
          <w:tcPr>
            <w:tcW w:w="2573" w:type="dxa"/>
            <w:tcBorders>
              <w:top w:val="single" w:sz="8" w:space="0" w:color="000000"/>
              <w:left w:val="single" w:sz="8" w:space="0" w:color="000000"/>
              <w:bottom w:val="single" w:sz="6" w:space="0" w:color="000000"/>
              <w:right w:val="single" w:sz="8" w:space="0" w:color="000000"/>
            </w:tcBorders>
            <w:vAlign w:val="center"/>
            <w:hideMark/>
          </w:tcPr>
          <w:p w14:paraId="55FF747C" w14:textId="61E14284" w:rsidR="001B413F" w:rsidRDefault="001B413F" w:rsidP="001B413F">
            <w:pPr>
              <w:pStyle w:val="biaogeright"/>
              <w:wordWrap w:val="0"/>
              <w:rPr>
                <w:rFonts w:hint="eastAsia"/>
              </w:rPr>
            </w:pPr>
            <w:r w:rsidRPr="006317A8">
              <w:rPr>
                <w:rFonts w:hAnsi="等线"/>
                <w:color w:val="000000"/>
              </w:rPr>
              <w:t>200,881.48</w:t>
            </w:r>
          </w:p>
        </w:tc>
        <w:tc>
          <w:tcPr>
            <w:tcW w:w="1816" w:type="dxa"/>
            <w:tcBorders>
              <w:top w:val="single" w:sz="8" w:space="0" w:color="000000"/>
              <w:left w:val="single" w:sz="8" w:space="0" w:color="000000"/>
              <w:bottom w:val="single" w:sz="6" w:space="0" w:color="000000"/>
              <w:right w:val="single" w:sz="8" w:space="0" w:color="000000"/>
            </w:tcBorders>
            <w:vAlign w:val="center"/>
            <w:hideMark/>
          </w:tcPr>
          <w:p w14:paraId="44248D0B" w14:textId="19C1A16A" w:rsidR="001B413F" w:rsidRDefault="001B413F" w:rsidP="001B413F">
            <w:pPr>
              <w:pStyle w:val="biaogeright"/>
              <w:wordWrap w:val="0"/>
              <w:rPr>
                <w:rFonts w:hint="eastAsia"/>
              </w:rPr>
            </w:pPr>
            <w:r w:rsidRPr="006317A8">
              <w:rPr>
                <w:rFonts w:hAnsi="等线"/>
                <w:color w:val="000000"/>
              </w:rPr>
              <w:t>4.47</w:t>
            </w:r>
          </w:p>
        </w:tc>
      </w:tr>
    </w:tbl>
    <w:p w14:paraId="43E634A2" w14:textId="77777777" w:rsidR="004D3275" w:rsidRDefault="004D3275" w:rsidP="004D3275">
      <w:pPr>
        <w:spacing w:line="360" w:lineRule="auto"/>
        <w:ind w:firstLineChars="200" w:firstLine="480"/>
        <w:rPr>
          <w:rFonts w:asciiTheme="minorEastAsia" w:hAnsiTheme="minorEastAsia" w:cs="Times New Roman" w:hint="eastAsia"/>
          <w:sz w:val="24"/>
          <w:szCs w:val="24"/>
        </w:rPr>
      </w:pPr>
    </w:p>
    <w:p w14:paraId="717E0237"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sidRPr="007D5062">
        <w:rPr>
          <w:rFonts w:asciiTheme="minorEastAsia" w:hAnsiTheme="minorEastAsia" w:cs="Times New Roman" w:hint="eastAsia"/>
          <w:sz w:val="24"/>
          <w:szCs w:val="24"/>
        </w:rPr>
        <w:t>报告期末按公允价值占基金资产净值比例大小排序的前五名债券投资明细</w:t>
      </w:r>
    </w:p>
    <w:tbl>
      <w:tblPr>
        <w:tblW w:w="9080" w:type="dxa"/>
        <w:tblInd w:w="108" w:type="dxa"/>
        <w:tblLook w:val="04A0" w:firstRow="1" w:lastRow="0" w:firstColumn="1" w:lastColumn="0" w:noHBand="0" w:noVBand="1"/>
      </w:tblPr>
      <w:tblGrid>
        <w:gridCol w:w="472"/>
        <w:gridCol w:w="1334"/>
        <w:gridCol w:w="1924"/>
        <w:gridCol w:w="1490"/>
        <w:gridCol w:w="2075"/>
        <w:gridCol w:w="1785"/>
      </w:tblGrid>
      <w:tr w:rsidR="004D3275" w14:paraId="599A275E" w14:textId="77777777" w:rsidTr="001B413F">
        <w:tc>
          <w:tcPr>
            <w:tcW w:w="472" w:type="dxa"/>
            <w:tcBorders>
              <w:top w:val="single" w:sz="8" w:space="0" w:color="000000"/>
              <w:left w:val="single" w:sz="8" w:space="0" w:color="000000"/>
              <w:bottom w:val="single" w:sz="6" w:space="0" w:color="000000"/>
              <w:right w:val="single" w:sz="8" w:space="0" w:color="000000"/>
            </w:tcBorders>
            <w:vAlign w:val="center"/>
            <w:hideMark/>
          </w:tcPr>
          <w:p w14:paraId="0A27F03E" w14:textId="77777777" w:rsidR="004D3275" w:rsidRDefault="004D3275" w:rsidP="00114C8C">
            <w:pPr>
              <w:pStyle w:val="biaogecenter"/>
              <w:wordWrap w:val="0"/>
              <w:rPr>
                <w:rFonts w:hint="eastAsia"/>
              </w:rPr>
            </w:pPr>
            <w:r>
              <w:rPr>
                <w:rFonts w:hAnsi="等线" w:hint="eastAsia"/>
                <w:color w:val="000000"/>
              </w:rPr>
              <w:t>序号</w:t>
            </w:r>
          </w:p>
        </w:tc>
        <w:tc>
          <w:tcPr>
            <w:tcW w:w="1334" w:type="dxa"/>
            <w:tcBorders>
              <w:top w:val="single" w:sz="8" w:space="0" w:color="000000"/>
              <w:left w:val="single" w:sz="8" w:space="0" w:color="000000"/>
              <w:bottom w:val="single" w:sz="6" w:space="0" w:color="000000"/>
              <w:right w:val="single" w:sz="8" w:space="0" w:color="000000"/>
            </w:tcBorders>
            <w:vAlign w:val="center"/>
            <w:hideMark/>
          </w:tcPr>
          <w:p w14:paraId="39384288" w14:textId="77777777" w:rsidR="004D3275" w:rsidRDefault="004D3275" w:rsidP="00114C8C">
            <w:pPr>
              <w:pStyle w:val="biaogecenter"/>
              <w:wordWrap w:val="0"/>
              <w:rPr>
                <w:rFonts w:hint="eastAsia"/>
              </w:rPr>
            </w:pPr>
            <w:r>
              <w:rPr>
                <w:rFonts w:hAnsi="等线" w:hint="eastAsia"/>
                <w:color w:val="000000"/>
              </w:rPr>
              <w:t>债券代码</w:t>
            </w:r>
          </w:p>
        </w:tc>
        <w:tc>
          <w:tcPr>
            <w:tcW w:w="1924" w:type="dxa"/>
            <w:tcBorders>
              <w:top w:val="single" w:sz="8" w:space="0" w:color="000000"/>
              <w:left w:val="single" w:sz="8" w:space="0" w:color="000000"/>
              <w:bottom w:val="single" w:sz="6" w:space="0" w:color="000000"/>
              <w:right w:val="single" w:sz="8" w:space="0" w:color="000000"/>
            </w:tcBorders>
            <w:vAlign w:val="center"/>
            <w:hideMark/>
          </w:tcPr>
          <w:p w14:paraId="3E5D243D" w14:textId="77777777" w:rsidR="004D3275" w:rsidRDefault="004D3275" w:rsidP="00114C8C">
            <w:pPr>
              <w:pStyle w:val="biaogecenter"/>
              <w:wordWrap w:val="0"/>
              <w:rPr>
                <w:rFonts w:hint="eastAsia"/>
              </w:rPr>
            </w:pPr>
            <w:r>
              <w:rPr>
                <w:rFonts w:hAnsi="等线" w:hint="eastAsia"/>
                <w:color w:val="000000"/>
              </w:rPr>
              <w:t>债券名称</w:t>
            </w:r>
          </w:p>
        </w:tc>
        <w:tc>
          <w:tcPr>
            <w:tcW w:w="1490" w:type="dxa"/>
            <w:tcBorders>
              <w:top w:val="single" w:sz="8" w:space="0" w:color="000000"/>
              <w:left w:val="single" w:sz="8" w:space="0" w:color="000000"/>
              <w:bottom w:val="single" w:sz="6" w:space="0" w:color="000000"/>
              <w:right w:val="single" w:sz="8" w:space="0" w:color="000000"/>
            </w:tcBorders>
            <w:vAlign w:val="center"/>
            <w:hideMark/>
          </w:tcPr>
          <w:p w14:paraId="164400EB" w14:textId="77777777" w:rsidR="004D3275" w:rsidRDefault="004D3275" w:rsidP="00114C8C">
            <w:pPr>
              <w:pStyle w:val="biaogecenter"/>
              <w:wordWrap w:val="0"/>
              <w:rPr>
                <w:rFonts w:hint="eastAsia"/>
              </w:rPr>
            </w:pPr>
            <w:r>
              <w:rPr>
                <w:rFonts w:hAnsi="等线" w:hint="eastAsia"/>
                <w:color w:val="000000"/>
              </w:rPr>
              <w:t>数量（张）</w:t>
            </w:r>
          </w:p>
        </w:tc>
        <w:tc>
          <w:tcPr>
            <w:tcW w:w="2075" w:type="dxa"/>
            <w:tcBorders>
              <w:top w:val="single" w:sz="8" w:space="0" w:color="000000"/>
              <w:left w:val="single" w:sz="8" w:space="0" w:color="000000"/>
              <w:bottom w:val="single" w:sz="6" w:space="0" w:color="000000"/>
              <w:right w:val="single" w:sz="8" w:space="0" w:color="000000"/>
            </w:tcBorders>
            <w:vAlign w:val="center"/>
            <w:hideMark/>
          </w:tcPr>
          <w:p w14:paraId="49E3F928" w14:textId="77777777" w:rsidR="004D3275" w:rsidRDefault="004D3275" w:rsidP="00114C8C">
            <w:pPr>
              <w:pStyle w:val="biaogecenter"/>
              <w:wordWrap w:val="0"/>
              <w:rPr>
                <w:rFonts w:hint="eastAsia"/>
              </w:rPr>
            </w:pPr>
            <w:r>
              <w:rPr>
                <w:rFonts w:hAnsi="等线" w:hint="eastAsia"/>
                <w:color w:val="000000"/>
              </w:rPr>
              <w:t>公允价值</w:t>
            </w:r>
            <w:r>
              <w:rPr>
                <w:rFonts w:hAnsi="等线"/>
                <w:color w:val="000000"/>
              </w:rPr>
              <w:t>(</w:t>
            </w:r>
            <w:r>
              <w:rPr>
                <w:rFonts w:hAnsi="等线" w:hint="eastAsia"/>
                <w:color w:val="000000"/>
              </w:rPr>
              <w:t>元</w:t>
            </w:r>
            <w:r>
              <w:rPr>
                <w:rFonts w:hAnsi="等线"/>
                <w:color w:val="000000"/>
              </w:rPr>
              <w:t>)</w:t>
            </w:r>
          </w:p>
        </w:tc>
        <w:tc>
          <w:tcPr>
            <w:tcW w:w="1785" w:type="dxa"/>
            <w:tcBorders>
              <w:top w:val="single" w:sz="8" w:space="0" w:color="000000"/>
              <w:left w:val="single" w:sz="8" w:space="0" w:color="000000"/>
              <w:bottom w:val="single" w:sz="6" w:space="0" w:color="000000"/>
              <w:right w:val="single" w:sz="8" w:space="0" w:color="000000"/>
            </w:tcBorders>
            <w:vAlign w:val="center"/>
            <w:hideMark/>
          </w:tcPr>
          <w:p w14:paraId="49DA5FCD" w14:textId="77777777" w:rsidR="004D3275" w:rsidRDefault="004D3275" w:rsidP="00114C8C">
            <w:pPr>
              <w:pStyle w:val="biaogecenter"/>
              <w:wordWrap w:val="0"/>
              <w:rPr>
                <w:rFonts w:hint="eastAsia"/>
              </w:rPr>
            </w:pPr>
            <w:r>
              <w:rPr>
                <w:rFonts w:hAnsi="等线" w:hint="eastAsia"/>
                <w:color w:val="000000"/>
              </w:rPr>
              <w:t>占基金资产净值比例（％）</w:t>
            </w:r>
          </w:p>
        </w:tc>
      </w:tr>
      <w:tr w:rsidR="001B413F" w14:paraId="61E96796" w14:textId="77777777" w:rsidTr="001B413F">
        <w:tc>
          <w:tcPr>
            <w:tcW w:w="0" w:type="auto"/>
            <w:tcBorders>
              <w:top w:val="single" w:sz="8" w:space="0" w:color="000000"/>
              <w:left w:val="single" w:sz="8" w:space="0" w:color="000000"/>
              <w:bottom w:val="single" w:sz="6" w:space="0" w:color="000000"/>
              <w:right w:val="single" w:sz="8" w:space="0" w:color="000000"/>
            </w:tcBorders>
            <w:vAlign w:val="center"/>
            <w:hideMark/>
          </w:tcPr>
          <w:p w14:paraId="09E53092" w14:textId="77777777" w:rsidR="001B413F" w:rsidRDefault="001B413F" w:rsidP="001B413F">
            <w:pPr>
              <w:pStyle w:val="biaogecenter"/>
              <w:wordWrap w:val="0"/>
              <w:rPr>
                <w:rFonts w:hint="eastAsia"/>
              </w:rPr>
            </w:pPr>
            <w:r>
              <w:rPr>
                <w:rFonts w:hAnsi="等线"/>
                <w:color w:val="000000"/>
              </w:rPr>
              <w:t>1</w:t>
            </w:r>
          </w:p>
        </w:tc>
        <w:tc>
          <w:tcPr>
            <w:tcW w:w="1334" w:type="dxa"/>
            <w:tcBorders>
              <w:top w:val="single" w:sz="8" w:space="0" w:color="000000"/>
              <w:left w:val="single" w:sz="8" w:space="0" w:color="000000"/>
              <w:bottom w:val="single" w:sz="6" w:space="0" w:color="000000"/>
              <w:right w:val="single" w:sz="8" w:space="0" w:color="000000"/>
            </w:tcBorders>
            <w:vAlign w:val="center"/>
            <w:hideMark/>
          </w:tcPr>
          <w:p w14:paraId="38850856" w14:textId="345A22B8" w:rsidR="001B413F" w:rsidRDefault="001B413F" w:rsidP="001B413F">
            <w:pPr>
              <w:pStyle w:val="biaogeleft"/>
              <w:wordWrap w:val="0"/>
              <w:rPr>
                <w:rFonts w:hint="eastAsia"/>
              </w:rPr>
            </w:pPr>
            <w:r w:rsidRPr="006317A8">
              <w:rPr>
                <w:rFonts w:hAnsi="等线"/>
                <w:color w:val="000000"/>
              </w:rPr>
              <w:t>019766</w:t>
            </w:r>
          </w:p>
        </w:tc>
        <w:tc>
          <w:tcPr>
            <w:tcW w:w="1924" w:type="dxa"/>
            <w:tcBorders>
              <w:top w:val="single" w:sz="8" w:space="0" w:color="000000"/>
              <w:left w:val="single" w:sz="8" w:space="0" w:color="000000"/>
              <w:bottom w:val="single" w:sz="6" w:space="0" w:color="000000"/>
              <w:right w:val="single" w:sz="8" w:space="0" w:color="000000"/>
            </w:tcBorders>
            <w:vAlign w:val="center"/>
            <w:hideMark/>
          </w:tcPr>
          <w:p w14:paraId="629DA707" w14:textId="6512451A" w:rsidR="001B413F" w:rsidRDefault="001B413F" w:rsidP="001B413F">
            <w:pPr>
              <w:pStyle w:val="biaogeleft"/>
              <w:wordWrap w:val="0"/>
              <w:rPr>
                <w:rFonts w:hint="eastAsia"/>
              </w:rPr>
            </w:pPr>
            <w:r w:rsidRPr="006317A8">
              <w:rPr>
                <w:rFonts w:hAnsi="等线"/>
                <w:color w:val="000000"/>
              </w:rPr>
              <w:t>25</w:t>
            </w:r>
            <w:r w:rsidRPr="006317A8">
              <w:rPr>
                <w:rFonts w:hAnsi="等线" w:hint="eastAsia"/>
                <w:color w:val="000000"/>
              </w:rPr>
              <w:t>国债</w:t>
            </w:r>
            <w:r w:rsidRPr="006317A8">
              <w:rPr>
                <w:rFonts w:hAnsi="等线"/>
                <w:color w:val="000000"/>
              </w:rPr>
              <w:t>01</w:t>
            </w:r>
          </w:p>
        </w:tc>
        <w:tc>
          <w:tcPr>
            <w:tcW w:w="1490" w:type="dxa"/>
            <w:tcBorders>
              <w:top w:val="single" w:sz="8" w:space="0" w:color="000000"/>
              <w:left w:val="single" w:sz="8" w:space="0" w:color="000000"/>
              <w:bottom w:val="single" w:sz="6" w:space="0" w:color="000000"/>
              <w:right w:val="single" w:sz="8" w:space="0" w:color="000000"/>
            </w:tcBorders>
            <w:vAlign w:val="center"/>
            <w:hideMark/>
          </w:tcPr>
          <w:p w14:paraId="551DA4F0" w14:textId="08F1E977" w:rsidR="001B413F" w:rsidRDefault="001B413F" w:rsidP="001B413F">
            <w:pPr>
              <w:pStyle w:val="biaogeright"/>
              <w:wordWrap w:val="0"/>
              <w:rPr>
                <w:rFonts w:hint="eastAsia"/>
              </w:rPr>
            </w:pPr>
            <w:r w:rsidRPr="006317A8">
              <w:rPr>
                <w:rFonts w:hAnsi="等线"/>
                <w:color w:val="000000"/>
              </w:rPr>
              <w:t>2,000</w:t>
            </w:r>
          </w:p>
        </w:tc>
        <w:tc>
          <w:tcPr>
            <w:tcW w:w="2075" w:type="dxa"/>
            <w:tcBorders>
              <w:top w:val="single" w:sz="8" w:space="0" w:color="000000"/>
              <w:left w:val="single" w:sz="8" w:space="0" w:color="000000"/>
              <w:bottom w:val="single" w:sz="6" w:space="0" w:color="000000"/>
              <w:right w:val="single" w:sz="8" w:space="0" w:color="000000"/>
            </w:tcBorders>
            <w:vAlign w:val="center"/>
            <w:hideMark/>
          </w:tcPr>
          <w:p w14:paraId="6D4D6C84" w14:textId="439626BD" w:rsidR="001B413F" w:rsidRDefault="001B413F" w:rsidP="001B413F">
            <w:pPr>
              <w:pStyle w:val="biaogeright"/>
              <w:wordWrap w:val="0"/>
              <w:rPr>
                <w:rFonts w:hint="eastAsia"/>
              </w:rPr>
            </w:pPr>
            <w:r w:rsidRPr="006317A8">
              <w:rPr>
                <w:rFonts w:hAnsi="等线"/>
                <w:color w:val="000000"/>
              </w:rPr>
              <w:t>200,881.48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E490248" w14:textId="7258F673" w:rsidR="001B413F" w:rsidRDefault="001B413F" w:rsidP="001B413F">
            <w:pPr>
              <w:pStyle w:val="biaogeright"/>
              <w:wordWrap w:val="0"/>
              <w:rPr>
                <w:rFonts w:hint="eastAsia"/>
              </w:rPr>
            </w:pPr>
            <w:r w:rsidRPr="006317A8">
              <w:rPr>
                <w:rFonts w:hAnsi="等线"/>
                <w:color w:val="000000"/>
              </w:rPr>
              <w:t>4.47</w:t>
            </w:r>
          </w:p>
        </w:tc>
      </w:tr>
    </w:tbl>
    <w:p w14:paraId="5237C0C1" w14:textId="77777777" w:rsidR="004D3275" w:rsidRDefault="004D3275" w:rsidP="004D3275">
      <w:pPr>
        <w:spacing w:line="360" w:lineRule="auto"/>
        <w:ind w:firstLineChars="200" w:firstLine="480"/>
        <w:rPr>
          <w:rFonts w:asciiTheme="minorEastAsia" w:hAnsiTheme="minorEastAsia" w:cs="Times New Roman" w:hint="eastAsia"/>
          <w:sz w:val="24"/>
          <w:szCs w:val="24"/>
        </w:rPr>
      </w:pPr>
    </w:p>
    <w:p w14:paraId="3FEA8F18"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w:t>
      </w:r>
      <w:r w:rsidRPr="007D5062">
        <w:rPr>
          <w:rFonts w:asciiTheme="minorEastAsia" w:hAnsiTheme="minorEastAsia" w:cs="Times New Roman" w:hint="eastAsia"/>
          <w:sz w:val="24"/>
          <w:szCs w:val="24"/>
        </w:rPr>
        <w:t>报告期末按公允价值占基金资产净值比例大小排序的前十名资产支持证券投资明细</w:t>
      </w:r>
    </w:p>
    <w:p w14:paraId="24806389" w14:textId="77777777" w:rsidR="004D3275" w:rsidRDefault="004D3275" w:rsidP="004D3275">
      <w:pPr>
        <w:pStyle w:val="neirong"/>
        <w:ind w:firstLineChars="200" w:firstLine="480"/>
        <w:rPr>
          <w:rFonts w:hint="eastAsia"/>
        </w:rPr>
      </w:pPr>
      <w:r>
        <w:rPr>
          <w:rFonts w:hAnsi="等线" w:hint="eastAsia"/>
          <w:color w:val="000000"/>
        </w:rPr>
        <w:t>本基金本报告期末未持有资产支持证券。</w:t>
      </w:r>
    </w:p>
    <w:p w14:paraId="6C77541C" w14:textId="77777777" w:rsidR="004D3275" w:rsidRDefault="004D3275" w:rsidP="004D3275">
      <w:pPr>
        <w:spacing w:line="360" w:lineRule="auto"/>
        <w:ind w:firstLineChars="200" w:firstLine="480"/>
        <w:rPr>
          <w:rFonts w:asciiTheme="minorEastAsia" w:hAnsiTheme="minorEastAsia" w:cs="Times New Roman" w:hint="eastAsia"/>
          <w:sz w:val="24"/>
          <w:szCs w:val="24"/>
        </w:rPr>
      </w:pPr>
    </w:p>
    <w:p w14:paraId="38E2B21B"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w:t>
      </w:r>
      <w:r w:rsidRPr="007D5062">
        <w:rPr>
          <w:rFonts w:asciiTheme="minorEastAsia" w:hAnsiTheme="minorEastAsia" w:cs="Times New Roman" w:hint="eastAsia"/>
          <w:sz w:val="24"/>
          <w:szCs w:val="24"/>
        </w:rPr>
        <w:t>报告期末按公允价值占基金资产净值比例大小排序的前五名贵金属投资明细</w:t>
      </w:r>
    </w:p>
    <w:p w14:paraId="6BD77A11" w14:textId="77777777" w:rsidR="004D3275" w:rsidRDefault="004D3275" w:rsidP="004D3275">
      <w:pPr>
        <w:pStyle w:val="neirong"/>
        <w:ind w:firstLineChars="200" w:firstLine="480"/>
        <w:rPr>
          <w:rFonts w:hint="eastAsia"/>
        </w:rPr>
      </w:pPr>
      <w:r>
        <w:rPr>
          <w:rFonts w:hAnsi="等线" w:hint="eastAsia"/>
          <w:color w:val="000000"/>
        </w:rPr>
        <w:lastRenderedPageBreak/>
        <w:t>本基金本报告期末未持有贵金属。</w:t>
      </w:r>
    </w:p>
    <w:p w14:paraId="4472CA39"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p>
    <w:p w14:paraId="02C4C3DA"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8、</w:t>
      </w:r>
      <w:r w:rsidRPr="007D5062">
        <w:rPr>
          <w:rFonts w:asciiTheme="minorEastAsia" w:hAnsiTheme="minorEastAsia" w:cs="Times New Roman" w:hint="eastAsia"/>
          <w:sz w:val="24"/>
          <w:szCs w:val="24"/>
        </w:rPr>
        <w:t>报告期末按公允价值占基金资产净值比例大小排序的前五名权证投资明细</w:t>
      </w:r>
    </w:p>
    <w:p w14:paraId="519A3F30" w14:textId="77777777" w:rsidR="004D3275" w:rsidRDefault="004D3275" w:rsidP="004D3275">
      <w:pPr>
        <w:pStyle w:val="neirong"/>
        <w:ind w:firstLineChars="200" w:firstLine="480"/>
        <w:rPr>
          <w:rFonts w:hint="eastAsia"/>
        </w:rPr>
      </w:pPr>
      <w:r>
        <w:rPr>
          <w:rFonts w:hAnsi="等线" w:hint="eastAsia"/>
          <w:color w:val="000000"/>
        </w:rPr>
        <w:t>本基金本报告期末未持有权证。</w:t>
      </w:r>
    </w:p>
    <w:p w14:paraId="2576E8BC"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p>
    <w:p w14:paraId="5DCB4C09"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9、</w:t>
      </w:r>
      <w:r w:rsidRPr="007D5062">
        <w:rPr>
          <w:rFonts w:asciiTheme="minorEastAsia" w:hAnsiTheme="minorEastAsia" w:cs="Times New Roman" w:hint="eastAsia"/>
          <w:sz w:val="24"/>
          <w:szCs w:val="24"/>
        </w:rPr>
        <w:t>报告期末本基金投资的股指期货交易情况说明</w:t>
      </w:r>
    </w:p>
    <w:p w14:paraId="5B30EA02"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w:t>
      </w:r>
      <w:r w:rsidRPr="007D5062">
        <w:rPr>
          <w:rFonts w:asciiTheme="minorEastAsia" w:hAnsiTheme="minorEastAsia" w:cs="Times New Roman" w:hint="eastAsia"/>
          <w:sz w:val="24"/>
          <w:szCs w:val="24"/>
        </w:rPr>
        <w:t>报告期末本基金投资的股指期货持仓和损益明细</w:t>
      </w:r>
    </w:p>
    <w:p w14:paraId="7E8E286A"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r w:rsidRPr="007D5062">
        <w:rPr>
          <w:rFonts w:asciiTheme="minorEastAsia" w:hAnsiTheme="minorEastAsia" w:cs="Times New Roman" w:hint="eastAsia"/>
          <w:sz w:val="24"/>
          <w:szCs w:val="24"/>
        </w:rPr>
        <w:t>本基金本报告期末未投资股指期货。</w:t>
      </w:r>
    </w:p>
    <w:p w14:paraId="2EB1549C" w14:textId="77777777" w:rsidR="004D3275" w:rsidRDefault="004D3275" w:rsidP="004D3275">
      <w:pPr>
        <w:spacing w:line="360" w:lineRule="auto"/>
        <w:ind w:firstLineChars="200" w:firstLine="480"/>
        <w:rPr>
          <w:rFonts w:asciiTheme="minorEastAsia" w:hAnsiTheme="minorEastAsia" w:cs="Times New Roman" w:hint="eastAsia"/>
          <w:sz w:val="24"/>
          <w:szCs w:val="24"/>
        </w:rPr>
      </w:pPr>
    </w:p>
    <w:p w14:paraId="64079FF0"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w:t>
      </w:r>
      <w:r w:rsidRPr="009D467D">
        <w:rPr>
          <w:rFonts w:asciiTheme="minorEastAsia" w:hAnsiTheme="minorEastAsia" w:cs="Times New Roman" w:hint="eastAsia"/>
          <w:sz w:val="24"/>
          <w:szCs w:val="24"/>
        </w:rPr>
        <w:t>本基金投资股指期货的投资政策</w:t>
      </w:r>
    </w:p>
    <w:p w14:paraId="138FAE08"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sidRPr="009D467D">
        <w:rPr>
          <w:rFonts w:asciiTheme="minorEastAsia" w:hAnsiTheme="minorEastAsia" w:cs="Times New Roman" w:hint="eastAsia"/>
          <w:sz w:val="24"/>
          <w:szCs w:val="24"/>
        </w:rPr>
        <w:t>本基金本报告期末未投资股指期货。</w:t>
      </w:r>
    </w:p>
    <w:p w14:paraId="0A141558"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p>
    <w:p w14:paraId="3F83796E"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10、</w:t>
      </w:r>
      <w:r w:rsidRPr="009D467D">
        <w:rPr>
          <w:rFonts w:asciiTheme="minorEastAsia" w:hAnsiTheme="minorEastAsia" w:cs="Times New Roman" w:hint="eastAsia"/>
          <w:sz w:val="24"/>
          <w:szCs w:val="24"/>
        </w:rPr>
        <w:t>报告期末本基金投资的国债期货交易情况说明</w:t>
      </w:r>
    </w:p>
    <w:p w14:paraId="31D64E19"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w:t>
      </w:r>
      <w:r w:rsidRPr="009D467D">
        <w:rPr>
          <w:rFonts w:asciiTheme="minorEastAsia" w:hAnsiTheme="minorEastAsia" w:cs="Times New Roman" w:hint="eastAsia"/>
          <w:sz w:val="24"/>
          <w:szCs w:val="24"/>
        </w:rPr>
        <w:t>本期国债期货投资政策</w:t>
      </w:r>
    </w:p>
    <w:p w14:paraId="057EE675"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sidRPr="009D467D">
        <w:rPr>
          <w:rFonts w:asciiTheme="minorEastAsia" w:hAnsiTheme="minorEastAsia" w:cs="Times New Roman" w:hint="eastAsia"/>
          <w:sz w:val="24"/>
          <w:szCs w:val="24"/>
        </w:rPr>
        <w:t xml:space="preserve">本基金本报告期末未投资国债期货。 </w:t>
      </w:r>
    </w:p>
    <w:p w14:paraId="705BD404"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p>
    <w:p w14:paraId="0DE1A287"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w:t>
      </w:r>
      <w:r w:rsidRPr="009D467D">
        <w:rPr>
          <w:rFonts w:asciiTheme="minorEastAsia" w:hAnsiTheme="minorEastAsia" w:cs="Times New Roman" w:hint="eastAsia"/>
          <w:sz w:val="24"/>
          <w:szCs w:val="24"/>
        </w:rPr>
        <w:t>报告期末本基金投资的国债期货持仓和损益明细</w:t>
      </w:r>
    </w:p>
    <w:p w14:paraId="2424DF4D"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sidRPr="009D467D">
        <w:rPr>
          <w:rFonts w:asciiTheme="minorEastAsia" w:hAnsiTheme="minorEastAsia" w:cs="Times New Roman" w:hint="eastAsia"/>
          <w:sz w:val="24"/>
          <w:szCs w:val="24"/>
        </w:rPr>
        <w:t xml:space="preserve">本基金本报告期末未投资国债期货。 </w:t>
      </w:r>
    </w:p>
    <w:p w14:paraId="359740AD"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p>
    <w:p w14:paraId="0698ED11"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w:t>
      </w:r>
      <w:r w:rsidRPr="009D467D">
        <w:rPr>
          <w:rFonts w:asciiTheme="minorEastAsia" w:hAnsiTheme="minorEastAsia" w:cs="Times New Roman" w:hint="eastAsia"/>
          <w:sz w:val="24"/>
          <w:szCs w:val="24"/>
        </w:rPr>
        <w:t>本期国债期货投资评价</w:t>
      </w:r>
    </w:p>
    <w:p w14:paraId="33CB4BD7"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sidRPr="009D467D">
        <w:rPr>
          <w:rFonts w:asciiTheme="minorEastAsia" w:hAnsiTheme="minorEastAsia" w:cs="Times New Roman" w:hint="eastAsia"/>
          <w:sz w:val="24"/>
          <w:szCs w:val="24"/>
        </w:rPr>
        <w:t>本基金本报告期末未投资国债期货。</w:t>
      </w:r>
    </w:p>
    <w:p w14:paraId="19294675" w14:textId="77777777" w:rsidR="004D3275" w:rsidRDefault="004D3275" w:rsidP="004D3275">
      <w:pPr>
        <w:spacing w:line="360" w:lineRule="auto"/>
        <w:ind w:firstLineChars="200" w:firstLine="480"/>
        <w:rPr>
          <w:rFonts w:asciiTheme="minorEastAsia" w:hAnsiTheme="minorEastAsia" w:cs="Times New Roman" w:hint="eastAsia"/>
          <w:sz w:val="24"/>
          <w:szCs w:val="24"/>
        </w:rPr>
      </w:pPr>
    </w:p>
    <w:p w14:paraId="5F80B7B1"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11、</w:t>
      </w:r>
      <w:r w:rsidRPr="009D467D">
        <w:rPr>
          <w:rFonts w:asciiTheme="minorEastAsia" w:hAnsiTheme="minorEastAsia" w:cs="Times New Roman" w:hint="eastAsia"/>
          <w:sz w:val="24"/>
          <w:szCs w:val="24"/>
        </w:rPr>
        <w:t xml:space="preserve">投资组合报告附注 </w:t>
      </w:r>
    </w:p>
    <w:p w14:paraId="5E9D0624" w14:textId="2CB7CA56"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w:t>
      </w:r>
      <w:r w:rsidR="001B413F" w:rsidRPr="006317A8">
        <w:rPr>
          <w:rFonts w:asciiTheme="minorEastAsia" w:hAnsiTheme="minorEastAsia" w:cs="Times New Roman" w:hint="eastAsia"/>
          <w:sz w:val="24"/>
          <w:szCs w:val="24"/>
        </w:rPr>
        <w:t>本基金本报告期投资的前十名证券的发行主体，本报告期没有出现被监管部门立案调查的情形，也没有出现在报告编制日前一年内受到公开谴责、处罚的情形。</w:t>
      </w:r>
    </w:p>
    <w:p w14:paraId="49017A67"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w:t>
      </w:r>
      <w:r w:rsidRPr="009D467D">
        <w:rPr>
          <w:rFonts w:asciiTheme="minorEastAsia" w:hAnsiTheme="minorEastAsia" w:cs="Times New Roman" w:hint="eastAsia"/>
          <w:sz w:val="24"/>
          <w:szCs w:val="24"/>
        </w:rPr>
        <w:t>本基金投资的前十名股票没有超出基金合同规定的备选股票库。</w:t>
      </w:r>
    </w:p>
    <w:p w14:paraId="193404B5" w14:textId="77777777" w:rsidR="004D3275"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w:t>
      </w:r>
      <w:r w:rsidRPr="009D467D">
        <w:rPr>
          <w:rFonts w:asciiTheme="minorEastAsia" w:hAnsiTheme="minorEastAsia" w:cs="Times New Roman" w:hint="eastAsia"/>
          <w:sz w:val="24"/>
          <w:szCs w:val="24"/>
        </w:rPr>
        <w:t>其他资产构成</w:t>
      </w:r>
    </w:p>
    <w:tbl>
      <w:tblPr>
        <w:tblW w:w="9080" w:type="dxa"/>
        <w:tblInd w:w="108" w:type="dxa"/>
        <w:tblLook w:val="04A0" w:firstRow="1" w:lastRow="0" w:firstColumn="1" w:lastColumn="0" w:noHBand="0" w:noVBand="1"/>
      </w:tblPr>
      <w:tblGrid>
        <w:gridCol w:w="1280"/>
        <w:gridCol w:w="3724"/>
        <w:gridCol w:w="4076"/>
      </w:tblGrid>
      <w:tr w:rsidR="004D3275" w14:paraId="5A2696DE" w14:textId="77777777" w:rsidTr="001B413F">
        <w:tc>
          <w:tcPr>
            <w:tcW w:w="1280" w:type="dxa"/>
            <w:tcBorders>
              <w:top w:val="single" w:sz="8" w:space="0" w:color="000000"/>
              <w:left w:val="single" w:sz="8" w:space="0" w:color="000000"/>
              <w:bottom w:val="single" w:sz="6" w:space="0" w:color="000000"/>
              <w:right w:val="single" w:sz="8" w:space="0" w:color="000000"/>
            </w:tcBorders>
            <w:vAlign w:val="center"/>
            <w:hideMark/>
          </w:tcPr>
          <w:p w14:paraId="7BA558AF" w14:textId="77777777" w:rsidR="004D3275" w:rsidRDefault="004D3275" w:rsidP="00114C8C">
            <w:pPr>
              <w:pStyle w:val="biaogecenter"/>
              <w:wordWrap w:val="0"/>
              <w:rPr>
                <w:rFonts w:hint="eastAsia"/>
              </w:rPr>
            </w:pPr>
            <w:r>
              <w:rPr>
                <w:rFonts w:hAnsi="等线" w:hint="eastAsia"/>
                <w:color w:val="000000"/>
              </w:rPr>
              <w:t>序号</w:t>
            </w:r>
          </w:p>
        </w:tc>
        <w:tc>
          <w:tcPr>
            <w:tcW w:w="3724" w:type="dxa"/>
            <w:tcBorders>
              <w:top w:val="single" w:sz="8" w:space="0" w:color="000000"/>
              <w:left w:val="single" w:sz="8" w:space="0" w:color="000000"/>
              <w:bottom w:val="single" w:sz="6" w:space="0" w:color="000000"/>
              <w:right w:val="single" w:sz="8" w:space="0" w:color="000000"/>
            </w:tcBorders>
            <w:vAlign w:val="center"/>
            <w:hideMark/>
          </w:tcPr>
          <w:p w14:paraId="114835FA" w14:textId="77777777" w:rsidR="004D3275" w:rsidRDefault="004D3275" w:rsidP="00114C8C">
            <w:pPr>
              <w:pStyle w:val="biaogecenter"/>
              <w:wordWrap w:val="0"/>
              <w:rPr>
                <w:rFonts w:hint="eastAsia"/>
              </w:rPr>
            </w:pPr>
            <w:r>
              <w:rPr>
                <w:rFonts w:hAnsi="等线" w:hint="eastAsia"/>
                <w:color w:val="000000"/>
              </w:rPr>
              <w:t>名称</w:t>
            </w:r>
          </w:p>
        </w:tc>
        <w:tc>
          <w:tcPr>
            <w:tcW w:w="4076" w:type="dxa"/>
            <w:tcBorders>
              <w:top w:val="single" w:sz="8" w:space="0" w:color="000000"/>
              <w:left w:val="single" w:sz="8" w:space="0" w:color="000000"/>
              <w:bottom w:val="single" w:sz="6" w:space="0" w:color="000000"/>
              <w:right w:val="single" w:sz="8" w:space="0" w:color="000000"/>
            </w:tcBorders>
            <w:vAlign w:val="center"/>
            <w:hideMark/>
          </w:tcPr>
          <w:p w14:paraId="1A4B69CD" w14:textId="77777777" w:rsidR="004D3275" w:rsidRDefault="004D3275" w:rsidP="00114C8C">
            <w:pPr>
              <w:pStyle w:val="biaogecenter"/>
              <w:wordWrap w:val="0"/>
              <w:rPr>
                <w:rFonts w:hint="eastAsia"/>
              </w:rPr>
            </w:pPr>
            <w:r>
              <w:rPr>
                <w:rFonts w:hAnsi="等线" w:hint="eastAsia"/>
                <w:color w:val="000000"/>
              </w:rPr>
              <w:t>金额</w:t>
            </w:r>
            <w:r>
              <w:rPr>
                <w:rFonts w:hAnsi="等线"/>
                <w:color w:val="000000"/>
              </w:rPr>
              <w:t>(</w:t>
            </w:r>
            <w:r>
              <w:rPr>
                <w:rFonts w:hAnsi="等线" w:hint="eastAsia"/>
                <w:color w:val="000000"/>
              </w:rPr>
              <w:t>元</w:t>
            </w:r>
            <w:r>
              <w:rPr>
                <w:rFonts w:hAnsi="等线"/>
                <w:color w:val="000000"/>
              </w:rPr>
              <w:t>)</w:t>
            </w:r>
          </w:p>
        </w:tc>
      </w:tr>
      <w:tr w:rsidR="001B413F" w14:paraId="29A4E03D" w14:textId="77777777" w:rsidTr="001B413F">
        <w:tc>
          <w:tcPr>
            <w:tcW w:w="1280" w:type="dxa"/>
            <w:tcBorders>
              <w:top w:val="single" w:sz="8" w:space="0" w:color="000000"/>
              <w:left w:val="single" w:sz="8" w:space="0" w:color="000000"/>
              <w:bottom w:val="single" w:sz="6" w:space="0" w:color="000000"/>
              <w:right w:val="single" w:sz="8" w:space="0" w:color="000000"/>
            </w:tcBorders>
            <w:vAlign w:val="center"/>
            <w:hideMark/>
          </w:tcPr>
          <w:p w14:paraId="1576A1BC" w14:textId="77777777" w:rsidR="001B413F" w:rsidRDefault="001B413F" w:rsidP="001B413F">
            <w:pPr>
              <w:pStyle w:val="biaogecenter"/>
              <w:wordWrap w:val="0"/>
              <w:rPr>
                <w:rFonts w:hint="eastAsia"/>
              </w:rPr>
            </w:pPr>
            <w:r>
              <w:rPr>
                <w:rFonts w:hAnsi="等线"/>
                <w:color w:val="000000"/>
              </w:rPr>
              <w:lastRenderedPageBreak/>
              <w:t>1</w:t>
            </w:r>
          </w:p>
        </w:tc>
        <w:tc>
          <w:tcPr>
            <w:tcW w:w="3724" w:type="dxa"/>
            <w:tcBorders>
              <w:top w:val="single" w:sz="8" w:space="0" w:color="000000"/>
              <w:left w:val="single" w:sz="8" w:space="0" w:color="000000"/>
              <w:bottom w:val="single" w:sz="6" w:space="0" w:color="000000"/>
              <w:right w:val="single" w:sz="8" w:space="0" w:color="000000"/>
            </w:tcBorders>
            <w:vAlign w:val="center"/>
            <w:hideMark/>
          </w:tcPr>
          <w:p w14:paraId="03277009" w14:textId="77777777" w:rsidR="001B413F" w:rsidRDefault="001B413F" w:rsidP="001B413F">
            <w:pPr>
              <w:pStyle w:val="biaogeleft"/>
              <w:wordWrap w:val="0"/>
              <w:rPr>
                <w:rFonts w:hint="eastAsia"/>
              </w:rPr>
            </w:pPr>
            <w:r>
              <w:rPr>
                <w:rFonts w:hAnsi="等线" w:hint="eastAsia"/>
                <w:color w:val="000000"/>
              </w:rPr>
              <w:t>存出保证金</w:t>
            </w:r>
          </w:p>
        </w:tc>
        <w:tc>
          <w:tcPr>
            <w:tcW w:w="4076" w:type="dxa"/>
            <w:tcBorders>
              <w:top w:val="single" w:sz="8" w:space="0" w:color="000000"/>
              <w:left w:val="single" w:sz="8" w:space="0" w:color="000000"/>
              <w:bottom w:val="single" w:sz="6" w:space="0" w:color="000000"/>
              <w:right w:val="single" w:sz="8" w:space="0" w:color="000000"/>
            </w:tcBorders>
            <w:vAlign w:val="center"/>
            <w:hideMark/>
          </w:tcPr>
          <w:p w14:paraId="1B01A85E" w14:textId="21DA2035" w:rsidR="001B413F" w:rsidRDefault="001B413F" w:rsidP="001B413F">
            <w:pPr>
              <w:pStyle w:val="biaogeright"/>
              <w:wordWrap w:val="0"/>
              <w:rPr>
                <w:rFonts w:hint="eastAsia"/>
              </w:rPr>
            </w:pPr>
            <w:r w:rsidRPr="006317A8">
              <w:rPr>
                <w:rFonts w:hAnsi="等线"/>
                <w:color w:val="000000"/>
              </w:rPr>
              <w:t>6,820.61</w:t>
            </w:r>
          </w:p>
        </w:tc>
      </w:tr>
      <w:tr w:rsidR="001B413F" w14:paraId="75430D86" w14:textId="77777777" w:rsidTr="001B413F">
        <w:tc>
          <w:tcPr>
            <w:tcW w:w="1280" w:type="dxa"/>
            <w:tcBorders>
              <w:top w:val="single" w:sz="8" w:space="0" w:color="000000"/>
              <w:left w:val="single" w:sz="8" w:space="0" w:color="000000"/>
              <w:bottom w:val="single" w:sz="6" w:space="0" w:color="000000"/>
              <w:right w:val="single" w:sz="8" w:space="0" w:color="000000"/>
            </w:tcBorders>
            <w:vAlign w:val="center"/>
            <w:hideMark/>
          </w:tcPr>
          <w:p w14:paraId="353B5695" w14:textId="77777777" w:rsidR="001B413F" w:rsidRDefault="001B413F" w:rsidP="001B413F">
            <w:pPr>
              <w:pStyle w:val="biaogecenter"/>
              <w:wordWrap w:val="0"/>
              <w:rPr>
                <w:rFonts w:hint="eastAsia"/>
              </w:rPr>
            </w:pPr>
            <w:r>
              <w:rPr>
                <w:rFonts w:hAnsi="等线"/>
                <w:color w:val="000000"/>
              </w:rPr>
              <w:t>2</w:t>
            </w:r>
          </w:p>
        </w:tc>
        <w:tc>
          <w:tcPr>
            <w:tcW w:w="3724" w:type="dxa"/>
            <w:tcBorders>
              <w:top w:val="single" w:sz="8" w:space="0" w:color="000000"/>
              <w:left w:val="single" w:sz="8" w:space="0" w:color="000000"/>
              <w:bottom w:val="single" w:sz="6" w:space="0" w:color="000000"/>
              <w:right w:val="single" w:sz="8" w:space="0" w:color="000000"/>
            </w:tcBorders>
            <w:vAlign w:val="center"/>
            <w:hideMark/>
          </w:tcPr>
          <w:p w14:paraId="4075647A" w14:textId="77777777" w:rsidR="001B413F" w:rsidRDefault="001B413F" w:rsidP="001B413F">
            <w:pPr>
              <w:pStyle w:val="biaogeleft"/>
              <w:wordWrap w:val="0"/>
              <w:rPr>
                <w:rFonts w:hint="eastAsia"/>
              </w:rPr>
            </w:pPr>
            <w:r>
              <w:rPr>
                <w:rFonts w:hAnsi="等线" w:hint="eastAsia"/>
                <w:color w:val="000000"/>
              </w:rPr>
              <w:t>应收证券清算款</w:t>
            </w:r>
          </w:p>
        </w:tc>
        <w:tc>
          <w:tcPr>
            <w:tcW w:w="4076" w:type="dxa"/>
            <w:tcBorders>
              <w:top w:val="single" w:sz="8" w:space="0" w:color="000000"/>
              <w:left w:val="single" w:sz="8" w:space="0" w:color="000000"/>
              <w:bottom w:val="single" w:sz="6" w:space="0" w:color="000000"/>
              <w:right w:val="single" w:sz="8" w:space="0" w:color="000000"/>
            </w:tcBorders>
            <w:vAlign w:val="center"/>
            <w:hideMark/>
          </w:tcPr>
          <w:p w14:paraId="729C67B2" w14:textId="4812585C" w:rsidR="001B413F" w:rsidRDefault="001B413F" w:rsidP="001B413F">
            <w:pPr>
              <w:pStyle w:val="biaogeright"/>
              <w:wordWrap w:val="0"/>
              <w:rPr>
                <w:rFonts w:hint="eastAsia"/>
              </w:rPr>
            </w:pPr>
            <w:r w:rsidRPr="006317A8">
              <w:rPr>
                <w:rFonts w:hAnsi="等线"/>
                <w:color w:val="000000"/>
              </w:rPr>
              <w:t>-</w:t>
            </w:r>
          </w:p>
        </w:tc>
      </w:tr>
      <w:tr w:rsidR="001B413F" w14:paraId="7453BE1C" w14:textId="77777777" w:rsidTr="001B413F">
        <w:tc>
          <w:tcPr>
            <w:tcW w:w="1280" w:type="dxa"/>
            <w:tcBorders>
              <w:top w:val="single" w:sz="8" w:space="0" w:color="000000"/>
              <w:left w:val="single" w:sz="8" w:space="0" w:color="000000"/>
              <w:bottom w:val="single" w:sz="6" w:space="0" w:color="000000"/>
              <w:right w:val="single" w:sz="8" w:space="0" w:color="000000"/>
            </w:tcBorders>
            <w:vAlign w:val="center"/>
            <w:hideMark/>
          </w:tcPr>
          <w:p w14:paraId="286AC33E" w14:textId="77777777" w:rsidR="001B413F" w:rsidRDefault="001B413F" w:rsidP="001B413F">
            <w:pPr>
              <w:pStyle w:val="biaogecenter"/>
              <w:wordWrap w:val="0"/>
              <w:rPr>
                <w:rFonts w:hint="eastAsia"/>
              </w:rPr>
            </w:pPr>
            <w:r>
              <w:rPr>
                <w:rFonts w:hAnsi="等线"/>
                <w:color w:val="000000"/>
              </w:rPr>
              <w:t>3</w:t>
            </w:r>
          </w:p>
        </w:tc>
        <w:tc>
          <w:tcPr>
            <w:tcW w:w="3724" w:type="dxa"/>
            <w:tcBorders>
              <w:top w:val="single" w:sz="8" w:space="0" w:color="000000"/>
              <w:left w:val="single" w:sz="8" w:space="0" w:color="000000"/>
              <w:bottom w:val="single" w:sz="6" w:space="0" w:color="000000"/>
              <w:right w:val="single" w:sz="8" w:space="0" w:color="000000"/>
            </w:tcBorders>
            <w:vAlign w:val="center"/>
            <w:hideMark/>
          </w:tcPr>
          <w:p w14:paraId="22D0FB37" w14:textId="77777777" w:rsidR="001B413F" w:rsidRDefault="001B413F" w:rsidP="001B413F">
            <w:pPr>
              <w:pStyle w:val="biaogeleft"/>
              <w:wordWrap w:val="0"/>
              <w:rPr>
                <w:rFonts w:hint="eastAsia"/>
              </w:rPr>
            </w:pPr>
            <w:r>
              <w:rPr>
                <w:rFonts w:hAnsi="等线" w:hint="eastAsia"/>
                <w:color w:val="000000"/>
              </w:rPr>
              <w:t>应收股利</w:t>
            </w:r>
          </w:p>
        </w:tc>
        <w:tc>
          <w:tcPr>
            <w:tcW w:w="4076" w:type="dxa"/>
            <w:tcBorders>
              <w:top w:val="single" w:sz="8" w:space="0" w:color="000000"/>
              <w:left w:val="single" w:sz="8" w:space="0" w:color="000000"/>
              <w:bottom w:val="single" w:sz="6" w:space="0" w:color="000000"/>
              <w:right w:val="single" w:sz="8" w:space="0" w:color="000000"/>
            </w:tcBorders>
            <w:vAlign w:val="center"/>
            <w:hideMark/>
          </w:tcPr>
          <w:p w14:paraId="464230B7" w14:textId="02D4A9BA" w:rsidR="001B413F" w:rsidRDefault="001B413F" w:rsidP="001B413F">
            <w:pPr>
              <w:pStyle w:val="biaogeright"/>
              <w:wordWrap w:val="0"/>
              <w:rPr>
                <w:rFonts w:hint="eastAsia"/>
              </w:rPr>
            </w:pPr>
            <w:r w:rsidRPr="006317A8">
              <w:rPr>
                <w:rFonts w:hAnsi="等线"/>
                <w:color w:val="000000"/>
              </w:rPr>
              <w:t>-</w:t>
            </w:r>
          </w:p>
        </w:tc>
      </w:tr>
      <w:tr w:rsidR="001B413F" w14:paraId="782B77CC" w14:textId="77777777" w:rsidTr="001B413F">
        <w:tc>
          <w:tcPr>
            <w:tcW w:w="1280" w:type="dxa"/>
            <w:tcBorders>
              <w:top w:val="single" w:sz="8" w:space="0" w:color="000000"/>
              <w:left w:val="single" w:sz="8" w:space="0" w:color="000000"/>
              <w:bottom w:val="single" w:sz="6" w:space="0" w:color="000000"/>
              <w:right w:val="single" w:sz="8" w:space="0" w:color="000000"/>
            </w:tcBorders>
            <w:vAlign w:val="center"/>
            <w:hideMark/>
          </w:tcPr>
          <w:p w14:paraId="4BB12C03" w14:textId="77777777" w:rsidR="001B413F" w:rsidRDefault="001B413F" w:rsidP="001B413F">
            <w:pPr>
              <w:pStyle w:val="biaogecenter"/>
              <w:wordWrap w:val="0"/>
              <w:rPr>
                <w:rFonts w:hint="eastAsia"/>
              </w:rPr>
            </w:pPr>
            <w:r>
              <w:rPr>
                <w:rFonts w:hAnsi="等线"/>
                <w:color w:val="000000"/>
              </w:rPr>
              <w:t>4</w:t>
            </w:r>
          </w:p>
        </w:tc>
        <w:tc>
          <w:tcPr>
            <w:tcW w:w="3724" w:type="dxa"/>
            <w:tcBorders>
              <w:top w:val="single" w:sz="8" w:space="0" w:color="000000"/>
              <w:left w:val="single" w:sz="8" w:space="0" w:color="000000"/>
              <w:bottom w:val="single" w:sz="6" w:space="0" w:color="000000"/>
              <w:right w:val="single" w:sz="8" w:space="0" w:color="000000"/>
            </w:tcBorders>
            <w:vAlign w:val="center"/>
            <w:hideMark/>
          </w:tcPr>
          <w:p w14:paraId="66F24209" w14:textId="77777777" w:rsidR="001B413F" w:rsidRDefault="001B413F" w:rsidP="001B413F">
            <w:pPr>
              <w:pStyle w:val="biaogeleft"/>
              <w:wordWrap w:val="0"/>
              <w:rPr>
                <w:rFonts w:hint="eastAsia"/>
              </w:rPr>
            </w:pPr>
            <w:r>
              <w:rPr>
                <w:rFonts w:hAnsi="等线" w:hint="eastAsia"/>
                <w:color w:val="000000"/>
              </w:rPr>
              <w:t>应收利息</w:t>
            </w:r>
          </w:p>
        </w:tc>
        <w:tc>
          <w:tcPr>
            <w:tcW w:w="4076" w:type="dxa"/>
            <w:tcBorders>
              <w:top w:val="single" w:sz="8" w:space="0" w:color="000000"/>
              <w:left w:val="single" w:sz="8" w:space="0" w:color="000000"/>
              <w:bottom w:val="single" w:sz="6" w:space="0" w:color="000000"/>
              <w:right w:val="single" w:sz="8" w:space="0" w:color="000000"/>
            </w:tcBorders>
            <w:vAlign w:val="center"/>
            <w:hideMark/>
          </w:tcPr>
          <w:p w14:paraId="76DC3007" w14:textId="337FF20E" w:rsidR="001B413F" w:rsidRDefault="001B413F" w:rsidP="001B413F">
            <w:pPr>
              <w:pStyle w:val="biaogeright"/>
              <w:wordWrap w:val="0"/>
              <w:rPr>
                <w:rFonts w:hint="eastAsia"/>
              </w:rPr>
            </w:pPr>
            <w:r w:rsidRPr="006317A8">
              <w:rPr>
                <w:rFonts w:hAnsi="等线"/>
                <w:color w:val="000000"/>
              </w:rPr>
              <w:t>-</w:t>
            </w:r>
          </w:p>
        </w:tc>
      </w:tr>
      <w:tr w:rsidR="001B413F" w14:paraId="5681335F" w14:textId="77777777" w:rsidTr="001B413F">
        <w:tc>
          <w:tcPr>
            <w:tcW w:w="1280" w:type="dxa"/>
            <w:tcBorders>
              <w:top w:val="single" w:sz="8" w:space="0" w:color="000000"/>
              <w:left w:val="single" w:sz="8" w:space="0" w:color="000000"/>
              <w:bottom w:val="single" w:sz="6" w:space="0" w:color="000000"/>
              <w:right w:val="single" w:sz="8" w:space="0" w:color="000000"/>
            </w:tcBorders>
            <w:vAlign w:val="center"/>
            <w:hideMark/>
          </w:tcPr>
          <w:p w14:paraId="369FC5AB" w14:textId="77777777" w:rsidR="001B413F" w:rsidRDefault="001B413F" w:rsidP="001B413F">
            <w:pPr>
              <w:pStyle w:val="biaogecenter"/>
              <w:wordWrap w:val="0"/>
              <w:rPr>
                <w:rFonts w:hint="eastAsia"/>
              </w:rPr>
            </w:pPr>
            <w:r>
              <w:rPr>
                <w:rFonts w:hAnsi="等线"/>
                <w:color w:val="000000"/>
              </w:rPr>
              <w:t>5</w:t>
            </w:r>
          </w:p>
        </w:tc>
        <w:tc>
          <w:tcPr>
            <w:tcW w:w="3724" w:type="dxa"/>
            <w:tcBorders>
              <w:top w:val="single" w:sz="8" w:space="0" w:color="000000"/>
              <w:left w:val="single" w:sz="8" w:space="0" w:color="000000"/>
              <w:bottom w:val="single" w:sz="6" w:space="0" w:color="000000"/>
              <w:right w:val="single" w:sz="8" w:space="0" w:color="000000"/>
            </w:tcBorders>
            <w:vAlign w:val="center"/>
            <w:hideMark/>
          </w:tcPr>
          <w:p w14:paraId="2A6F1501" w14:textId="77777777" w:rsidR="001B413F" w:rsidRDefault="001B413F" w:rsidP="001B413F">
            <w:pPr>
              <w:pStyle w:val="biaogeleft"/>
              <w:wordWrap w:val="0"/>
              <w:rPr>
                <w:rFonts w:hint="eastAsia"/>
              </w:rPr>
            </w:pPr>
            <w:r>
              <w:rPr>
                <w:rFonts w:hAnsi="等线" w:hint="eastAsia"/>
                <w:color w:val="000000"/>
              </w:rPr>
              <w:t>应收申购款</w:t>
            </w:r>
          </w:p>
        </w:tc>
        <w:tc>
          <w:tcPr>
            <w:tcW w:w="4076" w:type="dxa"/>
            <w:tcBorders>
              <w:top w:val="single" w:sz="8" w:space="0" w:color="000000"/>
              <w:left w:val="single" w:sz="8" w:space="0" w:color="000000"/>
              <w:bottom w:val="single" w:sz="6" w:space="0" w:color="000000"/>
              <w:right w:val="single" w:sz="8" w:space="0" w:color="000000"/>
            </w:tcBorders>
            <w:vAlign w:val="center"/>
            <w:hideMark/>
          </w:tcPr>
          <w:p w14:paraId="02857FB7" w14:textId="4E75C061" w:rsidR="001B413F" w:rsidRDefault="001B413F" w:rsidP="001B413F">
            <w:pPr>
              <w:pStyle w:val="biaogeright"/>
              <w:wordWrap w:val="0"/>
              <w:rPr>
                <w:rFonts w:hint="eastAsia"/>
              </w:rPr>
            </w:pPr>
            <w:r w:rsidRPr="006317A8">
              <w:rPr>
                <w:rFonts w:hAnsi="等线"/>
                <w:color w:val="000000"/>
              </w:rPr>
              <w:t>791.19</w:t>
            </w:r>
          </w:p>
        </w:tc>
      </w:tr>
      <w:tr w:rsidR="001B413F" w14:paraId="6EAE8B66" w14:textId="77777777" w:rsidTr="001B413F">
        <w:tc>
          <w:tcPr>
            <w:tcW w:w="1280" w:type="dxa"/>
            <w:tcBorders>
              <w:top w:val="single" w:sz="8" w:space="0" w:color="000000"/>
              <w:left w:val="single" w:sz="8" w:space="0" w:color="000000"/>
              <w:bottom w:val="single" w:sz="6" w:space="0" w:color="000000"/>
              <w:right w:val="single" w:sz="8" w:space="0" w:color="000000"/>
            </w:tcBorders>
            <w:vAlign w:val="center"/>
            <w:hideMark/>
          </w:tcPr>
          <w:p w14:paraId="359C9D94" w14:textId="77777777" w:rsidR="001B413F" w:rsidRDefault="001B413F" w:rsidP="001B413F">
            <w:pPr>
              <w:pStyle w:val="biaogecenter"/>
              <w:wordWrap w:val="0"/>
              <w:rPr>
                <w:rFonts w:hint="eastAsia"/>
              </w:rPr>
            </w:pPr>
            <w:r>
              <w:rPr>
                <w:rFonts w:hAnsi="等线"/>
                <w:color w:val="000000"/>
              </w:rPr>
              <w:t>6</w:t>
            </w:r>
          </w:p>
        </w:tc>
        <w:tc>
          <w:tcPr>
            <w:tcW w:w="3724" w:type="dxa"/>
            <w:tcBorders>
              <w:top w:val="single" w:sz="8" w:space="0" w:color="000000"/>
              <w:left w:val="single" w:sz="8" w:space="0" w:color="000000"/>
              <w:bottom w:val="single" w:sz="6" w:space="0" w:color="000000"/>
              <w:right w:val="single" w:sz="8" w:space="0" w:color="000000"/>
            </w:tcBorders>
            <w:vAlign w:val="center"/>
            <w:hideMark/>
          </w:tcPr>
          <w:p w14:paraId="54560DFB" w14:textId="77777777" w:rsidR="001B413F" w:rsidRDefault="001B413F" w:rsidP="001B413F">
            <w:pPr>
              <w:pStyle w:val="biaogeleft"/>
              <w:wordWrap w:val="0"/>
              <w:rPr>
                <w:rFonts w:hint="eastAsia"/>
              </w:rPr>
            </w:pPr>
            <w:r>
              <w:rPr>
                <w:rFonts w:hAnsi="等线" w:hint="eastAsia"/>
                <w:color w:val="000000"/>
              </w:rPr>
              <w:t>其他应收款</w:t>
            </w:r>
          </w:p>
        </w:tc>
        <w:tc>
          <w:tcPr>
            <w:tcW w:w="4076" w:type="dxa"/>
            <w:tcBorders>
              <w:top w:val="single" w:sz="8" w:space="0" w:color="000000"/>
              <w:left w:val="single" w:sz="8" w:space="0" w:color="000000"/>
              <w:bottom w:val="single" w:sz="6" w:space="0" w:color="000000"/>
              <w:right w:val="single" w:sz="8" w:space="0" w:color="000000"/>
            </w:tcBorders>
            <w:vAlign w:val="center"/>
            <w:hideMark/>
          </w:tcPr>
          <w:p w14:paraId="04634083" w14:textId="16622A0C" w:rsidR="001B413F" w:rsidRDefault="001B413F" w:rsidP="001B413F">
            <w:pPr>
              <w:pStyle w:val="biaogeright"/>
              <w:wordWrap w:val="0"/>
              <w:rPr>
                <w:rFonts w:hint="eastAsia"/>
              </w:rPr>
            </w:pPr>
            <w:r w:rsidRPr="006317A8">
              <w:rPr>
                <w:rFonts w:hAnsi="等线"/>
                <w:color w:val="000000"/>
              </w:rPr>
              <w:t>-</w:t>
            </w:r>
          </w:p>
        </w:tc>
      </w:tr>
      <w:tr w:rsidR="001B413F" w14:paraId="14AFBBDF" w14:textId="77777777" w:rsidTr="001B413F">
        <w:tc>
          <w:tcPr>
            <w:tcW w:w="1280" w:type="dxa"/>
            <w:tcBorders>
              <w:top w:val="single" w:sz="8" w:space="0" w:color="000000"/>
              <w:left w:val="single" w:sz="8" w:space="0" w:color="000000"/>
              <w:bottom w:val="single" w:sz="6" w:space="0" w:color="000000"/>
              <w:right w:val="single" w:sz="8" w:space="0" w:color="000000"/>
            </w:tcBorders>
            <w:vAlign w:val="center"/>
            <w:hideMark/>
          </w:tcPr>
          <w:p w14:paraId="3926AF88" w14:textId="77777777" w:rsidR="001B413F" w:rsidRDefault="001B413F" w:rsidP="001B413F">
            <w:pPr>
              <w:pStyle w:val="biaogecenter"/>
              <w:wordWrap w:val="0"/>
              <w:rPr>
                <w:rFonts w:hint="eastAsia"/>
              </w:rPr>
            </w:pPr>
            <w:r>
              <w:rPr>
                <w:rFonts w:hAnsi="等线"/>
                <w:color w:val="000000"/>
              </w:rPr>
              <w:t>7</w:t>
            </w:r>
          </w:p>
        </w:tc>
        <w:tc>
          <w:tcPr>
            <w:tcW w:w="3724" w:type="dxa"/>
            <w:tcBorders>
              <w:top w:val="single" w:sz="8" w:space="0" w:color="000000"/>
              <w:left w:val="single" w:sz="8" w:space="0" w:color="000000"/>
              <w:bottom w:val="single" w:sz="6" w:space="0" w:color="000000"/>
              <w:right w:val="single" w:sz="8" w:space="0" w:color="000000"/>
            </w:tcBorders>
            <w:vAlign w:val="center"/>
            <w:hideMark/>
          </w:tcPr>
          <w:p w14:paraId="1C28C867" w14:textId="77777777" w:rsidR="001B413F" w:rsidRDefault="001B413F" w:rsidP="001B413F">
            <w:pPr>
              <w:pStyle w:val="biaogeleft"/>
              <w:wordWrap w:val="0"/>
              <w:rPr>
                <w:rFonts w:hint="eastAsia"/>
              </w:rPr>
            </w:pPr>
            <w:r>
              <w:rPr>
                <w:rFonts w:hAnsi="等线" w:hint="eastAsia"/>
                <w:color w:val="000000"/>
              </w:rPr>
              <w:t>其他</w:t>
            </w:r>
          </w:p>
        </w:tc>
        <w:tc>
          <w:tcPr>
            <w:tcW w:w="4076" w:type="dxa"/>
            <w:tcBorders>
              <w:top w:val="single" w:sz="8" w:space="0" w:color="000000"/>
              <w:left w:val="single" w:sz="8" w:space="0" w:color="000000"/>
              <w:bottom w:val="single" w:sz="6" w:space="0" w:color="000000"/>
              <w:right w:val="single" w:sz="8" w:space="0" w:color="000000"/>
            </w:tcBorders>
            <w:vAlign w:val="center"/>
            <w:hideMark/>
          </w:tcPr>
          <w:p w14:paraId="639CE2A5" w14:textId="4EF3DBE9" w:rsidR="001B413F" w:rsidRDefault="001B413F" w:rsidP="001B413F">
            <w:pPr>
              <w:pStyle w:val="biaogeright"/>
              <w:wordWrap w:val="0"/>
              <w:rPr>
                <w:rFonts w:hint="eastAsia"/>
              </w:rPr>
            </w:pPr>
            <w:r w:rsidRPr="006317A8">
              <w:rPr>
                <w:rFonts w:hAnsi="等线"/>
                <w:color w:val="000000"/>
              </w:rPr>
              <w:t>-</w:t>
            </w:r>
          </w:p>
        </w:tc>
      </w:tr>
      <w:tr w:rsidR="001B413F" w14:paraId="6DCAD059" w14:textId="77777777" w:rsidTr="001B413F">
        <w:tc>
          <w:tcPr>
            <w:tcW w:w="1280" w:type="dxa"/>
            <w:tcBorders>
              <w:top w:val="single" w:sz="8" w:space="0" w:color="000000"/>
              <w:left w:val="single" w:sz="8" w:space="0" w:color="000000"/>
              <w:bottom w:val="single" w:sz="6" w:space="0" w:color="000000"/>
              <w:right w:val="single" w:sz="8" w:space="0" w:color="000000"/>
            </w:tcBorders>
            <w:vAlign w:val="center"/>
            <w:hideMark/>
          </w:tcPr>
          <w:p w14:paraId="34C70B04" w14:textId="77777777" w:rsidR="001B413F" w:rsidRDefault="001B413F" w:rsidP="001B413F">
            <w:pPr>
              <w:pStyle w:val="biaogecenter"/>
              <w:wordWrap w:val="0"/>
              <w:rPr>
                <w:rFonts w:hint="eastAsia"/>
              </w:rPr>
            </w:pPr>
            <w:r>
              <w:rPr>
                <w:rFonts w:hAnsi="等线"/>
                <w:color w:val="000000"/>
              </w:rPr>
              <w:t>8</w:t>
            </w:r>
          </w:p>
        </w:tc>
        <w:tc>
          <w:tcPr>
            <w:tcW w:w="3724" w:type="dxa"/>
            <w:tcBorders>
              <w:top w:val="single" w:sz="8" w:space="0" w:color="000000"/>
              <w:left w:val="single" w:sz="8" w:space="0" w:color="000000"/>
              <w:bottom w:val="single" w:sz="6" w:space="0" w:color="000000"/>
              <w:right w:val="single" w:sz="8" w:space="0" w:color="000000"/>
            </w:tcBorders>
            <w:vAlign w:val="center"/>
            <w:hideMark/>
          </w:tcPr>
          <w:p w14:paraId="52FE6A59" w14:textId="77777777" w:rsidR="001B413F" w:rsidRDefault="001B413F" w:rsidP="001B413F">
            <w:pPr>
              <w:pStyle w:val="biaogeleft"/>
              <w:wordWrap w:val="0"/>
              <w:rPr>
                <w:rFonts w:hint="eastAsia"/>
              </w:rPr>
            </w:pPr>
            <w:r>
              <w:rPr>
                <w:rFonts w:hAnsi="等线" w:hint="eastAsia"/>
                <w:color w:val="000000"/>
              </w:rPr>
              <w:t>合计</w:t>
            </w:r>
          </w:p>
        </w:tc>
        <w:tc>
          <w:tcPr>
            <w:tcW w:w="4076" w:type="dxa"/>
            <w:tcBorders>
              <w:top w:val="single" w:sz="8" w:space="0" w:color="000000"/>
              <w:left w:val="single" w:sz="8" w:space="0" w:color="000000"/>
              <w:bottom w:val="single" w:sz="6" w:space="0" w:color="000000"/>
              <w:right w:val="single" w:sz="8" w:space="0" w:color="000000"/>
            </w:tcBorders>
            <w:vAlign w:val="center"/>
            <w:hideMark/>
          </w:tcPr>
          <w:p w14:paraId="0542C6A1" w14:textId="7C485368" w:rsidR="001B413F" w:rsidRDefault="001B413F" w:rsidP="001B413F">
            <w:pPr>
              <w:pStyle w:val="biaogeright"/>
              <w:wordWrap w:val="0"/>
              <w:rPr>
                <w:rFonts w:hint="eastAsia"/>
              </w:rPr>
            </w:pPr>
            <w:r w:rsidRPr="006317A8">
              <w:rPr>
                <w:rFonts w:hAnsi="等线"/>
                <w:color w:val="000000"/>
              </w:rPr>
              <w:t>7,611.80</w:t>
            </w:r>
          </w:p>
        </w:tc>
      </w:tr>
    </w:tbl>
    <w:p w14:paraId="18A7D993" w14:textId="77777777" w:rsidR="004D3275" w:rsidRDefault="004D3275" w:rsidP="004D3275">
      <w:pPr>
        <w:spacing w:line="360" w:lineRule="auto"/>
        <w:ind w:firstLineChars="200" w:firstLine="480"/>
        <w:rPr>
          <w:rFonts w:asciiTheme="minorEastAsia" w:hAnsiTheme="minorEastAsia" w:cs="Times New Roman" w:hint="eastAsia"/>
          <w:sz w:val="24"/>
          <w:szCs w:val="24"/>
        </w:rPr>
      </w:pPr>
    </w:p>
    <w:p w14:paraId="7A529DF6"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w:t>
      </w:r>
      <w:r w:rsidRPr="009D467D">
        <w:rPr>
          <w:rFonts w:asciiTheme="minorEastAsia" w:hAnsiTheme="minorEastAsia" w:cs="Times New Roman" w:hint="eastAsia"/>
          <w:sz w:val="24"/>
          <w:szCs w:val="24"/>
        </w:rPr>
        <w:t>报告期末持有的处于转股期的可转换债券明细</w:t>
      </w:r>
    </w:p>
    <w:p w14:paraId="4E82E419"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sidRPr="009D467D">
        <w:rPr>
          <w:rFonts w:asciiTheme="minorEastAsia" w:hAnsiTheme="minorEastAsia" w:cs="Times New Roman" w:hint="eastAsia"/>
          <w:sz w:val="24"/>
          <w:szCs w:val="24"/>
        </w:rPr>
        <w:t>本基金本报告期末未持有处于转股期的可转换债券。</w:t>
      </w:r>
    </w:p>
    <w:p w14:paraId="0E756522"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p>
    <w:p w14:paraId="48B578DB"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sidRPr="009D467D">
        <w:rPr>
          <w:rFonts w:asciiTheme="minorEastAsia" w:hAnsiTheme="minorEastAsia" w:cs="Times New Roman" w:hint="eastAsia"/>
          <w:sz w:val="24"/>
          <w:szCs w:val="24"/>
        </w:rPr>
        <w:t xml:space="preserve"> 报告</w:t>
      </w:r>
      <w:proofErr w:type="gramStart"/>
      <w:r w:rsidRPr="009D467D">
        <w:rPr>
          <w:rFonts w:asciiTheme="minorEastAsia" w:hAnsiTheme="minorEastAsia" w:cs="Times New Roman" w:hint="eastAsia"/>
          <w:sz w:val="24"/>
          <w:szCs w:val="24"/>
        </w:rPr>
        <w:t>期末前</w:t>
      </w:r>
      <w:proofErr w:type="gramEnd"/>
      <w:r w:rsidRPr="009D467D">
        <w:rPr>
          <w:rFonts w:asciiTheme="minorEastAsia" w:hAnsiTheme="minorEastAsia" w:cs="Times New Roman" w:hint="eastAsia"/>
          <w:sz w:val="24"/>
          <w:szCs w:val="24"/>
        </w:rPr>
        <w:t>十名股票中存在流通受限情况的说明</w:t>
      </w:r>
    </w:p>
    <w:tbl>
      <w:tblPr>
        <w:tblW w:w="9080" w:type="dxa"/>
        <w:tblInd w:w="108" w:type="dxa"/>
        <w:tblLook w:val="04A0" w:firstRow="1" w:lastRow="0" w:firstColumn="1" w:lastColumn="0" w:noHBand="0" w:noVBand="1"/>
      </w:tblPr>
      <w:tblGrid>
        <w:gridCol w:w="471"/>
        <w:gridCol w:w="1358"/>
        <w:gridCol w:w="1540"/>
        <w:gridCol w:w="1994"/>
        <w:gridCol w:w="1722"/>
        <w:gridCol w:w="1995"/>
      </w:tblGrid>
      <w:tr w:rsidR="001B413F" w14:paraId="22D6018C" w14:textId="77777777" w:rsidTr="00CF6734">
        <w:tc>
          <w:tcPr>
            <w:tcW w:w="250" w:type="pct"/>
            <w:tcBorders>
              <w:top w:val="single" w:sz="8" w:space="0" w:color="000000"/>
              <w:left w:val="single" w:sz="8" w:space="0" w:color="000000"/>
              <w:bottom w:val="single" w:sz="6" w:space="0" w:color="000000"/>
              <w:right w:val="single" w:sz="8" w:space="0" w:color="000000"/>
            </w:tcBorders>
            <w:vAlign w:val="center"/>
            <w:hideMark/>
          </w:tcPr>
          <w:p w14:paraId="084A3DB2" w14:textId="77777777" w:rsidR="001B413F" w:rsidRDefault="001B413F" w:rsidP="00CF6734">
            <w:pPr>
              <w:pStyle w:val="biaogecenter"/>
              <w:wordWrap w:val="0"/>
              <w:rPr>
                <w:rFonts w:hint="eastAsia"/>
              </w:rPr>
            </w:pPr>
            <w:r>
              <w:rPr>
                <w:rFonts w:hAnsi="Calibri" w:hint="eastAsia"/>
                <w:color w:val="000000"/>
              </w:rPr>
              <w:t>序号</w:t>
            </w:r>
          </w:p>
        </w:tc>
        <w:tc>
          <w:tcPr>
            <w:tcW w:w="750" w:type="pct"/>
            <w:tcBorders>
              <w:top w:val="single" w:sz="8" w:space="0" w:color="000000"/>
              <w:left w:val="single" w:sz="8" w:space="0" w:color="000000"/>
              <w:bottom w:val="single" w:sz="6" w:space="0" w:color="000000"/>
              <w:right w:val="single" w:sz="8" w:space="0" w:color="000000"/>
            </w:tcBorders>
            <w:vAlign w:val="center"/>
            <w:hideMark/>
          </w:tcPr>
          <w:p w14:paraId="232D9AE7" w14:textId="77777777" w:rsidR="001B413F" w:rsidRDefault="001B413F" w:rsidP="00CF6734">
            <w:pPr>
              <w:pStyle w:val="biaogecenter"/>
              <w:wordWrap w:val="0"/>
              <w:rPr>
                <w:rFonts w:hint="eastAsia"/>
              </w:rPr>
            </w:pPr>
            <w:r>
              <w:rPr>
                <w:rFonts w:hAnsi="Calibri" w:hint="eastAsia"/>
                <w:color w:val="000000"/>
              </w:rPr>
              <w:t>股票代码</w:t>
            </w:r>
          </w:p>
        </w:tc>
        <w:tc>
          <w:tcPr>
            <w:tcW w:w="850" w:type="pct"/>
            <w:tcBorders>
              <w:top w:val="single" w:sz="8" w:space="0" w:color="000000"/>
              <w:left w:val="single" w:sz="8" w:space="0" w:color="000000"/>
              <w:bottom w:val="single" w:sz="6" w:space="0" w:color="000000"/>
              <w:right w:val="single" w:sz="8" w:space="0" w:color="000000"/>
            </w:tcBorders>
            <w:vAlign w:val="center"/>
            <w:hideMark/>
          </w:tcPr>
          <w:p w14:paraId="279C5418" w14:textId="77777777" w:rsidR="001B413F" w:rsidRDefault="001B413F" w:rsidP="00CF6734">
            <w:pPr>
              <w:pStyle w:val="biaogecenter"/>
              <w:wordWrap w:val="0"/>
              <w:rPr>
                <w:rFonts w:hint="eastAsia"/>
              </w:rPr>
            </w:pPr>
            <w:r>
              <w:rPr>
                <w:rFonts w:hAnsi="Calibri" w:hint="eastAsia"/>
                <w:color w:val="000000"/>
              </w:rPr>
              <w:t>股票名称</w:t>
            </w:r>
          </w:p>
        </w:tc>
        <w:tc>
          <w:tcPr>
            <w:tcW w:w="1100" w:type="pct"/>
            <w:tcBorders>
              <w:top w:val="single" w:sz="8" w:space="0" w:color="000000"/>
              <w:left w:val="single" w:sz="8" w:space="0" w:color="000000"/>
              <w:bottom w:val="single" w:sz="6" w:space="0" w:color="000000"/>
              <w:right w:val="single" w:sz="8" w:space="0" w:color="000000"/>
            </w:tcBorders>
            <w:vAlign w:val="center"/>
            <w:hideMark/>
          </w:tcPr>
          <w:p w14:paraId="3352F28D" w14:textId="77777777" w:rsidR="001B413F" w:rsidRDefault="001B413F" w:rsidP="00CF6734">
            <w:pPr>
              <w:pStyle w:val="biaogecenter"/>
              <w:wordWrap w:val="0"/>
              <w:rPr>
                <w:rFonts w:hint="eastAsia"/>
              </w:rPr>
            </w:pPr>
            <w:r>
              <w:rPr>
                <w:rFonts w:hAnsi="Calibri" w:hint="eastAsia"/>
                <w:color w:val="000000"/>
              </w:rPr>
              <w:t>流通受限部分的公允价值（元）</w:t>
            </w:r>
          </w:p>
        </w:tc>
        <w:tc>
          <w:tcPr>
            <w:tcW w:w="950" w:type="pct"/>
            <w:tcBorders>
              <w:top w:val="single" w:sz="8" w:space="0" w:color="000000"/>
              <w:left w:val="single" w:sz="8" w:space="0" w:color="000000"/>
              <w:bottom w:val="single" w:sz="6" w:space="0" w:color="000000"/>
              <w:right w:val="single" w:sz="8" w:space="0" w:color="000000"/>
            </w:tcBorders>
            <w:vAlign w:val="center"/>
            <w:hideMark/>
          </w:tcPr>
          <w:p w14:paraId="102FD48B" w14:textId="77777777" w:rsidR="001B413F" w:rsidRDefault="001B413F" w:rsidP="00CF6734">
            <w:pPr>
              <w:pStyle w:val="biaogecenter"/>
              <w:wordWrap w:val="0"/>
              <w:rPr>
                <w:rFonts w:hint="eastAsia"/>
              </w:rPr>
            </w:pPr>
            <w:r>
              <w:rPr>
                <w:rFonts w:hAnsi="Calibri" w:hint="eastAsia"/>
                <w:color w:val="000000"/>
              </w:rPr>
              <w:t>占基金资产净值比例（％）</w:t>
            </w:r>
          </w:p>
        </w:tc>
        <w:tc>
          <w:tcPr>
            <w:tcW w:w="1100" w:type="pct"/>
            <w:tcBorders>
              <w:top w:val="single" w:sz="8" w:space="0" w:color="000000"/>
              <w:left w:val="single" w:sz="8" w:space="0" w:color="000000"/>
              <w:bottom w:val="single" w:sz="6" w:space="0" w:color="000000"/>
              <w:right w:val="single" w:sz="8" w:space="0" w:color="000000"/>
            </w:tcBorders>
            <w:vAlign w:val="center"/>
            <w:hideMark/>
          </w:tcPr>
          <w:p w14:paraId="15F99501" w14:textId="77777777" w:rsidR="001B413F" w:rsidRDefault="001B413F" w:rsidP="00CF6734">
            <w:pPr>
              <w:pStyle w:val="biaogecenter"/>
              <w:wordWrap w:val="0"/>
              <w:rPr>
                <w:rFonts w:hint="eastAsia"/>
              </w:rPr>
            </w:pPr>
            <w:r>
              <w:rPr>
                <w:rFonts w:hAnsi="Calibri" w:hint="eastAsia"/>
                <w:color w:val="000000"/>
              </w:rPr>
              <w:t>流通受限情况说明</w:t>
            </w:r>
          </w:p>
        </w:tc>
      </w:tr>
      <w:tr w:rsidR="001B413F" w14:paraId="4D84439B" w14:textId="77777777" w:rsidTr="00CF6734">
        <w:tc>
          <w:tcPr>
            <w:tcW w:w="0" w:type="auto"/>
            <w:tcBorders>
              <w:top w:val="single" w:sz="8" w:space="0" w:color="000000"/>
              <w:left w:val="single" w:sz="8" w:space="0" w:color="000000"/>
              <w:bottom w:val="single" w:sz="6" w:space="0" w:color="000000"/>
              <w:right w:val="single" w:sz="8" w:space="0" w:color="000000"/>
            </w:tcBorders>
            <w:vAlign w:val="center"/>
            <w:hideMark/>
          </w:tcPr>
          <w:p w14:paraId="07062035" w14:textId="77777777" w:rsidR="001B413F" w:rsidRDefault="001B413F" w:rsidP="00CF6734">
            <w:pPr>
              <w:pStyle w:val="biaogecenter"/>
              <w:wordWrap w:val="0"/>
              <w:rPr>
                <w:rFonts w:hint="eastAsia"/>
              </w:rPr>
            </w:pPr>
            <w:r>
              <w:rPr>
                <w:rFonts w:hAnsi="Calibri"/>
                <w:color w:val="000000"/>
              </w:rPr>
              <w:t>1</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10E3FE6" w14:textId="77777777" w:rsidR="001B413F" w:rsidRDefault="001B413F" w:rsidP="00CF6734">
            <w:pPr>
              <w:pStyle w:val="biaogeleft"/>
              <w:wordWrap w:val="0"/>
              <w:rPr>
                <w:rFonts w:hint="eastAsia"/>
              </w:rPr>
            </w:pPr>
            <w:r>
              <w:rPr>
                <w:rFonts w:hAnsi="Calibri"/>
                <w:color w:val="000000"/>
              </w:rPr>
              <w:t>688313</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AB623F2" w14:textId="77777777" w:rsidR="001B413F" w:rsidRDefault="001B413F" w:rsidP="00CF6734">
            <w:pPr>
              <w:pStyle w:val="biaogeleft"/>
              <w:wordWrap w:val="0"/>
              <w:rPr>
                <w:rFonts w:hint="eastAsia"/>
              </w:rPr>
            </w:pPr>
            <w:proofErr w:type="gramStart"/>
            <w:r>
              <w:rPr>
                <w:rFonts w:hAnsi="Calibri" w:hint="eastAsia"/>
                <w:color w:val="000000"/>
              </w:rPr>
              <w:t>仕</w:t>
            </w:r>
            <w:proofErr w:type="gramEnd"/>
            <w:r>
              <w:rPr>
                <w:rFonts w:hAnsi="Calibri" w:hint="eastAsia"/>
                <w:color w:val="000000"/>
              </w:rPr>
              <w:t>佳光子</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88DE4C0" w14:textId="77777777" w:rsidR="001B413F" w:rsidRDefault="001B413F" w:rsidP="00CF6734">
            <w:pPr>
              <w:pStyle w:val="biaogeright"/>
              <w:wordWrap w:val="0"/>
              <w:rPr>
                <w:rFonts w:hint="eastAsia"/>
              </w:rPr>
            </w:pPr>
            <w:r>
              <w:rPr>
                <w:rFonts w:hAnsi="Calibri"/>
                <w:color w:val="000000"/>
              </w:rPr>
              <w:t>197,555.60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68D7637" w14:textId="77777777" w:rsidR="001B413F" w:rsidRDefault="001B413F" w:rsidP="00CF6734">
            <w:pPr>
              <w:pStyle w:val="biaogeright"/>
              <w:wordWrap w:val="0"/>
              <w:rPr>
                <w:rFonts w:hint="eastAsia"/>
              </w:rPr>
            </w:pPr>
            <w:r>
              <w:rPr>
                <w:rFonts w:hAnsi="Calibri"/>
                <w:color w:val="000000"/>
              </w:rPr>
              <w:t>4.39</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BFCD501" w14:textId="77777777" w:rsidR="001B413F" w:rsidRDefault="001B413F" w:rsidP="00CF6734">
            <w:pPr>
              <w:pStyle w:val="biaogeleft"/>
              <w:wordWrap w:val="0"/>
              <w:rPr>
                <w:rFonts w:hint="eastAsia"/>
              </w:rPr>
            </w:pPr>
            <w:r>
              <w:rPr>
                <w:rFonts w:hAnsi="Calibri" w:hint="eastAsia"/>
                <w:color w:val="000000"/>
              </w:rPr>
              <w:t>停牌</w:t>
            </w:r>
          </w:p>
        </w:tc>
      </w:tr>
    </w:tbl>
    <w:p w14:paraId="5B14271F"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p>
    <w:p w14:paraId="2F2DB0FF"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w:t>
      </w:r>
      <w:r w:rsidRPr="009D467D">
        <w:rPr>
          <w:rFonts w:asciiTheme="minorEastAsia" w:hAnsiTheme="minorEastAsia" w:cs="Times New Roman" w:hint="eastAsia"/>
          <w:sz w:val="24"/>
          <w:szCs w:val="24"/>
        </w:rPr>
        <w:t>投资组合报告附注的其他文字描述部分</w:t>
      </w:r>
    </w:p>
    <w:p w14:paraId="7917F873" w14:textId="78831456" w:rsidR="00AC7860" w:rsidRDefault="004D3275" w:rsidP="004E75AB">
      <w:pPr>
        <w:spacing w:line="360" w:lineRule="auto"/>
        <w:ind w:firstLineChars="200" w:firstLine="480"/>
        <w:rPr>
          <w:rFonts w:asciiTheme="minorEastAsia" w:hAnsiTheme="minorEastAsia" w:cs="Times New Roman" w:hint="eastAsia"/>
          <w:sz w:val="24"/>
          <w:szCs w:val="24"/>
        </w:rPr>
      </w:pPr>
      <w:r w:rsidRPr="009D467D">
        <w:rPr>
          <w:rFonts w:asciiTheme="minorEastAsia" w:hAnsiTheme="minorEastAsia" w:cs="Times New Roman" w:hint="eastAsia"/>
          <w:sz w:val="24"/>
          <w:szCs w:val="24"/>
        </w:rPr>
        <w:t>由于四舍五入原因，分项之和与合计可能有尾差。</w:t>
      </w:r>
    </w:p>
    <w:p w14:paraId="206C8842" w14:textId="77777777" w:rsidR="00AC7860" w:rsidRDefault="00AC7860" w:rsidP="004E75AB">
      <w:pPr>
        <w:spacing w:line="360" w:lineRule="auto"/>
        <w:ind w:firstLineChars="200" w:firstLine="480"/>
        <w:rPr>
          <w:rFonts w:asciiTheme="minorEastAsia" w:hAnsiTheme="minorEastAsia" w:cs="Times New Roman" w:hint="eastAsia"/>
          <w:sz w:val="24"/>
          <w:szCs w:val="24"/>
        </w:rPr>
      </w:pPr>
    </w:p>
    <w:p w14:paraId="3753D454" w14:textId="73475AC8" w:rsidR="00AC7860" w:rsidRDefault="00AC7860" w:rsidP="00026284">
      <w:pPr>
        <w:spacing w:line="360" w:lineRule="auto"/>
        <w:ind w:firstLineChars="200" w:firstLine="482"/>
        <w:rPr>
          <w:rFonts w:asciiTheme="minorEastAsia" w:hAnsiTheme="minorEastAsia" w:cs="Times New Roman" w:hint="eastAsia"/>
          <w:b/>
          <w:bCs/>
          <w:sz w:val="24"/>
          <w:szCs w:val="24"/>
        </w:rPr>
      </w:pPr>
      <w:r w:rsidRPr="00026284">
        <w:rPr>
          <w:rFonts w:asciiTheme="minorEastAsia" w:hAnsiTheme="minorEastAsia" w:cs="Times New Roman" w:hint="eastAsia"/>
          <w:b/>
          <w:bCs/>
          <w:sz w:val="24"/>
          <w:szCs w:val="24"/>
        </w:rPr>
        <w:t>十、</w:t>
      </w:r>
      <w:r>
        <w:rPr>
          <w:rFonts w:asciiTheme="minorEastAsia" w:hAnsiTheme="minorEastAsia" w:cs="Times New Roman" w:hint="eastAsia"/>
          <w:b/>
          <w:bCs/>
          <w:sz w:val="24"/>
          <w:szCs w:val="24"/>
        </w:rPr>
        <w:t>基金净值表现</w:t>
      </w:r>
    </w:p>
    <w:p w14:paraId="42D112AD" w14:textId="7766136D" w:rsidR="004D3275" w:rsidRPr="00CF30D6" w:rsidRDefault="004D3275" w:rsidP="004D3275">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69C65C26" w14:textId="77777777" w:rsidR="004D3275" w:rsidRPr="00EF7285" w:rsidRDefault="004D3275" w:rsidP="004D3275">
      <w:pPr>
        <w:pStyle w:val="biaogeleft"/>
        <w:ind w:firstLine="420"/>
        <w:rPr>
          <w:rFonts w:hint="eastAsia"/>
        </w:rPr>
      </w:pPr>
      <w:r>
        <w:rPr>
          <w:rFonts w:hAnsi="等线" w:hint="eastAsia"/>
          <w:color w:val="000000"/>
        </w:rPr>
        <w:t>富荣研究优选混合</w:t>
      </w:r>
      <w:r>
        <w:rPr>
          <w:rFonts w:hAnsi="等线"/>
          <w:color w:val="000000"/>
        </w:rPr>
        <w:t>A</w:t>
      </w:r>
    </w:p>
    <w:tbl>
      <w:tblPr>
        <w:tblW w:w="9080" w:type="dxa"/>
        <w:jc w:val="center"/>
        <w:tblLook w:val="04A0" w:firstRow="1" w:lastRow="0" w:firstColumn="1" w:lastColumn="0" w:noHBand="0" w:noVBand="1"/>
      </w:tblPr>
      <w:tblGrid>
        <w:gridCol w:w="1457"/>
        <w:gridCol w:w="1271"/>
        <w:gridCol w:w="1271"/>
        <w:gridCol w:w="1271"/>
        <w:gridCol w:w="1271"/>
        <w:gridCol w:w="1271"/>
        <w:gridCol w:w="1268"/>
      </w:tblGrid>
      <w:tr w:rsidR="004D3275" w14:paraId="4559DFFE" w14:textId="77777777" w:rsidTr="00114C8C">
        <w:trPr>
          <w:jc w:val="center"/>
        </w:trPr>
        <w:tc>
          <w:tcPr>
            <w:tcW w:w="802" w:type="pct"/>
            <w:tcBorders>
              <w:top w:val="single" w:sz="8" w:space="0" w:color="000000"/>
              <w:left w:val="single" w:sz="8" w:space="0" w:color="000000"/>
              <w:bottom w:val="single" w:sz="6" w:space="0" w:color="000000"/>
              <w:right w:val="single" w:sz="8" w:space="0" w:color="000000"/>
            </w:tcBorders>
            <w:vAlign w:val="center"/>
            <w:hideMark/>
          </w:tcPr>
          <w:p w14:paraId="79CA0DD2" w14:textId="77777777" w:rsidR="004D3275" w:rsidRDefault="004D3275" w:rsidP="00114C8C">
            <w:pPr>
              <w:pStyle w:val="biaogeleft"/>
              <w:wordWrap w:val="0"/>
              <w:rPr>
                <w:rFonts w:hint="eastAsia"/>
              </w:rPr>
            </w:pPr>
            <w:r>
              <w:rPr>
                <w:rFonts w:hAnsi="等线" w:hint="eastAsia"/>
                <w:color w:val="000000"/>
              </w:rPr>
              <w:t>阶段</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57812055" w14:textId="77777777" w:rsidR="004D3275" w:rsidRDefault="004D3275" w:rsidP="00114C8C">
            <w:pPr>
              <w:pStyle w:val="biaogecenter"/>
              <w:wordWrap w:val="0"/>
              <w:rPr>
                <w:rFonts w:hint="eastAsia"/>
              </w:rPr>
            </w:pPr>
            <w:r>
              <w:rPr>
                <w:rFonts w:hAnsi="等线" w:hint="eastAsia"/>
                <w:color w:val="000000"/>
              </w:rPr>
              <w:t>净值增长率①</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0FC23E37" w14:textId="77777777" w:rsidR="004D3275" w:rsidRDefault="004D3275" w:rsidP="00114C8C">
            <w:pPr>
              <w:pStyle w:val="biaogecenter"/>
              <w:wordWrap w:val="0"/>
              <w:rPr>
                <w:rFonts w:hint="eastAsia"/>
              </w:rPr>
            </w:pPr>
            <w:r>
              <w:rPr>
                <w:rFonts w:hAnsi="等线" w:hint="eastAsia"/>
                <w:color w:val="000000"/>
              </w:rPr>
              <w:t>净值增长率标准差②</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29D97596" w14:textId="77777777" w:rsidR="004D3275" w:rsidRDefault="004D3275" w:rsidP="00114C8C">
            <w:pPr>
              <w:pStyle w:val="biaogecenter"/>
              <w:wordWrap w:val="0"/>
              <w:rPr>
                <w:rFonts w:hint="eastAsia"/>
              </w:rPr>
            </w:pPr>
            <w:r>
              <w:rPr>
                <w:rFonts w:hAnsi="等线" w:hint="eastAsia"/>
                <w:color w:val="000000"/>
              </w:rPr>
              <w:t>业绩比较基准收益率③</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1680B869" w14:textId="77777777" w:rsidR="004D3275" w:rsidRDefault="004D3275" w:rsidP="00114C8C">
            <w:pPr>
              <w:pStyle w:val="biaogecenter"/>
              <w:wordWrap w:val="0"/>
              <w:rPr>
                <w:rFonts w:hint="eastAsia"/>
              </w:rPr>
            </w:pPr>
            <w:r>
              <w:rPr>
                <w:rFonts w:hAnsi="等线" w:hint="eastAsia"/>
                <w:color w:val="000000"/>
              </w:rPr>
              <w:t>业绩比较基准收益率标准差④</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632F6178" w14:textId="77777777" w:rsidR="004D3275" w:rsidRDefault="004D3275" w:rsidP="00114C8C">
            <w:pPr>
              <w:pStyle w:val="biaogecenter"/>
              <w:wordWrap w:val="0"/>
              <w:rPr>
                <w:rFonts w:hint="eastAsia"/>
              </w:rPr>
            </w:pPr>
            <w:r>
              <w:rPr>
                <w:rFonts w:hAnsi="等线" w:hint="eastAsia"/>
                <w:color w:val="000000"/>
              </w:rPr>
              <w:t>①</w:t>
            </w:r>
            <w:r>
              <w:rPr>
                <w:rFonts w:hAnsi="等线"/>
                <w:color w:val="000000"/>
              </w:rPr>
              <w:t>-</w:t>
            </w:r>
            <w:r>
              <w:rPr>
                <w:rFonts w:hAnsi="等线" w:hint="eastAsia"/>
                <w:color w:val="000000"/>
              </w:rPr>
              <w:t>③</w:t>
            </w:r>
          </w:p>
        </w:tc>
        <w:tc>
          <w:tcPr>
            <w:tcW w:w="698" w:type="pct"/>
            <w:tcBorders>
              <w:top w:val="single" w:sz="8" w:space="0" w:color="000000"/>
              <w:left w:val="single" w:sz="8" w:space="0" w:color="000000"/>
              <w:bottom w:val="single" w:sz="6" w:space="0" w:color="000000"/>
              <w:right w:val="single" w:sz="8" w:space="0" w:color="000000"/>
            </w:tcBorders>
            <w:vAlign w:val="center"/>
            <w:hideMark/>
          </w:tcPr>
          <w:p w14:paraId="2BBB23D1" w14:textId="77777777" w:rsidR="004D3275" w:rsidRDefault="004D3275" w:rsidP="00114C8C">
            <w:pPr>
              <w:pStyle w:val="biaogecenter"/>
              <w:wordWrap w:val="0"/>
              <w:rPr>
                <w:rFonts w:hint="eastAsia"/>
              </w:rPr>
            </w:pPr>
            <w:r>
              <w:rPr>
                <w:rFonts w:hAnsi="等线" w:hint="eastAsia"/>
                <w:color w:val="000000"/>
              </w:rPr>
              <w:t>②</w:t>
            </w:r>
            <w:r>
              <w:rPr>
                <w:rFonts w:hAnsi="等线"/>
                <w:color w:val="000000"/>
              </w:rPr>
              <w:t>-</w:t>
            </w:r>
            <w:r>
              <w:rPr>
                <w:rFonts w:hAnsi="等线" w:hint="eastAsia"/>
                <w:color w:val="000000"/>
              </w:rPr>
              <w:t>④</w:t>
            </w:r>
          </w:p>
        </w:tc>
      </w:tr>
      <w:tr w:rsidR="004D3275" w14:paraId="6F9EA22C" w14:textId="77777777" w:rsidTr="00114C8C">
        <w:trPr>
          <w:jc w:val="center"/>
        </w:trPr>
        <w:tc>
          <w:tcPr>
            <w:tcW w:w="0" w:type="auto"/>
            <w:tcBorders>
              <w:top w:val="single" w:sz="8" w:space="0" w:color="000000"/>
              <w:left w:val="single" w:sz="8" w:space="0" w:color="000000"/>
              <w:bottom w:val="single" w:sz="6" w:space="0" w:color="000000"/>
              <w:right w:val="single" w:sz="8" w:space="0" w:color="000000"/>
            </w:tcBorders>
            <w:vAlign w:val="center"/>
            <w:hideMark/>
          </w:tcPr>
          <w:p w14:paraId="23F2EFA9" w14:textId="77777777" w:rsidR="004D3275" w:rsidRDefault="004D3275" w:rsidP="00114C8C">
            <w:pPr>
              <w:pStyle w:val="biaogeleft"/>
              <w:wordWrap w:val="0"/>
              <w:rPr>
                <w:rFonts w:hint="eastAsia"/>
              </w:rPr>
            </w:pPr>
            <w:r w:rsidRPr="001C17CF">
              <w:rPr>
                <w:rFonts w:asciiTheme="minorEastAsia" w:eastAsiaTheme="minorEastAsia" w:hAnsiTheme="minorEastAsia" w:hint="eastAsia"/>
                <w:color w:val="000000"/>
                <w:sz w:val="22"/>
                <w:szCs w:val="22"/>
              </w:rPr>
              <w:t>202</w:t>
            </w:r>
            <w:r>
              <w:rPr>
                <w:rFonts w:asciiTheme="minorEastAsia" w:eastAsiaTheme="minorEastAsia" w:hAnsiTheme="minorEastAsia" w:hint="eastAsia"/>
                <w:color w:val="000000"/>
                <w:sz w:val="22"/>
                <w:szCs w:val="22"/>
              </w:rPr>
              <w:t>3</w:t>
            </w:r>
            <w:r w:rsidRPr="001C17CF">
              <w:rPr>
                <w:rFonts w:asciiTheme="minorEastAsia" w:eastAsiaTheme="minorEastAsia" w:hAnsiTheme="minorEastAsia" w:hint="eastAsia"/>
                <w:color w:val="000000"/>
                <w:sz w:val="22"/>
                <w:szCs w:val="22"/>
              </w:rPr>
              <w:t>.</w:t>
            </w:r>
            <w:r>
              <w:rPr>
                <w:rFonts w:asciiTheme="minorEastAsia" w:eastAsiaTheme="minorEastAsia" w:hAnsiTheme="minorEastAsia" w:hint="eastAsia"/>
                <w:color w:val="000000"/>
                <w:sz w:val="22"/>
                <w:szCs w:val="22"/>
              </w:rPr>
              <w:t>09</w:t>
            </w:r>
            <w:r w:rsidRPr="001C17CF">
              <w:rPr>
                <w:rFonts w:asciiTheme="minorEastAsia" w:eastAsiaTheme="minorEastAsia" w:hAnsiTheme="minorEastAsia" w:hint="eastAsia"/>
                <w:color w:val="000000"/>
                <w:sz w:val="22"/>
                <w:szCs w:val="22"/>
              </w:rPr>
              <w:t>.</w:t>
            </w:r>
            <w:r>
              <w:rPr>
                <w:rFonts w:asciiTheme="minorEastAsia" w:eastAsiaTheme="minorEastAsia" w:hAnsiTheme="minorEastAsia" w:hint="eastAsia"/>
                <w:color w:val="000000"/>
                <w:sz w:val="22"/>
                <w:szCs w:val="22"/>
              </w:rPr>
              <w:t>19</w:t>
            </w:r>
            <w:r w:rsidRPr="001C17CF">
              <w:rPr>
                <w:rFonts w:asciiTheme="minorEastAsia" w:eastAsiaTheme="minorEastAsia" w:hAnsiTheme="minorEastAsia" w:hint="eastAsia"/>
                <w:color w:val="000000"/>
                <w:sz w:val="22"/>
                <w:szCs w:val="22"/>
              </w:rPr>
              <w:t>~202</w:t>
            </w:r>
            <w:r>
              <w:rPr>
                <w:rFonts w:asciiTheme="minorEastAsia" w:eastAsiaTheme="minorEastAsia" w:hAnsiTheme="minorEastAsia" w:hint="eastAsia"/>
                <w:color w:val="000000"/>
                <w:sz w:val="22"/>
                <w:szCs w:val="22"/>
              </w:rPr>
              <w:t>3</w:t>
            </w:r>
            <w:r w:rsidRPr="001C17CF">
              <w:rPr>
                <w:rFonts w:asciiTheme="minorEastAsia" w:eastAsiaTheme="minorEastAsia" w:hAnsiTheme="minorEastAsia" w:hint="eastAsia"/>
                <w:color w:val="000000"/>
                <w:sz w:val="22"/>
                <w:szCs w:val="22"/>
              </w:rPr>
              <w:t>.</w:t>
            </w:r>
            <w:r>
              <w:rPr>
                <w:rFonts w:asciiTheme="minorEastAsia" w:eastAsiaTheme="minorEastAsia" w:hAnsiTheme="minorEastAsia" w:hint="eastAsia"/>
                <w:color w:val="000000"/>
                <w:sz w:val="22"/>
                <w:szCs w:val="22"/>
              </w:rPr>
              <w:t>12</w:t>
            </w:r>
            <w:r w:rsidRPr="001C17CF">
              <w:rPr>
                <w:rFonts w:asciiTheme="minorEastAsia" w:eastAsiaTheme="minorEastAsia" w:hAnsiTheme="minorEastAsia" w:hint="eastAsia"/>
                <w:color w:val="000000"/>
                <w:sz w:val="22"/>
                <w:szCs w:val="22"/>
              </w:rPr>
              <w:t>.3</w:t>
            </w:r>
            <w:r>
              <w:rPr>
                <w:rFonts w:asciiTheme="minorEastAsia" w:eastAsiaTheme="minorEastAsia" w:hAnsiTheme="minorEastAsia" w:hint="eastAsia"/>
                <w:color w:val="000000"/>
                <w:sz w:val="22"/>
                <w:szCs w:val="22"/>
              </w:rPr>
              <w:t>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9E0FED0" w14:textId="77777777" w:rsidR="004D3275" w:rsidRDefault="004D3275" w:rsidP="00114C8C">
            <w:pPr>
              <w:pStyle w:val="biaogecenter"/>
              <w:wordWrap w:val="0"/>
              <w:rPr>
                <w:rFonts w:hint="eastAsia"/>
              </w:rPr>
            </w:pPr>
            <w:r>
              <w:rPr>
                <w:rFonts w:hAnsi="等线"/>
                <w:color w:val="000000"/>
              </w:rPr>
              <w:t>-3.98%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79C31EE" w14:textId="77777777" w:rsidR="004D3275" w:rsidRDefault="004D3275" w:rsidP="00114C8C">
            <w:pPr>
              <w:pStyle w:val="biaogecenter"/>
              <w:wordWrap w:val="0"/>
              <w:rPr>
                <w:rFonts w:hint="eastAsia"/>
              </w:rPr>
            </w:pPr>
            <w:r>
              <w:rPr>
                <w:rFonts w:hAnsi="等线"/>
                <w:color w:val="000000"/>
              </w:rPr>
              <w:t>0.50%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E342C10" w14:textId="77777777" w:rsidR="004D3275" w:rsidRDefault="004D3275" w:rsidP="00114C8C">
            <w:pPr>
              <w:pStyle w:val="biaogecenter"/>
              <w:wordWrap w:val="0"/>
              <w:rPr>
                <w:rFonts w:hint="eastAsia"/>
              </w:rPr>
            </w:pPr>
            <w:r>
              <w:rPr>
                <w:rFonts w:hAnsi="等线"/>
                <w:color w:val="000000"/>
              </w:rPr>
              <w:t>-6.25%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28B28EC" w14:textId="77777777" w:rsidR="004D3275" w:rsidRDefault="004D3275" w:rsidP="00114C8C">
            <w:pPr>
              <w:pStyle w:val="biaogecenter"/>
              <w:wordWrap w:val="0"/>
              <w:rPr>
                <w:rFonts w:hint="eastAsia"/>
              </w:rPr>
            </w:pPr>
            <w:r>
              <w:rPr>
                <w:rFonts w:hAnsi="等线"/>
                <w:color w:val="000000"/>
              </w:rPr>
              <w:t>0.63%</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FADA7AC" w14:textId="77777777" w:rsidR="004D3275" w:rsidRDefault="004D3275" w:rsidP="00114C8C">
            <w:pPr>
              <w:pStyle w:val="biaogecenter"/>
              <w:wordWrap w:val="0"/>
              <w:rPr>
                <w:rFonts w:hint="eastAsia"/>
              </w:rPr>
            </w:pPr>
            <w:r>
              <w:rPr>
                <w:rFonts w:hAnsi="等线"/>
                <w:color w:val="000000"/>
              </w:rPr>
              <w:t>2.27%</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4064555" w14:textId="77777777" w:rsidR="004D3275" w:rsidRDefault="004D3275" w:rsidP="00114C8C">
            <w:pPr>
              <w:pStyle w:val="biaogecenter"/>
              <w:wordWrap w:val="0"/>
              <w:rPr>
                <w:rFonts w:hint="eastAsia"/>
              </w:rPr>
            </w:pPr>
            <w:r>
              <w:rPr>
                <w:rFonts w:hAnsi="等线"/>
                <w:color w:val="000000"/>
              </w:rPr>
              <w:t>-0.13%</w:t>
            </w:r>
          </w:p>
        </w:tc>
      </w:tr>
      <w:tr w:rsidR="001B413F" w14:paraId="17B7A0B7" w14:textId="77777777" w:rsidTr="00114C8C">
        <w:trPr>
          <w:jc w:val="center"/>
        </w:trPr>
        <w:tc>
          <w:tcPr>
            <w:tcW w:w="0" w:type="auto"/>
            <w:tcBorders>
              <w:top w:val="single" w:sz="8" w:space="0" w:color="000000"/>
              <w:left w:val="single" w:sz="8" w:space="0" w:color="000000"/>
              <w:bottom w:val="single" w:sz="6" w:space="0" w:color="000000"/>
              <w:right w:val="single" w:sz="8" w:space="0" w:color="000000"/>
            </w:tcBorders>
            <w:vAlign w:val="center"/>
            <w:hideMark/>
          </w:tcPr>
          <w:p w14:paraId="33C05916" w14:textId="0C4AFBC0" w:rsidR="001B413F" w:rsidRDefault="001B413F" w:rsidP="001B413F">
            <w:pPr>
              <w:pStyle w:val="biaogeleft"/>
              <w:wordWrap w:val="0"/>
              <w:rPr>
                <w:rFonts w:hint="eastAsia"/>
              </w:rPr>
            </w:pPr>
            <w:r w:rsidRPr="001C17CF">
              <w:rPr>
                <w:rFonts w:asciiTheme="minorEastAsia" w:eastAsiaTheme="minorEastAsia" w:hAnsiTheme="minorEastAsia" w:hint="eastAsia"/>
                <w:color w:val="000000"/>
                <w:sz w:val="22"/>
                <w:szCs w:val="22"/>
              </w:rPr>
              <w:lastRenderedPageBreak/>
              <w:t>202</w:t>
            </w:r>
            <w:r>
              <w:rPr>
                <w:rFonts w:asciiTheme="minorEastAsia" w:eastAsiaTheme="minorEastAsia" w:hAnsiTheme="minorEastAsia" w:hint="eastAsia"/>
                <w:color w:val="000000"/>
                <w:sz w:val="22"/>
                <w:szCs w:val="22"/>
              </w:rPr>
              <w:t>4</w:t>
            </w:r>
            <w:r w:rsidRPr="001C17CF">
              <w:rPr>
                <w:rFonts w:asciiTheme="minorEastAsia" w:eastAsiaTheme="minorEastAsia" w:hAnsiTheme="minorEastAsia" w:hint="eastAsia"/>
                <w:color w:val="000000"/>
                <w:sz w:val="22"/>
                <w:szCs w:val="22"/>
              </w:rPr>
              <w:t>.</w:t>
            </w:r>
            <w:r>
              <w:rPr>
                <w:rFonts w:asciiTheme="minorEastAsia" w:eastAsiaTheme="minorEastAsia" w:hAnsiTheme="minorEastAsia" w:hint="eastAsia"/>
                <w:color w:val="000000"/>
                <w:sz w:val="22"/>
                <w:szCs w:val="22"/>
              </w:rPr>
              <w:t>01</w:t>
            </w:r>
            <w:r w:rsidRPr="001C17CF">
              <w:rPr>
                <w:rFonts w:asciiTheme="minorEastAsia" w:eastAsiaTheme="minorEastAsia" w:hAnsiTheme="minorEastAsia" w:hint="eastAsia"/>
                <w:color w:val="000000"/>
                <w:sz w:val="22"/>
                <w:szCs w:val="22"/>
              </w:rPr>
              <w:t>.01~202</w:t>
            </w:r>
            <w:r>
              <w:rPr>
                <w:rFonts w:asciiTheme="minorEastAsia" w:eastAsiaTheme="minorEastAsia" w:hAnsiTheme="minorEastAsia" w:hint="eastAsia"/>
                <w:color w:val="000000"/>
                <w:sz w:val="22"/>
                <w:szCs w:val="22"/>
              </w:rPr>
              <w:t>4</w:t>
            </w:r>
            <w:r w:rsidRPr="001C17CF">
              <w:rPr>
                <w:rFonts w:asciiTheme="minorEastAsia" w:eastAsiaTheme="minorEastAsia" w:hAnsiTheme="minorEastAsia" w:hint="eastAsia"/>
                <w:color w:val="000000"/>
                <w:sz w:val="22"/>
                <w:szCs w:val="22"/>
              </w:rPr>
              <w:t>.</w:t>
            </w:r>
            <w:r>
              <w:rPr>
                <w:rFonts w:asciiTheme="minorEastAsia" w:eastAsiaTheme="minorEastAsia" w:hAnsiTheme="minorEastAsia" w:hint="eastAsia"/>
                <w:color w:val="000000"/>
                <w:sz w:val="22"/>
                <w:szCs w:val="22"/>
              </w:rPr>
              <w:t>12</w:t>
            </w:r>
            <w:r w:rsidRPr="001C17CF">
              <w:rPr>
                <w:rFonts w:asciiTheme="minorEastAsia" w:eastAsiaTheme="minorEastAsia" w:hAnsiTheme="minorEastAsia" w:hint="eastAsia"/>
                <w:color w:val="000000"/>
                <w:sz w:val="22"/>
                <w:szCs w:val="22"/>
              </w:rPr>
              <w:t>.</w:t>
            </w:r>
            <w:r>
              <w:rPr>
                <w:rFonts w:asciiTheme="minorEastAsia" w:eastAsiaTheme="minorEastAsia" w:hAnsiTheme="minorEastAsia" w:hint="eastAsia"/>
                <w:color w:val="000000"/>
                <w:sz w:val="22"/>
                <w:szCs w:val="22"/>
              </w:rPr>
              <w:t>31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526786E" w14:textId="33A8B976" w:rsidR="001B413F" w:rsidRDefault="001B413F" w:rsidP="001B413F">
            <w:pPr>
              <w:pStyle w:val="biaogecenter"/>
              <w:wordWrap w:val="0"/>
              <w:rPr>
                <w:rFonts w:hint="eastAsia"/>
              </w:rPr>
            </w:pPr>
            <w:r>
              <w:rPr>
                <w:rFonts w:hAnsi="Calibri"/>
                <w:color w:val="000000"/>
              </w:rPr>
              <w:t>-0.44%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FE71330" w14:textId="6ADFACFF" w:rsidR="001B413F" w:rsidRDefault="001B413F" w:rsidP="001B413F">
            <w:pPr>
              <w:pStyle w:val="biaogecenter"/>
              <w:wordWrap w:val="0"/>
              <w:rPr>
                <w:rFonts w:hint="eastAsia"/>
              </w:rPr>
            </w:pPr>
            <w:r>
              <w:rPr>
                <w:rFonts w:hAnsi="Calibri"/>
                <w:color w:val="000000"/>
              </w:rPr>
              <w:t>1.40%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ED802C3" w14:textId="21FC9745" w:rsidR="001B413F" w:rsidRDefault="001B413F" w:rsidP="001B413F">
            <w:pPr>
              <w:pStyle w:val="biaogecenter"/>
              <w:wordWrap w:val="0"/>
              <w:rPr>
                <w:rFonts w:hint="eastAsia"/>
              </w:rPr>
            </w:pPr>
            <w:r>
              <w:rPr>
                <w:rFonts w:hAnsi="Calibri"/>
                <w:color w:val="000000"/>
              </w:rPr>
              <w:t>13.08%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FEEC302" w14:textId="7243E371" w:rsidR="001B413F" w:rsidRDefault="001B413F" w:rsidP="001B413F">
            <w:pPr>
              <w:pStyle w:val="biaogecenter"/>
              <w:wordWrap w:val="0"/>
              <w:rPr>
                <w:rFonts w:hint="eastAsia"/>
              </w:rPr>
            </w:pPr>
            <w:r>
              <w:rPr>
                <w:rFonts w:hAnsi="Calibri"/>
                <w:color w:val="000000"/>
              </w:rPr>
              <w:t>1.07%</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5BC3192" w14:textId="31795ACA" w:rsidR="001B413F" w:rsidRDefault="001B413F" w:rsidP="001B413F">
            <w:pPr>
              <w:pStyle w:val="biaogecenter"/>
              <w:wordWrap w:val="0"/>
              <w:rPr>
                <w:rFonts w:hint="eastAsia"/>
              </w:rPr>
            </w:pPr>
            <w:r>
              <w:rPr>
                <w:rFonts w:hAnsi="Calibri"/>
                <w:color w:val="000000"/>
              </w:rPr>
              <w:t>-13.52%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FC65BAC" w14:textId="179CD13A" w:rsidR="001B413F" w:rsidRDefault="001B413F" w:rsidP="001B413F">
            <w:pPr>
              <w:pStyle w:val="biaogecenter"/>
              <w:wordWrap w:val="0"/>
              <w:rPr>
                <w:rFonts w:hint="eastAsia"/>
              </w:rPr>
            </w:pPr>
            <w:r>
              <w:rPr>
                <w:rFonts w:hAnsi="Calibri"/>
                <w:color w:val="000000"/>
              </w:rPr>
              <w:t>0.33%</w:t>
            </w:r>
          </w:p>
        </w:tc>
      </w:tr>
      <w:tr w:rsidR="001B413F" w14:paraId="785D21C7" w14:textId="77777777" w:rsidTr="00114C8C">
        <w:trPr>
          <w:jc w:val="center"/>
        </w:trPr>
        <w:tc>
          <w:tcPr>
            <w:tcW w:w="0" w:type="auto"/>
            <w:tcBorders>
              <w:top w:val="single" w:sz="8" w:space="0" w:color="000000"/>
              <w:left w:val="single" w:sz="8" w:space="0" w:color="000000"/>
              <w:bottom w:val="single" w:sz="6" w:space="0" w:color="000000"/>
              <w:right w:val="single" w:sz="8" w:space="0" w:color="000000"/>
            </w:tcBorders>
            <w:vAlign w:val="center"/>
          </w:tcPr>
          <w:p w14:paraId="5A001EC8" w14:textId="37C10455" w:rsidR="001B413F" w:rsidRPr="001C17CF" w:rsidRDefault="001B413F" w:rsidP="001B413F">
            <w:pPr>
              <w:pStyle w:val="biaogeleft"/>
              <w:wordWrap w:val="0"/>
              <w:rPr>
                <w:rFonts w:asciiTheme="minorEastAsia" w:eastAsiaTheme="minorEastAsia" w:hAnsiTheme="minorEastAsia" w:hint="eastAsia"/>
                <w:color w:val="000000"/>
                <w:sz w:val="22"/>
                <w:szCs w:val="22"/>
              </w:rPr>
            </w:pPr>
            <w:r w:rsidRPr="004C1828">
              <w:rPr>
                <w:rFonts w:asciiTheme="minorEastAsia" w:eastAsiaTheme="minorEastAsia" w:hAnsiTheme="minorEastAsia" w:hint="eastAsia"/>
                <w:color w:val="000000"/>
                <w:sz w:val="22"/>
                <w:szCs w:val="22"/>
              </w:rPr>
              <w:t>2025.01.01~2025.06.30</w:t>
            </w:r>
          </w:p>
        </w:tc>
        <w:tc>
          <w:tcPr>
            <w:tcW w:w="0" w:type="auto"/>
            <w:tcBorders>
              <w:top w:val="single" w:sz="8" w:space="0" w:color="000000"/>
              <w:left w:val="single" w:sz="8" w:space="0" w:color="000000"/>
              <w:bottom w:val="single" w:sz="6" w:space="0" w:color="000000"/>
              <w:right w:val="single" w:sz="8" w:space="0" w:color="000000"/>
            </w:tcBorders>
            <w:vAlign w:val="center"/>
          </w:tcPr>
          <w:p w14:paraId="51A9B51F" w14:textId="02D01510" w:rsidR="001B413F" w:rsidRDefault="001B413F" w:rsidP="001B413F">
            <w:pPr>
              <w:pStyle w:val="biaogecenter"/>
              <w:wordWrap w:val="0"/>
              <w:rPr>
                <w:rFonts w:hAnsi="等线" w:hint="eastAsia"/>
                <w:color w:val="000000"/>
              </w:rPr>
            </w:pPr>
            <w:r>
              <w:rPr>
                <w:rFonts w:hAnsi="Calibri"/>
                <w:color w:val="000000"/>
              </w:rPr>
              <w:t>16.61%</w:t>
            </w:r>
          </w:p>
        </w:tc>
        <w:tc>
          <w:tcPr>
            <w:tcW w:w="0" w:type="auto"/>
            <w:tcBorders>
              <w:top w:val="single" w:sz="8" w:space="0" w:color="000000"/>
              <w:left w:val="single" w:sz="8" w:space="0" w:color="000000"/>
              <w:bottom w:val="single" w:sz="6" w:space="0" w:color="000000"/>
              <w:right w:val="single" w:sz="8" w:space="0" w:color="000000"/>
            </w:tcBorders>
            <w:vAlign w:val="center"/>
          </w:tcPr>
          <w:p w14:paraId="769657A0" w14:textId="03C4B4AC" w:rsidR="001B413F" w:rsidRDefault="001B413F" w:rsidP="001B413F">
            <w:pPr>
              <w:pStyle w:val="biaogecenter"/>
              <w:wordWrap w:val="0"/>
              <w:rPr>
                <w:rFonts w:hAnsi="等线" w:hint="eastAsia"/>
                <w:color w:val="000000"/>
              </w:rPr>
            </w:pPr>
            <w:r>
              <w:rPr>
                <w:rFonts w:hAnsi="Calibri"/>
                <w:color w:val="000000"/>
              </w:rPr>
              <w:t>1.84%</w:t>
            </w:r>
          </w:p>
        </w:tc>
        <w:tc>
          <w:tcPr>
            <w:tcW w:w="0" w:type="auto"/>
            <w:tcBorders>
              <w:top w:val="single" w:sz="8" w:space="0" w:color="000000"/>
              <w:left w:val="single" w:sz="8" w:space="0" w:color="000000"/>
              <w:bottom w:val="single" w:sz="6" w:space="0" w:color="000000"/>
              <w:right w:val="single" w:sz="8" w:space="0" w:color="000000"/>
            </w:tcBorders>
            <w:vAlign w:val="center"/>
          </w:tcPr>
          <w:p w14:paraId="00AC8E83" w14:textId="2C53E442" w:rsidR="001B413F" w:rsidRDefault="001B413F" w:rsidP="001B413F">
            <w:pPr>
              <w:pStyle w:val="biaogecenter"/>
              <w:wordWrap w:val="0"/>
              <w:rPr>
                <w:rFonts w:hAnsi="等线" w:hint="eastAsia"/>
                <w:color w:val="000000"/>
              </w:rPr>
            </w:pPr>
            <w:r>
              <w:rPr>
                <w:rFonts w:hAnsi="Calibri"/>
                <w:color w:val="000000"/>
              </w:rPr>
              <w:t>5.42%</w:t>
            </w:r>
          </w:p>
        </w:tc>
        <w:tc>
          <w:tcPr>
            <w:tcW w:w="0" w:type="auto"/>
            <w:tcBorders>
              <w:top w:val="single" w:sz="8" w:space="0" w:color="000000"/>
              <w:left w:val="single" w:sz="8" w:space="0" w:color="000000"/>
              <w:bottom w:val="single" w:sz="6" w:space="0" w:color="000000"/>
              <w:right w:val="single" w:sz="8" w:space="0" w:color="000000"/>
            </w:tcBorders>
            <w:vAlign w:val="center"/>
          </w:tcPr>
          <w:p w14:paraId="76E3F4F4" w14:textId="2968842C" w:rsidR="001B413F" w:rsidRDefault="001B413F" w:rsidP="001B413F">
            <w:pPr>
              <w:pStyle w:val="biaogecenter"/>
              <w:wordWrap w:val="0"/>
              <w:rPr>
                <w:rFonts w:hAnsi="等线" w:hint="eastAsia"/>
                <w:color w:val="000000"/>
              </w:rPr>
            </w:pPr>
            <w:r>
              <w:rPr>
                <w:rFonts w:hAnsi="Calibri"/>
                <w:color w:val="000000"/>
              </w:rPr>
              <w:t>1.39%</w:t>
            </w:r>
          </w:p>
        </w:tc>
        <w:tc>
          <w:tcPr>
            <w:tcW w:w="0" w:type="auto"/>
            <w:tcBorders>
              <w:top w:val="single" w:sz="8" w:space="0" w:color="000000"/>
              <w:left w:val="single" w:sz="8" w:space="0" w:color="000000"/>
              <w:bottom w:val="single" w:sz="6" w:space="0" w:color="000000"/>
              <w:right w:val="single" w:sz="8" w:space="0" w:color="000000"/>
            </w:tcBorders>
            <w:vAlign w:val="center"/>
          </w:tcPr>
          <w:p w14:paraId="22392BC8" w14:textId="29A34C2A" w:rsidR="001B413F" w:rsidRDefault="001B413F" w:rsidP="001B413F">
            <w:pPr>
              <w:pStyle w:val="biaogecenter"/>
              <w:wordWrap w:val="0"/>
              <w:rPr>
                <w:rFonts w:hAnsi="等线" w:hint="eastAsia"/>
                <w:color w:val="000000"/>
              </w:rPr>
            </w:pPr>
            <w:r>
              <w:rPr>
                <w:rFonts w:hAnsi="Calibri"/>
                <w:color w:val="000000"/>
              </w:rPr>
              <w:t>11.19%</w:t>
            </w:r>
          </w:p>
        </w:tc>
        <w:tc>
          <w:tcPr>
            <w:tcW w:w="0" w:type="auto"/>
            <w:tcBorders>
              <w:top w:val="single" w:sz="8" w:space="0" w:color="000000"/>
              <w:left w:val="single" w:sz="8" w:space="0" w:color="000000"/>
              <w:bottom w:val="single" w:sz="6" w:space="0" w:color="000000"/>
              <w:right w:val="single" w:sz="8" w:space="0" w:color="000000"/>
            </w:tcBorders>
            <w:vAlign w:val="center"/>
          </w:tcPr>
          <w:p w14:paraId="06514F55" w14:textId="78AD9D9D" w:rsidR="001B413F" w:rsidRDefault="001B413F" w:rsidP="001B413F">
            <w:pPr>
              <w:pStyle w:val="biaogecenter"/>
              <w:wordWrap w:val="0"/>
              <w:rPr>
                <w:rFonts w:hAnsi="等线" w:hint="eastAsia"/>
                <w:color w:val="000000"/>
              </w:rPr>
            </w:pPr>
            <w:r>
              <w:rPr>
                <w:rFonts w:hAnsi="Calibri"/>
                <w:color w:val="000000"/>
              </w:rPr>
              <w:t>0.45%</w:t>
            </w:r>
          </w:p>
        </w:tc>
      </w:tr>
      <w:tr w:rsidR="001B413F" w14:paraId="5E03623A" w14:textId="77777777" w:rsidTr="00114C8C">
        <w:trPr>
          <w:jc w:val="center"/>
        </w:trPr>
        <w:tc>
          <w:tcPr>
            <w:tcW w:w="0" w:type="auto"/>
            <w:tcBorders>
              <w:top w:val="single" w:sz="8" w:space="0" w:color="000000"/>
              <w:left w:val="single" w:sz="8" w:space="0" w:color="000000"/>
              <w:bottom w:val="single" w:sz="6" w:space="0" w:color="000000"/>
              <w:right w:val="single" w:sz="8" w:space="0" w:color="000000"/>
            </w:tcBorders>
            <w:vAlign w:val="center"/>
            <w:hideMark/>
          </w:tcPr>
          <w:p w14:paraId="7A9D4E0A" w14:textId="76134960" w:rsidR="001B413F" w:rsidRDefault="001B413F" w:rsidP="001B413F">
            <w:pPr>
              <w:pStyle w:val="biaogeleft"/>
              <w:wordWrap w:val="0"/>
              <w:rPr>
                <w:rFonts w:hint="eastAsia"/>
              </w:rPr>
            </w:pPr>
            <w:r w:rsidRPr="004C1828">
              <w:rPr>
                <w:rFonts w:asciiTheme="minorEastAsia" w:eastAsiaTheme="minorEastAsia" w:hAnsiTheme="minorEastAsia" w:hint="eastAsia"/>
                <w:color w:val="000000"/>
                <w:sz w:val="22"/>
                <w:szCs w:val="22"/>
              </w:rPr>
              <w:t>自基金合同生效起至今</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FC7D35C" w14:textId="5CF2E7A0" w:rsidR="001B413F" w:rsidRDefault="001B413F" w:rsidP="001B413F">
            <w:pPr>
              <w:pStyle w:val="biaogecenter"/>
              <w:wordWrap w:val="0"/>
              <w:rPr>
                <w:rFonts w:hint="eastAsia"/>
              </w:rPr>
            </w:pPr>
            <w:r>
              <w:rPr>
                <w:rFonts w:hAnsi="Calibri"/>
                <w:color w:val="000000"/>
              </w:rPr>
              <w:t>11.48%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00468D5" w14:textId="6DACD9C9" w:rsidR="001B413F" w:rsidRDefault="001B413F" w:rsidP="001B413F">
            <w:pPr>
              <w:pStyle w:val="biaogecenter"/>
              <w:wordWrap w:val="0"/>
              <w:rPr>
                <w:rFonts w:hint="eastAsia"/>
              </w:rPr>
            </w:pPr>
            <w:r>
              <w:rPr>
                <w:rFonts w:hAnsi="Calibri"/>
                <w:color w:val="000000"/>
              </w:rPr>
              <w:t>1.44%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4368953" w14:textId="1B2BED1B" w:rsidR="001B413F" w:rsidRDefault="001B413F" w:rsidP="001B413F">
            <w:pPr>
              <w:pStyle w:val="biaogecenter"/>
              <w:wordWrap w:val="0"/>
              <w:rPr>
                <w:rFonts w:hint="eastAsia"/>
              </w:rPr>
            </w:pPr>
            <w:r>
              <w:rPr>
                <w:rFonts w:hAnsi="Calibri"/>
                <w:color w:val="000000"/>
              </w:rPr>
              <w:t>11.75%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B3EF5BE" w14:textId="7F33ECA9" w:rsidR="001B413F" w:rsidRDefault="001B413F" w:rsidP="001B413F">
            <w:pPr>
              <w:pStyle w:val="biaogecenter"/>
              <w:wordWrap w:val="0"/>
              <w:rPr>
                <w:rFonts w:hint="eastAsia"/>
              </w:rPr>
            </w:pPr>
            <w:r>
              <w:rPr>
                <w:rFonts w:hAnsi="Calibri"/>
                <w:color w:val="000000"/>
              </w:rPr>
              <w:t>1.11%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9664388" w14:textId="060B1705" w:rsidR="001B413F" w:rsidRDefault="001B413F" w:rsidP="001B413F">
            <w:pPr>
              <w:pStyle w:val="biaogecenter"/>
              <w:wordWrap w:val="0"/>
              <w:rPr>
                <w:rFonts w:hint="eastAsia"/>
              </w:rPr>
            </w:pPr>
            <w:r>
              <w:rPr>
                <w:rFonts w:hAnsi="Calibri"/>
                <w:color w:val="000000"/>
              </w:rPr>
              <w:t>-0.27%</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3397326" w14:textId="727EC599" w:rsidR="001B413F" w:rsidRDefault="001B413F" w:rsidP="001B413F">
            <w:pPr>
              <w:pStyle w:val="biaogecenter"/>
              <w:wordWrap w:val="0"/>
              <w:rPr>
                <w:rFonts w:hint="eastAsia"/>
              </w:rPr>
            </w:pPr>
            <w:r>
              <w:rPr>
                <w:rFonts w:hAnsi="Calibri"/>
                <w:color w:val="000000"/>
              </w:rPr>
              <w:t>0.33%</w:t>
            </w:r>
          </w:p>
        </w:tc>
      </w:tr>
    </w:tbl>
    <w:p w14:paraId="42DC3AB7" w14:textId="77777777" w:rsidR="004D3275" w:rsidRDefault="004D3275" w:rsidP="004D3275">
      <w:pPr>
        <w:spacing w:line="360" w:lineRule="auto"/>
        <w:ind w:firstLineChars="200" w:firstLine="480"/>
        <w:rPr>
          <w:rFonts w:asciiTheme="minorEastAsia" w:hAnsiTheme="minorEastAsia" w:cs="Times New Roman" w:hint="eastAsia"/>
          <w:sz w:val="24"/>
          <w:szCs w:val="24"/>
        </w:rPr>
      </w:pPr>
    </w:p>
    <w:p w14:paraId="15C54AAF" w14:textId="77777777" w:rsidR="004D3275" w:rsidRDefault="004D3275" w:rsidP="004D3275">
      <w:pPr>
        <w:pStyle w:val="biaogeleft"/>
        <w:rPr>
          <w:rFonts w:hint="eastAsia"/>
        </w:rPr>
      </w:pPr>
      <w:r>
        <w:rPr>
          <w:rFonts w:hAnsi="等线" w:hint="eastAsia"/>
          <w:color w:val="000000"/>
        </w:rPr>
        <w:t>富荣研究优选混合</w:t>
      </w:r>
      <w:r>
        <w:rPr>
          <w:rFonts w:hAnsi="等线"/>
          <w:color w:val="000000"/>
        </w:rPr>
        <w:t>C</w:t>
      </w:r>
    </w:p>
    <w:tbl>
      <w:tblPr>
        <w:tblW w:w="9080" w:type="dxa"/>
        <w:jc w:val="center"/>
        <w:tblLook w:val="04A0" w:firstRow="1" w:lastRow="0" w:firstColumn="1" w:lastColumn="0" w:noHBand="0" w:noVBand="1"/>
      </w:tblPr>
      <w:tblGrid>
        <w:gridCol w:w="1457"/>
        <w:gridCol w:w="1271"/>
        <w:gridCol w:w="1271"/>
        <w:gridCol w:w="1271"/>
        <w:gridCol w:w="1271"/>
        <w:gridCol w:w="1271"/>
        <w:gridCol w:w="1268"/>
      </w:tblGrid>
      <w:tr w:rsidR="004D3275" w14:paraId="722320C9" w14:textId="77777777" w:rsidTr="00693DDD">
        <w:trPr>
          <w:jc w:val="center"/>
        </w:trPr>
        <w:tc>
          <w:tcPr>
            <w:tcW w:w="802" w:type="pct"/>
            <w:tcBorders>
              <w:top w:val="single" w:sz="8" w:space="0" w:color="000000"/>
              <w:left w:val="single" w:sz="8" w:space="0" w:color="000000"/>
              <w:bottom w:val="single" w:sz="6" w:space="0" w:color="000000"/>
              <w:right w:val="single" w:sz="8" w:space="0" w:color="000000"/>
            </w:tcBorders>
            <w:vAlign w:val="center"/>
            <w:hideMark/>
          </w:tcPr>
          <w:p w14:paraId="4CCEEAFF" w14:textId="77777777" w:rsidR="004D3275" w:rsidRDefault="004D3275" w:rsidP="00114C8C">
            <w:pPr>
              <w:pStyle w:val="biaogeleft"/>
              <w:wordWrap w:val="0"/>
              <w:rPr>
                <w:rFonts w:hint="eastAsia"/>
              </w:rPr>
            </w:pPr>
            <w:r>
              <w:rPr>
                <w:rFonts w:hAnsi="等线" w:hint="eastAsia"/>
                <w:color w:val="000000"/>
              </w:rPr>
              <w:t>阶段</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391A2728" w14:textId="77777777" w:rsidR="004D3275" w:rsidRDefault="004D3275" w:rsidP="00114C8C">
            <w:pPr>
              <w:pStyle w:val="biaogecenter"/>
              <w:wordWrap w:val="0"/>
              <w:rPr>
                <w:rFonts w:hint="eastAsia"/>
              </w:rPr>
            </w:pPr>
            <w:r>
              <w:rPr>
                <w:rFonts w:hAnsi="等线" w:hint="eastAsia"/>
                <w:color w:val="000000"/>
              </w:rPr>
              <w:t>净值增长率①</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3B5D004C" w14:textId="77777777" w:rsidR="004D3275" w:rsidRDefault="004D3275" w:rsidP="00114C8C">
            <w:pPr>
              <w:pStyle w:val="biaogecenter"/>
              <w:wordWrap w:val="0"/>
              <w:rPr>
                <w:rFonts w:hint="eastAsia"/>
              </w:rPr>
            </w:pPr>
            <w:r>
              <w:rPr>
                <w:rFonts w:hAnsi="等线" w:hint="eastAsia"/>
                <w:color w:val="000000"/>
              </w:rPr>
              <w:t>净值增长率标准差②</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79E14A7C" w14:textId="77777777" w:rsidR="004D3275" w:rsidRDefault="004D3275" w:rsidP="00114C8C">
            <w:pPr>
              <w:pStyle w:val="biaogecenter"/>
              <w:wordWrap w:val="0"/>
              <w:rPr>
                <w:rFonts w:hint="eastAsia"/>
              </w:rPr>
            </w:pPr>
            <w:r>
              <w:rPr>
                <w:rFonts w:hAnsi="等线" w:hint="eastAsia"/>
                <w:color w:val="000000"/>
              </w:rPr>
              <w:t>业绩比较基准收益率③</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52F35FF2" w14:textId="77777777" w:rsidR="004D3275" w:rsidRDefault="004D3275" w:rsidP="00114C8C">
            <w:pPr>
              <w:pStyle w:val="biaogecenter"/>
              <w:wordWrap w:val="0"/>
              <w:rPr>
                <w:rFonts w:hint="eastAsia"/>
              </w:rPr>
            </w:pPr>
            <w:r>
              <w:rPr>
                <w:rFonts w:hAnsi="等线" w:hint="eastAsia"/>
                <w:color w:val="000000"/>
              </w:rPr>
              <w:t>业绩比较基准收益率标准差④</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5DB4AC24" w14:textId="77777777" w:rsidR="004D3275" w:rsidRDefault="004D3275" w:rsidP="00114C8C">
            <w:pPr>
              <w:pStyle w:val="biaogecenter"/>
              <w:wordWrap w:val="0"/>
              <w:rPr>
                <w:rFonts w:hint="eastAsia"/>
              </w:rPr>
            </w:pPr>
            <w:r>
              <w:rPr>
                <w:rFonts w:hAnsi="等线" w:hint="eastAsia"/>
                <w:color w:val="000000"/>
              </w:rPr>
              <w:t>①</w:t>
            </w:r>
            <w:r>
              <w:rPr>
                <w:rFonts w:hAnsi="等线"/>
                <w:color w:val="000000"/>
              </w:rPr>
              <w:t>-</w:t>
            </w:r>
            <w:r>
              <w:rPr>
                <w:rFonts w:hAnsi="等线" w:hint="eastAsia"/>
                <w:color w:val="000000"/>
              </w:rPr>
              <w:t>③</w:t>
            </w:r>
          </w:p>
        </w:tc>
        <w:tc>
          <w:tcPr>
            <w:tcW w:w="698" w:type="pct"/>
            <w:tcBorders>
              <w:top w:val="single" w:sz="8" w:space="0" w:color="000000"/>
              <w:left w:val="single" w:sz="8" w:space="0" w:color="000000"/>
              <w:bottom w:val="single" w:sz="6" w:space="0" w:color="000000"/>
              <w:right w:val="single" w:sz="8" w:space="0" w:color="000000"/>
            </w:tcBorders>
            <w:vAlign w:val="center"/>
            <w:hideMark/>
          </w:tcPr>
          <w:p w14:paraId="773CCA20" w14:textId="77777777" w:rsidR="004D3275" w:rsidRDefault="004D3275" w:rsidP="00114C8C">
            <w:pPr>
              <w:pStyle w:val="biaogecenter"/>
              <w:wordWrap w:val="0"/>
              <w:rPr>
                <w:rFonts w:hint="eastAsia"/>
              </w:rPr>
            </w:pPr>
            <w:r>
              <w:rPr>
                <w:rFonts w:hAnsi="等线" w:hint="eastAsia"/>
                <w:color w:val="000000"/>
              </w:rPr>
              <w:t>②</w:t>
            </w:r>
            <w:r>
              <w:rPr>
                <w:rFonts w:hAnsi="等线"/>
                <w:color w:val="000000"/>
              </w:rPr>
              <w:t>-</w:t>
            </w:r>
            <w:r>
              <w:rPr>
                <w:rFonts w:hAnsi="等线" w:hint="eastAsia"/>
                <w:color w:val="000000"/>
              </w:rPr>
              <w:t>④</w:t>
            </w:r>
          </w:p>
        </w:tc>
      </w:tr>
      <w:tr w:rsidR="004D3275" w14:paraId="281C6D1A" w14:textId="77777777" w:rsidTr="00114C8C">
        <w:trPr>
          <w:jc w:val="center"/>
        </w:trPr>
        <w:tc>
          <w:tcPr>
            <w:tcW w:w="0" w:type="auto"/>
            <w:tcBorders>
              <w:top w:val="single" w:sz="8" w:space="0" w:color="000000"/>
              <w:left w:val="single" w:sz="8" w:space="0" w:color="000000"/>
              <w:bottom w:val="single" w:sz="6" w:space="0" w:color="000000"/>
              <w:right w:val="single" w:sz="8" w:space="0" w:color="000000"/>
            </w:tcBorders>
            <w:vAlign w:val="center"/>
            <w:hideMark/>
          </w:tcPr>
          <w:p w14:paraId="48ADC644" w14:textId="77777777" w:rsidR="004D3275" w:rsidRDefault="004D3275" w:rsidP="00114C8C">
            <w:pPr>
              <w:pStyle w:val="biaogeleft"/>
              <w:wordWrap w:val="0"/>
              <w:rPr>
                <w:rFonts w:hint="eastAsia"/>
              </w:rPr>
            </w:pPr>
            <w:r w:rsidRPr="001C17CF">
              <w:rPr>
                <w:rFonts w:asciiTheme="minorEastAsia" w:eastAsiaTheme="minorEastAsia" w:hAnsiTheme="minorEastAsia" w:hint="eastAsia"/>
                <w:color w:val="000000"/>
                <w:sz w:val="22"/>
                <w:szCs w:val="22"/>
              </w:rPr>
              <w:t>202</w:t>
            </w:r>
            <w:r>
              <w:rPr>
                <w:rFonts w:asciiTheme="minorEastAsia" w:eastAsiaTheme="minorEastAsia" w:hAnsiTheme="minorEastAsia" w:hint="eastAsia"/>
                <w:color w:val="000000"/>
                <w:sz w:val="22"/>
                <w:szCs w:val="22"/>
              </w:rPr>
              <w:t>3</w:t>
            </w:r>
            <w:r w:rsidRPr="001C17CF">
              <w:rPr>
                <w:rFonts w:asciiTheme="minorEastAsia" w:eastAsiaTheme="minorEastAsia" w:hAnsiTheme="minorEastAsia" w:hint="eastAsia"/>
                <w:color w:val="000000"/>
                <w:sz w:val="22"/>
                <w:szCs w:val="22"/>
              </w:rPr>
              <w:t>.</w:t>
            </w:r>
            <w:r>
              <w:rPr>
                <w:rFonts w:asciiTheme="minorEastAsia" w:eastAsiaTheme="minorEastAsia" w:hAnsiTheme="minorEastAsia" w:hint="eastAsia"/>
                <w:color w:val="000000"/>
                <w:sz w:val="22"/>
                <w:szCs w:val="22"/>
              </w:rPr>
              <w:t>09</w:t>
            </w:r>
            <w:r w:rsidRPr="001C17CF">
              <w:rPr>
                <w:rFonts w:asciiTheme="minorEastAsia" w:eastAsiaTheme="minorEastAsia" w:hAnsiTheme="minorEastAsia" w:hint="eastAsia"/>
                <w:color w:val="000000"/>
                <w:sz w:val="22"/>
                <w:szCs w:val="22"/>
              </w:rPr>
              <w:t>.</w:t>
            </w:r>
            <w:r>
              <w:rPr>
                <w:rFonts w:asciiTheme="minorEastAsia" w:eastAsiaTheme="minorEastAsia" w:hAnsiTheme="minorEastAsia" w:hint="eastAsia"/>
                <w:color w:val="000000"/>
                <w:sz w:val="22"/>
                <w:szCs w:val="22"/>
              </w:rPr>
              <w:t>19</w:t>
            </w:r>
            <w:r w:rsidRPr="001C17CF">
              <w:rPr>
                <w:rFonts w:asciiTheme="minorEastAsia" w:eastAsiaTheme="minorEastAsia" w:hAnsiTheme="minorEastAsia" w:hint="eastAsia"/>
                <w:color w:val="000000"/>
                <w:sz w:val="22"/>
                <w:szCs w:val="22"/>
              </w:rPr>
              <w:t>~202</w:t>
            </w:r>
            <w:r>
              <w:rPr>
                <w:rFonts w:asciiTheme="minorEastAsia" w:eastAsiaTheme="minorEastAsia" w:hAnsiTheme="minorEastAsia" w:hint="eastAsia"/>
                <w:color w:val="000000"/>
                <w:sz w:val="22"/>
                <w:szCs w:val="22"/>
              </w:rPr>
              <w:t>3</w:t>
            </w:r>
            <w:r w:rsidRPr="001C17CF">
              <w:rPr>
                <w:rFonts w:asciiTheme="minorEastAsia" w:eastAsiaTheme="minorEastAsia" w:hAnsiTheme="minorEastAsia" w:hint="eastAsia"/>
                <w:color w:val="000000"/>
                <w:sz w:val="22"/>
                <w:szCs w:val="22"/>
              </w:rPr>
              <w:t>.</w:t>
            </w:r>
            <w:r>
              <w:rPr>
                <w:rFonts w:asciiTheme="minorEastAsia" w:eastAsiaTheme="minorEastAsia" w:hAnsiTheme="minorEastAsia" w:hint="eastAsia"/>
                <w:color w:val="000000"/>
                <w:sz w:val="22"/>
                <w:szCs w:val="22"/>
              </w:rPr>
              <w:t>12</w:t>
            </w:r>
            <w:r w:rsidRPr="001C17CF">
              <w:rPr>
                <w:rFonts w:asciiTheme="minorEastAsia" w:eastAsiaTheme="minorEastAsia" w:hAnsiTheme="minorEastAsia" w:hint="eastAsia"/>
                <w:color w:val="000000"/>
                <w:sz w:val="22"/>
                <w:szCs w:val="22"/>
              </w:rPr>
              <w:t>.3</w:t>
            </w:r>
            <w:r>
              <w:rPr>
                <w:rFonts w:asciiTheme="minorEastAsia" w:eastAsiaTheme="minorEastAsia" w:hAnsiTheme="minorEastAsia" w:hint="eastAsia"/>
                <w:color w:val="000000"/>
                <w:sz w:val="22"/>
                <w:szCs w:val="22"/>
              </w:rPr>
              <w:t>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D9BF34C" w14:textId="77777777" w:rsidR="004D3275" w:rsidRDefault="004D3275" w:rsidP="00114C8C">
            <w:pPr>
              <w:pStyle w:val="biaogecenter"/>
              <w:wordWrap w:val="0"/>
              <w:rPr>
                <w:rFonts w:hint="eastAsia"/>
              </w:rPr>
            </w:pPr>
            <w:r>
              <w:rPr>
                <w:rFonts w:hAnsi="等线"/>
                <w:color w:val="000000"/>
              </w:rPr>
              <w:t>-4.10%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2D18738" w14:textId="77777777" w:rsidR="004D3275" w:rsidRDefault="004D3275" w:rsidP="00114C8C">
            <w:pPr>
              <w:pStyle w:val="biaogecenter"/>
              <w:wordWrap w:val="0"/>
              <w:rPr>
                <w:rFonts w:hint="eastAsia"/>
              </w:rPr>
            </w:pPr>
            <w:r>
              <w:rPr>
                <w:rFonts w:hAnsi="等线"/>
                <w:color w:val="000000"/>
              </w:rPr>
              <w:t>0.50%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B3D5CA9" w14:textId="77777777" w:rsidR="004D3275" w:rsidRDefault="004D3275" w:rsidP="00114C8C">
            <w:pPr>
              <w:pStyle w:val="biaogecenter"/>
              <w:wordWrap w:val="0"/>
              <w:rPr>
                <w:rFonts w:hint="eastAsia"/>
              </w:rPr>
            </w:pPr>
            <w:r>
              <w:rPr>
                <w:rFonts w:hAnsi="等线"/>
                <w:color w:val="000000"/>
              </w:rPr>
              <w:t>-6.25%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C18C033" w14:textId="77777777" w:rsidR="004D3275" w:rsidRDefault="004D3275" w:rsidP="00114C8C">
            <w:pPr>
              <w:pStyle w:val="biaogecenter"/>
              <w:wordWrap w:val="0"/>
              <w:rPr>
                <w:rFonts w:hint="eastAsia"/>
              </w:rPr>
            </w:pPr>
            <w:r>
              <w:rPr>
                <w:rFonts w:hAnsi="等线"/>
                <w:color w:val="000000"/>
              </w:rPr>
              <w:t>0.63%</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C92214B" w14:textId="77777777" w:rsidR="004D3275" w:rsidRDefault="004D3275" w:rsidP="00114C8C">
            <w:pPr>
              <w:pStyle w:val="biaogecenter"/>
              <w:wordWrap w:val="0"/>
              <w:rPr>
                <w:rFonts w:hint="eastAsia"/>
              </w:rPr>
            </w:pPr>
            <w:r>
              <w:rPr>
                <w:rFonts w:hAnsi="等线"/>
                <w:color w:val="000000"/>
              </w:rPr>
              <w:t>2.15%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D142000" w14:textId="77777777" w:rsidR="004D3275" w:rsidRDefault="004D3275" w:rsidP="00114C8C">
            <w:pPr>
              <w:pStyle w:val="biaogecenter"/>
              <w:wordWrap w:val="0"/>
              <w:rPr>
                <w:rFonts w:hint="eastAsia"/>
              </w:rPr>
            </w:pPr>
            <w:r>
              <w:rPr>
                <w:rFonts w:hAnsi="等线"/>
                <w:color w:val="000000"/>
              </w:rPr>
              <w:t>-0.13%</w:t>
            </w:r>
          </w:p>
        </w:tc>
      </w:tr>
      <w:tr w:rsidR="001B413F" w14:paraId="65CF3302" w14:textId="77777777" w:rsidTr="00114C8C">
        <w:trPr>
          <w:jc w:val="center"/>
        </w:trPr>
        <w:tc>
          <w:tcPr>
            <w:tcW w:w="0" w:type="auto"/>
            <w:tcBorders>
              <w:top w:val="single" w:sz="8" w:space="0" w:color="000000"/>
              <w:left w:val="single" w:sz="8" w:space="0" w:color="000000"/>
              <w:bottom w:val="single" w:sz="6" w:space="0" w:color="000000"/>
              <w:right w:val="single" w:sz="8" w:space="0" w:color="000000"/>
            </w:tcBorders>
            <w:vAlign w:val="center"/>
            <w:hideMark/>
          </w:tcPr>
          <w:p w14:paraId="659254C3" w14:textId="3AC0DFAF" w:rsidR="001B413F" w:rsidRDefault="001B413F" w:rsidP="001B413F">
            <w:pPr>
              <w:pStyle w:val="biaogeleft"/>
              <w:wordWrap w:val="0"/>
              <w:rPr>
                <w:rFonts w:hint="eastAsia"/>
              </w:rPr>
            </w:pPr>
            <w:r w:rsidRPr="001C17CF">
              <w:rPr>
                <w:rFonts w:asciiTheme="minorEastAsia" w:eastAsiaTheme="minorEastAsia" w:hAnsiTheme="minorEastAsia" w:hint="eastAsia"/>
                <w:color w:val="000000"/>
                <w:sz w:val="22"/>
                <w:szCs w:val="22"/>
              </w:rPr>
              <w:t>202</w:t>
            </w:r>
            <w:r>
              <w:rPr>
                <w:rFonts w:asciiTheme="minorEastAsia" w:eastAsiaTheme="minorEastAsia" w:hAnsiTheme="minorEastAsia" w:hint="eastAsia"/>
                <w:color w:val="000000"/>
                <w:sz w:val="22"/>
                <w:szCs w:val="22"/>
              </w:rPr>
              <w:t>4</w:t>
            </w:r>
            <w:r w:rsidRPr="001C17CF">
              <w:rPr>
                <w:rFonts w:asciiTheme="minorEastAsia" w:eastAsiaTheme="minorEastAsia" w:hAnsiTheme="minorEastAsia" w:hint="eastAsia"/>
                <w:color w:val="000000"/>
                <w:sz w:val="22"/>
                <w:szCs w:val="22"/>
              </w:rPr>
              <w:t>.</w:t>
            </w:r>
            <w:r>
              <w:rPr>
                <w:rFonts w:asciiTheme="minorEastAsia" w:eastAsiaTheme="minorEastAsia" w:hAnsiTheme="minorEastAsia" w:hint="eastAsia"/>
                <w:color w:val="000000"/>
                <w:sz w:val="22"/>
                <w:szCs w:val="22"/>
              </w:rPr>
              <w:t>01</w:t>
            </w:r>
            <w:r w:rsidRPr="001C17CF">
              <w:rPr>
                <w:rFonts w:asciiTheme="minorEastAsia" w:eastAsiaTheme="minorEastAsia" w:hAnsiTheme="minorEastAsia" w:hint="eastAsia"/>
                <w:color w:val="000000"/>
                <w:sz w:val="22"/>
                <w:szCs w:val="22"/>
              </w:rPr>
              <w:t>.01~202</w:t>
            </w:r>
            <w:r>
              <w:rPr>
                <w:rFonts w:asciiTheme="minorEastAsia" w:eastAsiaTheme="minorEastAsia" w:hAnsiTheme="minorEastAsia" w:hint="eastAsia"/>
                <w:color w:val="000000"/>
                <w:sz w:val="22"/>
                <w:szCs w:val="22"/>
              </w:rPr>
              <w:t>4</w:t>
            </w:r>
            <w:r w:rsidRPr="001C17CF">
              <w:rPr>
                <w:rFonts w:asciiTheme="minorEastAsia" w:eastAsiaTheme="minorEastAsia" w:hAnsiTheme="minorEastAsia" w:hint="eastAsia"/>
                <w:color w:val="000000"/>
                <w:sz w:val="22"/>
                <w:szCs w:val="22"/>
              </w:rPr>
              <w:t>.</w:t>
            </w:r>
            <w:r>
              <w:rPr>
                <w:rFonts w:asciiTheme="minorEastAsia" w:eastAsiaTheme="minorEastAsia" w:hAnsiTheme="minorEastAsia" w:hint="eastAsia"/>
                <w:color w:val="000000"/>
                <w:sz w:val="22"/>
                <w:szCs w:val="22"/>
              </w:rPr>
              <w:t>12</w:t>
            </w:r>
            <w:r w:rsidRPr="001C17CF">
              <w:rPr>
                <w:rFonts w:asciiTheme="minorEastAsia" w:eastAsiaTheme="minorEastAsia" w:hAnsiTheme="minorEastAsia" w:hint="eastAsia"/>
                <w:color w:val="000000"/>
                <w:sz w:val="22"/>
                <w:szCs w:val="22"/>
              </w:rPr>
              <w:t>.</w:t>
            </w:r>
            <w:r>
              <w:rPr>
                <w:rFonts w:asciiTheme="minorEastAsia" w:eastAsiaTheme="minorEastAsia" w:hAnsiTheme="minorEastAsia" w:hint="eastAsia"/>
                <w:color w:val="000000"/>
                <w:sz w:val="22"/>
                <w:szCs w:val="22"/>
              </w:rPr>
              <w:t>31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9CAA045" w14:textId="14521CB6" w:rsidR="001B413F" w:rsidRDefault="001B413F" w:rsidP="001B413F">
            <w:pPr>
              <w:pStyle w:val="biaogecenter"/>
              <w:wordWrap w:val="0"/>
              <w:rPr>
                <w:rFonts w:hint="eastAsia"/>
              </w:rPr>
            </w:pPr>
            <w:r>
              <w:rPr>
                <w:rFonts w:hAnsi="Calibri"/>
                <w:color w:val="000000"/>
              </w:rPr>
              <w:t>-0.83%</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D735255" w14:textId="2D242751" w:rsidR="001B413F" w:rsidRDefault="001B413F" w:rsidP="001B413F">
            <w:pPr>
              <w:pStyle w:val="biaogecenter"/>
              <w:wordWrap w:val="0"/>
              <w:rPr>
                <w:rFonts w:hint="eastAsia"/>
              </w:rPr>
            </w:pPr>
            <w:r>
              <w:rPr>
                <w:rFonts w:hAnsi="Calibri"/>
                <w:color w:val="000000"/>
              </w:rPr>
              <w:t>1.40%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C2A437F" w14:textId="5F0526EA" w:rsidR="001B413F" w:rsidRDefault="001B413F" w:rsidP="001B413F">
            <w:pPr>
              <w:pStyle w:val="biaogecenter"/>
              <w:wordWrap w:val="0"/>
              <w:rPr>
                <w:rFonts w:hint="eastAsia"/>
              </w:rPr>
            </w:pPr>
            <w:r>
              <w:rPr>
                <w:rFonts w:hAnsi="Calibri"/>
                <w:color w:val="000000"/>
              </w:rPr>
              <w:t>13.08%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C6C36F4" w14:textId="63B2CCB3" w:rsidR="001B413F" w:rsidRDefault="001B413F" w:rsidP="001B413F">
            <w:pPr>
              <w:pStyle w:val="biaogecenter"/>
              <w:wordWrap w:val="0"/>
              <w:rPr>
                <w:rFonts w:hint="eastAsia"/>
              </w:rPr>
            </w:pPr>
            <w:r>
              <w:rPr>
                <w:rFonts w:hAnsi="Calibri"/>
                <w:color w:val="000000"/>
              </w:rPr>
              <w:t>1.07%</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E8503FC" w14:textId="5D63EC3B" w:rsidR="001B413F" w:rsidRDefault="001B413F" w:rsidP="001B413F">
            <w:pPr>
              <w:pStyle w:val="biaogecenter"/>
              <w:wordWrap w:val="0"/>
              <w:rPr>
                <w:rFonts w:hint="eastAsia"/>
              </w:rPr>
            </w:pPr>
            <w:r>
              <w:rPr>
                <w:rFonts w:hAnsi="Calibri"/>
                <w:color w:val="000000"/>
              </w:rPr>
              <w:t>-13.91%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FF6B01D" w14:textId="5D6A8147" w:rsidR="001B413F" w:rsidRDefault="001B413F" w:rsidP="001B413F">
            <w:pPr>
              <w:pStyle w:val="biaogecenter"/>
              <w:wordWrap w:val="0"/>
              <w:rPr>
                <w:rFonts w:hint="eastAsia"/>
              </w:rPr>
            </w:pPr>
            <w:r>
              <w:rPr>
                <w:rFonts w:hAnsi="Calibri"/>
                <w:color w:val="000000"/>
              </w:rPr>
              <w:t>0.33%</w:t>
            </w:r>
          </w:p>
        </w:tc>
      </w:tr>
      <w:tr w:rsidR="001B413F" w14:paraId="1118F4D5" w14:textId="77777777" w:rsidTr="00114C8C">
        <w:trPr>
          <w:jc w:val="center"/>
        </w:trPr>
        <w:tc>
          <w:tcPr>
            <w:tcW w:w="0" w:type="auto"/>
            <w:tcBorders>
              <w:top w:val="single" w:sz="8" w:space="0" w:color="000000"/>
              <w:left w:val="single" w:sz="8" w:space="0" w:color="000000"/>
              <w:bottom w:val="single" w:sz="6" w:space="0" w:color="000000"/>
              <w:right w:val="single" w:sz="8" w:space="0" w:color="000000"/>
            </w:tcBorders>
            <w:vAlign w:val="center"/>
          </w:tcPr>
          <w:p w14:paraId="50D8C2C5" w14:textId="5768EAA5" w:rsidR="001B413F" w:rsidRPr="001C17CF" w:rsidRDefault="001B413F" w:rsidP="001B413F">
            <w:pPr>
              <w:pStyle w:val="biaogeleft"/>
              <w:wordWrap w:val="0"/>
              <w:rPr>
                <w:rFonts w:asciiTheme="minorEastAsia" w:eastAsiaTheme="minorEastAsia" w:hAnsiTheme="minorEastAsia" w:hint="eastAsia"/>
                <w:color w:val="000000"/>
                <w:sz w:val="22"/>
                <w:szCs w:val="22"/>
              </w:rPr>
            </w:pPr>
            <w:r w:rsidRPr="004C1828">
              <w:rPr>
                <w:rFonts w:asciiTheme="minorEastAsia" w:eastAsiaTheme="minorEastAsia" w:hAnsiTheme="minorEastAsia" w:hint="eastAsia"/>
                <w:color w:val="000000"/>
                <w:sz w:val="22"/>
                <w:szCs w:val="22"/>
              </w:rPr>
              <w:t>2025.01.01~2025.06.30</w:t>
            </w:r>
          </w:p>
        </w:tc>
        <w:tc>
          <w:tcPr>
            <w:tcW w:w="0" w:type="auto"/>
            <w:tcBorders>
              <w:top w:val="single" w:sz="8" w:space="0" w:color="000000"/>
              <w:left w:val="single" w:sz="8" w:space="0" w:color="000000"/>
              <w:bottom w:val="single" w:sz="6" w:space="0" w:color="000000"/>
              <w:right w:val="single" w:sz="8" w:space="0" w:color="000000"/>
            </w:tcBorders>
            <w:vAlign w:val="center"/>
          </w:tcPr>
          <w:p w14:paraId="26B4F162" w14:textId="6EFEA237" w:rsidR="001B413F" w:rsidRDefault="001B413F" w:rsidP="001B413F">
            <w:pPr>
              <w:pStyle w:val="biaogecenter"/>
              <w:wordWrap w:val="0"/>
              <w:rPr>
                <w:rFonts w:hAnsi="等线" w:hint="eastAsia"/>
                <w:color w:val="000000"/>
              </w:rPr>
            </w:pPr>
            <w:r>
              <w:rPr>
                <w:rFonts w:hAnsi="Calibri"/>
                <w:color w:val="000000"/>
              </w:rPr>
              <w:t>16.38%</w:t>
            </w:r>
          </w:p>
        </w:tc>
        <w:tc>
          <w:tcPr>
            <w:tcW w:w="0" w:type="auto"/>
            <w:tcBorders>
              <w:top w:val="single" w:sz="8" w:space="0" w:color="000000"/>
              <w:left w:val="single" w:sz="8" w:space="0" w:color="000000"/>
              <w:bottom w:val="single" w:sz="6" w:space="0" w:color="000000"/>
              <w:right w:val="single" w:sz="8" w:space="0" w:color="000000"/>
            </w:tcBorders>
            <w:vAlign w:val="center"/>
          </w:tcPr>
          <w:p w14:paraId="069D1313" w14:textId="39A215DC" w:rsidR="001B413F" w:rsidRDefault="001B413F" w:rsidP="001B413F">
            <w:pPr>
              <w:pStyle w:val="biaogecenter"/>
              <w:wordWrap w:val="0"/>
              <w:rPr>
                <w:rFonts w:hAnsi="等线" w:hint="eastAsia"/>
                <w:color w:val="000000"/>
              </w:rPr>
            </w:pPr>
            <w:r>
              <w:rPr>
                <w:rFonts w:hAnsi="Calibri"/>
                <w:color w:val="000000"/>
              </w:rPr>
              <w:t>1.84%</w:t>
            </w:r>
          </w:p>
        </w:tc>
        <w:tc>
          <w:tcPr>
            <w:tcW w:w="0" w:type="auto"/>
            <w:tcBorders>
              <w:top w:val="single" w:sz="8" w:space="0" w:color="000000"/>
              <w:left w:val="single" w:sz="8" w:space="0" w:color="000000"/>
              <w:bottom w:val="single" w:sz="6" w:space="0" w:color="000000"/>
              <w:right w:val="single" w:sz="8" w:space="0" w:color="000000"/>
            </w:tcBorders>
            <w:vAlign w:val="center"/>
          </w:tcPr>
          <w:p w14:paraId="52F1648B" w14:textId="1A2D78C2" w:rsidR="001B413F" w:rsidRDefault="001B413F" w:rsidP="001B413F">
            <w:pPr>
              <w:pStyle w:val="biaogecenter"/>
              <w:wordWrap w:val="0"/>
              <w:rPr>
                <w:rFonts w:hAnsi="等线" w:hint="eastAsia"/>
                <w:color w:val="000000"/>
              </w:rPr>
            </w:pPr>
            <w:r>
              <w:rPr>
                <w:rFonts w:hAnsi="Calibri"/>
                <w:color w:val="000000"/>
              </w:rPr>
              <w:t>5.42%</w:t>
            </w:r>
          </w:p>
        </w:tc>
        <w:tc>
          <w:tcPr>
            <w:tcW w:w="0" w:type="auto"/>
            <w:tcBorders>
              <w:top w:val="single" w:sz="8" w:space="0" w:color="000000"/>
              <w:left w:val="single" w:sz="8" w:space="0" w:color="000000"/>
              <w:bottom w:val="single" w:sz="6" w:space="0" w:color="000000"/>
              <w:right w:val="single" w:sz="8" w:space="0" w:color="000000"/>
            </w:tcBorders>
            <w:vAlign w:val="center"/>
          </w:tcPr>
          <w:p w14:paraId="11AAFB85" w14:textId="5D7E6A2A" w:rsidR="001B413F" w:rsidRDefault="001B413F" w:rsidP="001B413F">
            <w:pPr>
              <w:pStyle w:val="biaogecenter"/>
              <w:wordWrap w:val="0"/>
              <w:rPr>
                <w:rFonts w:hAnsi="等线" w:hint="eastAsia"/>
                <w:color w:val="000000"/>
              </w:rPr>
            </w:pPr>
            <w:r>
              <w:rPr>
                <w:rFonts w:hAnsi="Calibri"/>
                <w:color w:val="000000"/>
              </w:rPr>
              <w:t>1.39%</w:t>
            </w:r>
          </w:p>
        </w:tc>
        <w:tc>
          <w:tcPr>
            <w:tcW w:w="0" w:type="auto"/>
            <w:tcBorders>
              <w:top w:val="single" w:sz="8" w:space="0" w:color="000000"/>
              <w:left w:val="single" w:sz="8" w:space="0" w:color="000000"/>
              <w:bottom w:val="single" w:sz="6" w:space="0" w:color="000000"/>
              <w:right w:val="single" w:sz="8" w:space="0" w:color="000000"/>
            </w:tcBorders>
            <w:vAlign w:val="center"/>
          </w:tcPr>
          <w:p w14:paraId="677FDAAE" w14:textId="55BBB63B" w:rsidR="001B413F" w:rsidRDefault="001B413F" w:rsidP="001B413F">
            <w:pPr>
              <w:pStyle w:val="biaogecenter"/>
              <w:wordWrap w:val="0"/>
              <w:rPr>
                <w:rFonts w:hAnsi="等线" w:hint="eastAsia"/>
                <w:color w:val="000000"/>
              </w:rPr>
            </w:pPr>
            <w:r>
              <w:rPr>
                <w:rFonts w:hAnsi="Calibri"/>
                <w:color w:val="000000"/>
              </w:rPr>
              <w:t>10.96%</w:t>
            </w:r>
          </w:p>
        </w:tc>
        <w:tc>
          <w:tcPr>
            <w:tcW w:w="0" w:type="auto"/>
            <w:tcBorders>
              <w:top w:val="single" w:sz="8" w:space="0" w:color="000000"/>
              <w:left w:val="single" w:sz="8" w:space="0" w:color="000000"/>
              <w:bottom w:val="single" w:sz="6" w:space="0" w:color="000000"/>
              <w:right w:val="single" w:sz="8" w:space="0" w:color="000000"/>
            </w:tcBorders>
            <w:vAlign w:val="center"/>
          </w:tcPr>
          <w:p w14:paraId="2EF53C59" w14:textId="1D4AE1A2" w:rsidR="001B413F" w:rsidRDefault="001B413F" w:rsidP="001B413F">
            <w:pPr>
              <w:pStyle w:val="biaogecenter"/>
              <w:wordWrap w:val="0"/>
              <w:rPr>
                <w:rFonts w:hAnsi="等线" w:hint="eastAsia"/>
                <w:color w:val="000000"/>
              </w:rPr>
            </w:pPr>
            <w:r>
              <w:rPr>
                <w:rFonts w:hAnsi="Calibri"/>
                <w:color w:val="000000"/>
              </w:rPr>
              <w:t>0.45%</w:t>
            </w:r>
          </w:p>
        </w:tc>
      </w:tr>
      <w:tr w:rsidR="001B413F" w14:paraId="394F56D7" w14:textId="77777777" w:rsidTr="00114C8C">
        <w:trPr>
          <w:jc w:val="center"/>
        </w:trPr>
        <w:tc>
          <w:tcPr>
            <w:tcW w:w="0" w:type="auto"/>
            <w:tcBorders>
              <w:top w:val="single" w:sz="8" w:space="0" w:color="000000"/>
              <w:left w:val="single" w:sz="8" w:space="0" w:color="000000"/>
              <w:bottom w:val="single" w:sz="6" w:space="0" w:color="000000"/>
              <w:right w:val="single" w:sz="8" w:space="0" w:color="000000"/>
            </w:tcBorders>
            <w:vAlign w:val="center"/>
            <w:hideMark/>
          </w:tcPr>
          <w:p w14:paraId="58E4B1E9" w14:textId="59EE6592" w:rsidR="001B413F" w:rsidRDefault="001B413F" w:rsidP="001B413F">
            <w:pPr>
              <w:pStyle w:val="biaogeleft"/>
              <w:wordWrap w:val="0"/>
              <w:rPr>
                <w:rFonts w:hint="eastAsia"/>
              </w:rPr>
            </w:pPr>
            <w:r w:rsidRPr="004C1828">
              <w:rPr>
                <w:rFonts w:asciiTheme="minorEastAsia" w:eastAsiaTheme="minorEastAsia" w:hAnsiTheme="minorEastAsia" w:hint="eastAsia"/>
                <w:color w:val="000000"/>
                <w:sz w:val="22"/>
                <w:szCs w:val="22"/>
              </w:rPr>
              <w:t>自基金合同生效起至今</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88A1DD8" w14:textId="29BB77A5" w:rsidR="001B413F" w:rsidRDefault="001B413F" w:rsidP="001B413F">
            <w:pPr>
              <w:pStyle w:val="biaogecenter"/>
              <w:wordWrap w:val="0"/>
              <w:rPr>
                <w:rFonts w:hint="eastAsia"/>
              </w:rPr>
            </w:pPr>
            <w:r>
              <w:rPr>
                <w:rFonts w:hAnsi="Calibri"/>
                <w:color w:val="000000"/>
              </w:rPr>
              <w:t>10.68%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5A7DE61" w14:textId="17E9B41C" w:rsidR="001B413F" w:rsidRDefault="001B413F" w:rsidP="001B413F">
            <w:pPr>
              <w:pStyle w:val="biaogecenter"/>
              <w:wordWrap w:val="0"/>
              <w:rPr>
                <w:rFonts w:hint="eastAsia"/>
              </w:rPr>
            </w:pPr>
            <w:r>
              <w:rPr>
                <w:rFonts w:hAnsi="Calibri"/>
                <w:color w:val="000000"/>
              </w:rPr>
              <w:t>1.44%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40B1331" w14:textId="7BAF4E5D" w:rsidR="001B413F" w:rsidRDefault="001B413F" w:rsidP="001B413F">
            <w:pPr>
              <w:pStyle w:val="biaogecenter"/>
              <w:wordWrap w:val="0"/>
              <w:rPr>
                <w:rFonts w:hint="eastAsia"/>
              </w:rPr>
            </w:pPr>
            <w:r>
              <w:rPr>
                <w:rFonts w:hAnsi="Calibri"/>
                <w:color w:val="000000"/>
              </w:rPr>
              <w:t>11.75%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7EC247A" w14:textId="0F5E4ED5" w:rsidR="001B413F" w:rsidRDefault="001B413F" w:rsidP="001B413F">
            <w:pPr>
              <w:pStyle w:val="biaogecenter"/>
              <w:wordWrap w:val="0"/>
              <w:rPr>
                <w:rFonts w:hint="eastAsia"/>
              </w:rPr>
            </w:pPr>
            <w:r>
              <w:rPr>
                <w:rFonts w:hAnsi="Calibri"/>
                <w:color w:val="000000"/>
              </w:rPr>
              <w:t>1.11%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94048D1" w14:textId="3002FD66" w:rsidR="001B413F" w:rsidRDefault="001B413F" w:rsidP="001B413F">
            <w:pPr>
              <w:pStyle w:val="biaogecenter"/>
              <w:wordWrap w:val="0"/>
              <w:rPr>
                <w:rFonts w:hint="eastAsia"/>
              </w:rPr>
            </w:pPr>
            <w:r>
              <w:rPr>
                <w:rFonts w:hAnsi="Calibri"/>
                <w:color w:val="000000"/>
              </w:rPr>
              <w:t>-1.07%</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236545D" w14:textId="7DBFF87C" w:rsidR="001B413F" w:rsidRDefault="001B413F" w:rsidP="001B413F">
            <w:pPr>
              <w:pStyle w:val="biaogecenter"/>
              <w:wordWrap w:val="0"/>
              <w:rPr>
                <w:rFonts w:hint="eastAsia"/>
              </w:rPr>
            </w:pPr>
            <w:r>
              <w:rPr>
                <w:rFonts w:hAnsi="Calibri"/>
                <w:color w:val="000000"/>
              </w:rPr>
              <w:t>0.33%</w:t>
            </w:r>
          </w:p>
        </w:tc>
      </w:tr>
    </w:tbl>
    <w:p w14:paraId="33C354E4" w14:textId="39496D2B" w:rsidR="004D3275" w:rsidRDefault="001B413F" w:rsidP="004D3275">
      <w:pPr>
        <w:widowControl/>
        <w:jc w:val="left"/>
        <w:rPr>
          <w:rFonts w:ascii="宋体" w:eastAsia="宋体" w:hAnsi="宋体" w:cs="宋体" w:hint="eastAsia"/>
          <w:kern w:val="0"/>
          <w:sz w:val="24"/>
          <w:szCs w:val="24"/>
        </w:rPr>
      </w:pPr>
      <w:r>
        <w:rPr>
          <w:rFonts w:ascii="宋体" w:hAnsi="宋体" w:cs="宋体" w:hint="eastAsia"/>
          <w:kern w:val="0"/>
          <w:sz w:val="24"/>
          <w:szCs w:val="24"/>
        </w:rPr>
        <w:t>注：自2025年4月1日起，本基金的业绩比较基准由“沪深300指数收益率×80%+中债综合指数收益率×20%”变更为“中证2000指数收益率*85%+银行活期存款利率（税后）*15%”</w:t>
      </w:r>
      <w:r w:rsidR="004D3275">
        <w:rPr>
          <w:rFonts w:ascii="宋体" w:eastAsia="宋体" w:hAnsi="宋体" w:cs="宋体" w:hint="eastAsia"/>
          <w:kern w:val="0"/>
          <w:sz w:val="24"/>
          <w:szCs w:val="24"/>
        </w:rPr>
        <w:t xml:space="preserve"> </w:t>
      </w:r>
    </w:p>
    <w:p w14:paraId="679C800C"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p>
    <w:p w14:paraId="79E948AA"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w:t>
      </w:r>
      <w:r w:rsidRPr="009D467D">
        <w:rPr>
          <w:rFonts w:asciiTheme="minorEastAsia" w:hAnsiTheme="minorEastAsia" w:cs="Times New Roman" w:hint="eastAsia"/>
          <w:sz w:val="24"/>
          <w:szCs w:val="24"/>
        </w:rPr>
        <w:t>自基金合同生效以来基金累计净值增长率变动及其与同期业绩比较基准收益率变动的比较</w:t>
      </w:r>
    </w:p>
    <w:p w14:paraId="54AA77C5" w14:textId="50EDEE20" w:rsidR="004D3275" w:rsidRDefault="001B413F" w:rsidP="006D6E60">
      <w:pPr>
        <w:autoSpaceDE w:val="0"/>
        <w:autoSpaceDN w:val="0"/>
        <w:spacing w:line="360" w:lineRule="auto"/>
        <w:ind w:firstLineChars="200" w:firstLine="420"/>
        <w:textAlignment w:val="bottom"/>
        <w:rPr>
          <w:rFonts w:asciiTheme="minorEastAsia" w:hAnsiTheme="minorEastAsia" w:hint="eastAsia"/>
          <w:bCs/>
          <w:sz w:val="24"/>
          <w:szCs w:val="24"/>
        </w:rPr>
      </w:pPr>
      <w:r>
        <w:rPr>
          <w:noProof/>
          <w:color w:val="000000"/>
        </w:rPr>
        <w:lastRenderedPageBreak/>
        <w:drawing>
          <wp:inline distT="0" distB="0" distL="0" distR="0" wp14:anchorId="7730F942" wp14:editId="76CED825">
            <wp:extent cx="5274310" cy="3421380"/>
            <wp:effectExtent l="0" t="0" r="2540" b="7620"/>
            <wp:docPr id="2" name="图片 2" descr="说明: D:\GZ\Bin\MOD\TMP\CN_51130000_015657_FB030020_20250004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GZ\Bin\MOD\TMP\CN_51130000_015657_FB030020_20250004_2.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74310" cy="3421380"/>
                    </a:xfrm>
                    <a:prstGeom prst="rect">
                      <a:avLst/>
                    </a:prstGeom>
                    <a:noFill/>
                    <a:ln>
                      <a:noFill/>
                    </a:ln>
                  </pic:spPr>
                </pic:pic>
              </a:graphicData>
            </a:graphic>
          </wp:inline>
        </w:drawing>
      </w:r>
    </w:p>
    <w:p w14:paraId="56FC4401" w14:textId="75B89ACD" w:rsidR="001B413F" w:rsidRDefault="001B413F" w:rsidP="006D6E60">
      <w:pPr>
        <w:autoSpaceDE w:val="0"/>
        <w:autoSpaceDN w:val="0"/>
        <w:spacing w:line="360" w:lineRule="auto"/>
        <w:ind w:firstLineChars="200" w:firstLine="420"/>
        <w:textAlignment w:val="bottom"/>
        <w:rPr>
          <w:rFonts w:asciiTheme="minorEastAsia" w:hAnsiTheme="minorEastAsia" w:hint="eastAsia"/>
          <w:bCs/>
          <w:sz w:val="24"/>
          <w:szCs w:val="24"/>
        </w:rPr>
      </w:pPr>
      <w:r>
        <w:rPr>
          <w:noProof/>
          <w:color w:val="000000"/>
        </w:rPr>
        <w:drawing>
          <wp:inline distT="0" distB="0" distL="0" distR="0" wp14:anchorId="46178F67" wp14:editId="3D5D51E6">
            <wp:extent cx="5274310" cy="3421380"/>
            <wp:effectExtent l="0" t="0" r="2540" b="7620"/>
            <wp:docPr id="5" name="图片 5" descr="说明: D:\GZ\Bin\MOD\TMP\CN_51130000_015657_FB030020_20250004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GZ\Bin\MOD\TMP\CN_51130000_015657_FB030020_20250004_3.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74310" cy="3421380"/>
                    </a:xfrm>
                    <a:prstGeom prst="rect">
                      <a:avLst/>
                    </a:prstGeom>
                    <a:noFill/>
                    <a:ln>
                      <a:noFill/>
                    </a:ln>
                  </pic:spPr>
                </pic:pic>
              </a:graphicData>
            </a:graphic>
          </wp:inline>
        </w:drawing>
      </w:r>
    </w:p>
    <w:p w14:paraId="2AC1AF9D" w14:textId="52D523DB" w:rsidR="004D3275" w:rsidRDefault="004D3275" w:rsidP="004D3275">
      <w:pPr>
        <w:autoSpaceDE w:val="0"/>
        <w:autoSpaceDN w:val="0"/>
        <w:spacing w:line="360" w:lineRule="auto"/>
        <w:ind w:firstLine="420"/>
        <w:textAlignment w:val="bottom"/>
        <w:rPr>
          <w:rFonts w:asciiTheme="minorEastAsia" w:hAnsiTheme="minorEastAsia"/>
          <w:bCs/>
          <w:sz w:val="24"/>
          <w:szCs w:val="24"/>
        </w:rPr>
      </w:pPr>
    </w:p>
    <w:p w14:paraId="17A8E417" w14:textId="77777777" w:rsidR="00130055" w:rsidRDefault="00130055" w:rsidP="004D3275">
      <w:pPr>
        <w:autoSpaceDE w:val="0"/>
        <w:autoSpaceDN w:val="0"/>
        <w:spacing w:line="360" w:lineRule="auto"/>
        <w:ind w:firstLine="420"/>
        <w:textAlignment w:val="bottom"/>
        <w:rPr>
          <w:rFonts w:asciiTheme="minorEastAsia" w:hAnsiTheme="minorEastAsia"/>
          <w:bCs/>
          <w:sz w:val="24"/>
          <w:szCs w:val="24"/>
        </w:rPr>
      </w:pPr>
    </w:p>
    <w:p w14:paraId="73DE016F" w14:textId="77777777" w:rsidR="00130055" w:rsidRDefault="00130055" w:rsidP="004D3275">
      <w:pPr>
        <w:autoSpaceDE w:val="0"/>
        <w:autoSpaceDN w:val="0"/>
        <w:spacing w:line="360" w:lineRule="auto"/>
        <w:ind w:firstLine="420"/>
        <w:textAlignment w:val="bottom"/>
        <w:rPr>
          <w:rFonts w:asciiTheme="minorEastAsia" w:hAnsiTheme="minorEastAsia"/>
          <w:bCs/>
          <w:sz w:val="24"/>
          <w:szCs w:val="24"/>
        </w:rPr>
      </w:pPr>
    </w:p>
    <w:p w14:paraId="1E94A5AE" w14:textId="77777777" w:rsidR="00130055" w:rsidRDefault="00130055" w:rsidP="004D3275">
      <w:pPr>
        <w:autoSpaceDE w:val="0"/>
        <w:autoSpaceDN w:val="0"/>
        <w:spacing w:line="360" w:lineRule="auto"/>
        <w:ind w:firstLine="420"/>
        <w:textAlignment w:val="bottom"/>
        <w:rPr>
          <w:rFonts w:asciiTheme="minorEastAsia" w:hAnsiTheme="minorEastAsia" w:hint="eastAsia"/>
          <w:bCs/>
          <w:sz w:val="24"/>
          <w:szCs w:val="24"/>
        </w:rPr>
      </w:pPr>
    </w:p>
    <w:p w14:paraId="72D3C6B7" w14:textId="77777777" w:rsidR="009D10D8" w:rsidRDefault="009E4577">
      <w:pPr>
        <w:pStyle w:val="1"/>
        <w:jc w:val="center"/>
        <w:rPr>
          <w:sz w:val="30"/>
          <w:szCs w:val="30"/>
        </w:rPr>
      </w:pPr>
      <w:bookmarkStart w:id="207" w:name="_Toc416264546"/>
      <w:bookmarkStart w:id="208" w:name="_Toc26084"/>
      <w:bookmarkStart w:id="209" w:name="_Toc352229757"/>
      <w:bookmarkStart w:id="210" w:name="_Toc22674"/>
      <w:bookmarkStart w:id="211" w:name="_Toc141703891"/>
      <w:bookmarkStart w:id="212" w:name="_Toc123112239"/>
      <w:bookmarkStart w:id="213" w:name="_Toc14725"/>
      <w:bookmarkStart w:id="214" w:name="_Toc31469"/>
      <w:bookmarkStart w:id="215" w:name="_Toc26152"/>
      <w:bookmarkStart w:id="216" w:name="_Toc123102458"/>
      <w:bookmarkStart w:id="217" w:name="_Toc139991741"/>
      <w:bookmarkStart w:id="218" w:name="_Toc79392624"/>
      <w:bookmarkStart w:id="219" w:name="_Toc19520"/>
      <w:bookmarkStart w:id="220" w:name="_Toc48649710"/>
      <w:bookmarkStart w:id="221" w:name="_Toc123051457"/>
      <w:bookmarkStart w:id="222" w:name="_Toc21886"/>
      <w:bookmarkStart w:id="223" w:name="_Toc16789"/>
      <w:bookmarkStart w:id="224" w:name="_Toc98560357"/>
      <w:bookmarkStart w:id="225" w:name="_Toc26383"/>
      <w:bookmarkStart w:id="226" w:name="_Toc2255"/>
      <w:bookmarkStart w:id="227" w:name="_Toc3244"/>
      <w:bookmarkStart w:id="228" w:name="_Toc173322786"/>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Pr>
          <w:rFonts w:hint="eastAsia"/>
          <w:sz w:val="30"/>
          <w:szCs w:val="30"/>
        </w:rPr>
        <w:lastRenderedPageBreak/>
        <w:t>第十部分</w:t>
      </w:r>
      <w:r>
        <w:rPr>
          <w:sz w:val="30"/>
          <w:szCs w:val="30"/>
        </w:rPr>
        <w:t xml:space="preserve">  </w:t>
      </w:r>
      <w:r>
        <w:rPr>
          <w:rFonts w:hint="eastAsia"/>
          <w:sz w:val="30"/>
          <w:szCs w:val="30"/>
        </w:rPr>
        <w:t>基金的财产</w:t>
      </w:r>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p>
    <w:p w14:paraId="417B4780" w14:textId="77777777" w:rsidR="009D10D8" w:rsidRDefault="009E4577">
      <w:pPr>
        <w:autoSpaceDE w:val="0"/>
        <w:autoSpaceDN w:val="0"/>
        <w:spacing w:line="360" w:lineRule="auto"/>
        <w:ind w:firstLineChars="200" w:firstLine="480"/>
        <w:textAlignment w:val="bottom"/>
        <w:rPr>
          <w:bCs/>
          <w:sz w:val="24"/>
        </w:rPr>
      </w:pPr>
      <w:bookmarkStart w:id="229" w:name="_Toc214873600"/>
      <w:bookmarkStart w:id="230" w:name="_Toc416264547"/>
      <w:bookmarkStart w:id="231" w:name="_Toc263092319"/>
      <w:bookmarkStart w:id="232" w:name="_Toc11351"/>
      <w:bookmarkStart w:id="233" w:name="_Toc2981"/>
      <w:bookmarkStart w:id="234" w:name="_Toc801"/>
      <w:bookmarkStart w:id="235" w:name="_Toc22538"/>
      <w:bookmarkStart w:id="236" w:name="_Toc3872"/>
      <w:bookmarkStart w:id="237" w:name="_Toc578"/>
      <w:bookmarkStart w:id="238" w:name="_Toc13343"/>
      <w:bookmarkStart w:id="239" w:name="_Toc5477"/>
      <w:bookmarkStart w:id="240" w:name="_Toc21917"/>
      <w:bookmarkStart w:id="241" w:name="_Toc11395"/>
      <w:bookmarkStart w:id="242" w:name="_Toc16437"/>
      <w:bookmarkStart w:id="243" w:name="_Toc352229758"/>
      <w:r>
        <w:rPr>
          <w:rFonts w:hint="eastAsia"/>
          <w:bCs/>
          <w:sz w:val="24"/>
        </w:rPr>
        <w:t>一、基金资产总值</w:t>
      </w:r>
    </w:p>
    <w:p w14:paraId="3172DE6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基金资产总值是指购买的各类证券及票据价值、银行存款本息和基金应收的申购基金款以及其他投资所形成的价值总和。</w:t>
      </w:r>
    </w:p>
    <w:p w14:paraId="1ECBEF2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二、基金资产净值</w:t>
      </w:r>
    </w:p>
    <w:p w14:paraId="10A1EF0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基金资产净值是指基金资产总值减去基金负债后的价值。</w:t>
      </w:r>
    </w:p>
    <w:p w14:paraId="2F5AB24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三、基金财产的账户</w:t>
      </w:r>
    </w:p>
    <w:p w14:paraId="45775C5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托管人根据相关法律法规、规范性文件为本基金开立资金账户、证券账户、期货账户以及投资所需的其他专用账户。开立的基金专用账户与基金管理人、基金托管人、基金销售机构和基金登记机构自有的财产账户以及其他基金财产账户相独立。</w:t>
      </w:r>
    </w:p>
    <w:p w14:paraId="0F1E2EB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四、基金财产的保管和处分</w:t>
      </w:r>
    </w:p>
    <w:p w14:paraId="13F2729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w:t>
      </w:r>
      <w:proofErr w:type="gramStart"/>
      <w:r>
        <w:rPr>
          <w:rFonts w:hint="eastAsia"/>
          <w:bCs/>
          <w:sz w:val="24"/>
        </w:rPr>
        <w:t>律法规</w:t>
      </w:r>
      <w:proofErr w:type="gramEnd"/>
      <w:r>
        <w:rPr>
          <w:rFonts w:hint="eastAsia"/>
          <w:bCs/>
          <w:sz w:val="24"/>
        </w:rPr>
        <w:t>和《基金合同》的规定处分外，基金财产不得被处分。</w:t>
      </w:r>
    </w:p>
    <w:p w14:paraId="5723552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hint="eastAsia"/>
          <w:bCs/>
          <w:sz w:val="24"/>
        </w:rPr>
        <w:t>抵销</w:t>
      </w:r>
      <w:proofErr w:type="gramEnd"/>
      <w:r>
        <w:rPr>
          <w:rFonts w:hint="eastAsia"/>
          <w:bCs/>
          <w:sz w:val="24"/>
        </w:rPr>
        <w:t>；基金管理人管理运作不同基金的基金财产所产生的债权债务不得相互</w:t>
      </w:r>
      <w:proofErr w:type="gramStart"/>
      <w:r>
        <w:rPr>
          <w:rFonts w:hint="eastAsia"/>
          <w:bCs/>
          <w:sz w:val="24"/>
        </w:rPr>
        <w:t>抵销</w:t>
      </w:r>
      <w:proofErr w:type="gramEnd"/>
      <w:r>
        <w:rPr>
          <w:rFonts w:hint="eastAsia"/>
          <w:bCs/>
          <w:sz w:val="24"/>
        </w:rPr>
        <w:t>。非因基金财产本身承担的债务，不得对基金财产强制执行。</w:t>
      </w:r>
    </w:p>
    <w:p w14:paraId="0186F039" w14:textId="77777777" w:rsidR="009D10D8" w:rsidRDefault="009E4577">
      <w:pPr>
        <w:widowControl/>
        <w:jc w:val="left"/>
        <w:rPr>
          <w:bCs/>
          <w:sz w:val="24"/>
        </w:rPr>
      </w:pPr>
      <w:r>
        <w:rPr>
          <w:bCs/>
          <w:sz w:val="24"/>
        </w:rPr>
        <w:br w:type="page"/>
      </w:r>
    </w:p>
    <w:p w14:paraId="30BA6485" w14:textId="77777777" w:rsidR="009D10D8" w:rsidRDefault="009E4577">
      <w:pPr>
        <w:pStyle w:val="1"/>
        <w:jc w:val="center"/>
        <w:rPr>
          <w:sz w:val="30"/>
          <w:szCs w:val="30"/>
        </w:rPr>
      </w:pPr>
      <w:bookmarkStart w:id="244" w:name="_Toc173322787"/>
      <w:r>
        <w:rPr>
          <w:rFonts w:hint="eastAsia"/>
          <w:sz w:val="30"/>
          <w:szCs w:val="30"/>
        </w:rPr>
        <w:lastRenderedPageBreak/>
        <w:t>第十一部分</w:t>
      </w:r>
      <w:r>
        <w:rPr>
          <w:sz w:val="30"/>
          <w:szCs w:val="30"/>
        </w:rPr>
        <w:t xml:space="preserve">  </w:t>
      </w:r>
      <w:r>
        <w:rPr>
          <w:rFonts w:hint="eastAsia"/>
          <w:sz w:val="30"/>
          <w:szCs w:val="30"/>
        </w:rPr>
        <w:t>基金资产的估值</w:t>
      </w:r>
      <w:bookmarkEnd w:id="229"/>
      <w:bookmarkEnd w:id="230"/>
      <w:bookmarkEnd w:id="231"/>
      <w:bookmarkEnd w:id="244"/>
    </w:p>
    <w:p w14:paraId="79AF036D"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一、估值日</w:t>
      </w:r>
    </w:p>
    <w:p w14:paraId="4A23726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本基金的估值日为本基金相关的证券交易场所的交易日以及国家法律法规规定需要对外披露基金净值的</w:t>
      </w:r>
      <w:proofErr w:type="gramStart"/>
      <w:r>
        <w:rPr>
          <w:rFonts w:hint="eastAsia"/>
          <w:bCs/>
          <w:sz w:val="24"/>
        </w:rPr>
        <w:t>非交易</w:t>
      </w:r>
      <w:proofErr w:type="gramEnd"/>
      <w:r>
        <w:rPr>
          <w:rFonts w:hint="eastAsia"/>
          <w:bCs/>
          <w:sz w:val="24"/>
        </w:rPr>
        <w:t>日。</w:t>
      </w:r>
    </w:p>
    <w:p w14:paraId="4CE7EC8C"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二、估值对象</w:t>
      </w:r>
    </w:p>
    <w:p w14:paraId="786A939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基金所拥有的股票、股指期货合约、国债期货合约、债券和银行存款本息、应收款项、其它投资、股票期权、信用衍生品等资产及负债。</w:t>
      </w:r>
    </w:p>
    <w:p w14:paraId="2BAE0FA8"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三、估值原则</w:t>
      </w:r>
    </w:p>
    <w:p w14:paraId="4F9B723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基金管理人在确定相关金融资产和金融负债的公允价值时，应符合《企业会计准则》、监管部门有关规定。</w:t>
      </w:r>
    </w:p>
    <w:p w14:paraId="1979FEE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833AF1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71D1E04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1B95B74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（三）如经济环境发生重大变化或证券发行人发生影响证券价格的重大事件，使潜在估值调整对前一估值日的基金资产净值的影响在</w:t>
      </w:r>
      <w:r>
        <w:rPr>
          <w:rFonts w:hint="eastAsia"/>
          <w:bCs/>
          <w:sz w:val="24"/>
        </w:rPr>
        <w:t>0.25%</w:t>
      </w:r>
      <w:r>
        <w:rPr>
          <w:rFonts w:hint="eastAsia"/>
          <w:bCs/>
          <w:sz w:val="24"/>
        </w:rPr>
        <w:t>以上的，应对估值进行调整并确定公允价值。</w:t>
      </w:r>
    </w:p>
    <w:p w14:paraId="59A4A3D0"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四、估值方法</w:t>
      </w:r>
    </w:p>
    <w:p w14:paraId="1C2D42EC" w14:textId="77777777" w:rsidR="009D10D8" w:rsidRDefault="009E4577">
      <w:pPr>
        <w:autoSpaceDE w:val="0"/>
        <w:autoSpaceDN w:val="0"/>
        <w:spacing w:line="360" w:lineRule="auto"/>
        <w:ind w:firstLineChars="200" w:firstLine="480"/>
        <w:textAlignment w:val="bottom"/>
        <w:rPr>
          <w:bCs/>
          <w:sz w:val="24"/>
        </w:rPr>
      </w:pPr>
      <w:r>
        <w:rPr>
          <w:rFonts w:hint="eastAsia"/>
          <w:bCs/>
          <w:sz w:val="24"/>
        </w:rPr>
        <w:lastRenderedPageBreak/>
        <w:t>1</w:t>
      </w:r>
      <w:r>
        <w:rPr>
          <w:rFonts w:hint="eastAsia"/>
          <w:bCs/>
          <w:sz w:val="24"/>
        </w:rPr>
        <w:t>、证券交易所上市的有价证券的估值</w:t>
      </w:r>
    </w:p>
    <w:p w14:paraId="0F6D21D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391EE383" w14:textId="77777777" w:rsidR="00210437" w:rsidRPr="00794997" w:rsidRDefault="00210437" w:rsidP="0021043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w:t>
      </w:r>
      <w:r w:rsidRPr="000D1400">
        <w:rPr>
          <w:rFonts w:ascii="Times New Roman" w:eastAsia="宋体" w:hAnsi="Times New Roman" w:hint="eastAsia"/>
          <w:bCs/>
          <w:sz w:val="24"/>
        </w:rPr>
        <w:t>交易所上市交易或挂牌转让的不含</w:t>
      </w:r>
      <w:proofErr w:type="gramStart"/>
      <w:r w:rsidRPr="000D1400">
        <w:rPr>
          <w:rFonts w:ascii="Times New Roman" w:eastAsia="宋体" w:hAnsi="Times New Roman" w:hint="eastAsia"/>
          <w:bCs/>
          <w:sz w:val="24"/>
        </w:rPr>
        <w:t>权固定</w:t>
      </w:r>
      <w:proofErr w:type="gramEnd"/>
      <w:r w:rsidRPr="000D1400">
        <w:rPr>
          <w:rFonts w:ascii="Times New Roman" w:eastAsia="宋体" w:hAnsi="Times New Roman" w:hint="eastAsia"/>
          <w:bCs/>
          <w:sz w:val="24"/>
        </w:rPr>
        <w:t>收益品种，选取估值日第三方估值机构提供的相应品种当日的估值净价进行估值</w:t>
      </w:r>
      <w:r w:rsidRPr="00794997">
        <w:rPr>
          <w:rFonts w:hint="eastAsia"/>
          <w:bCs/>
          <w:sz w:val="24"/>
        </w:rPr>
        <w:t>；</w:t>
      </w:r>
    </w:p>
    <w:p w14:paraId="710AEFF4" w14:textId="77777777" w:rsidR="00210437" w:rsidRPr="00794997" w:rsidRDefault="00210437" w:rsidP="0021043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w:t>
      </w:r>
      <w:r w:rsidRPr="002119F6">
        <w:rPr>
          <w:rFonts w:ascii="Times New Roman" w:eastAsia="宋体" w:hAnsi="Times New Roman" w:hint="eastAsia"/>
          <w:bCs/>
          <w:sz w:val="24"/>
        </w:rPr>
        <w:t>交易所上市交易或挂牌转让的含</w:t>
      </w:r>
      <w:proofErr w:type="gramStart"/>
      <w:r w:rsidRPr="002119F6">
        <w:rPr>
          <w:rFonts w:ascii="Times New Roman" w:eastAsia="宋体" w:hAnsi="Times New Roman" w:hint="eastAsia"/>
          <w:bCs/>
          <w:sz w:val="24"/>
        </w:rPr>
        <w:t>权固定</w:t>
      </w:r>
      <w:proofErr w:type="gramEnd"/>
      <w:r w:rsidRPr="002119F6">
        <w:rPr>
          <w:rFonts w:ascii="Times New Roman" w:eastAsia="宋体" w:hAnsi="Times New Roman" w:hint="eastAsia"/>
          <w:bCs/>
          <w:sz w:val="24"/>
        </w:rPr>
        <w:t>收益品种，选取估值日第三方估值机构提供的相应品种当日的唯一估值净价或推荐估值净价进行估值</w:t>
      </w:r>
      <w:r w:rsidRPr="00777CF8">
        <w:rPr>
          <w:rFonts w:hint="eastAsia"/>
          <w:bCs/>
          <w:sz w:val="24"/>
        </w:rPr>
        <w:t>；</w:t>
      </w:r>
    </w:p>
    <w:p w14:paraId="4BA45BE6" w14:textId="77777777" w:rsidR="00210437" w:rsidRPr="00794997" w:rsidRDefault="00210437" w:rsidP="0021043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）交易所上市交易的可转换债券以每日收盘价作为估值全价；</w:t>
      </w:r>
    </w:p>
    <w:p w14:paraId="7B5B415E" w14:textId="4BC1E0E8" w:rsidR="009D10D8" w:rsidRDefault="0021043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5</w:t>
      </w:r>
      <w:r w:rsidRPr="00794997">
        <w:rPr>
          <w:rFonts w:hint="eastAsia"/>
          <w:bCs/>
          <w:sz w:val="24"/>
        </w:rPr>
        <w:t>）</w:t>
      </w:r>
      <w:r w:rsidRPr="00FA0C8F">
        <w:rPr>
          <w:rFonts w:ascii="Times New Roman" w:eastAsia="宋体" w:hAnsi="Times New Roman" w:hint="eastAsia"/>
          <w:bCs/>
          <w:sz w:val="24"/>
        </w:rPr>
        <w:t>交易所上市不存在活跃市场的有价证券，采用估值技术确定公允价值。交易所市场挂牌转让的资产支持证券，采用估值技术确定公允价值</w:t>
      </w:r>
      <w:r w:rsidR="00007F8E">
        <w:rPr>
          <w:rFonts w:hint="eastAsia"/>
          <w:bCs/>
          <w:sz w:val="24"/>
        </w:rPr>
        <w:t>；</w:t>
      </w:r>
    </w:p>
    <w:p w14:paraId="76E7AB8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30AD62E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、处于未上市期间的有价证券应区分如下情况处理：</w:t>
      </w:r>
    </w:p>
    <w:p w14:paraId="06B7ABD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）送股、转增股、配股和公开增发的新股，按估值日在证券交易所挂牌的同一股票的估值方法估值；该日无交易的，以最近一日的市价（收盘价）估值；</w:t>
      </w:r>
    </w:p>
    <w:p w14:paraId="4F48C10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）首次公开发行未上市的股票、债券，采用估值技术确定公允价值，在估值技术难以可靠计量公允价值的情况下，按成本估值；</w:t>
      </w:r>
    </w:p>
    <w:p w14:paraId="35222CE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Pr>
          <w:rFonts w:hint="eastAsia"/>
          <w:bCs/>
          <w:sz w:val="24"/>
        </w:rPr>
        <w:t>券</w:t>
      </w:r>
      <w:proofErr w:type="gramEnd"/>
      <w:r>
        <w:rPr>
          <w:rFonts w:hint="eastAsia"/>
          <w:bCs/>
          <w:sz w:val="24"/>
        </w:rPr>
        <w:t>等流通受限股票），按监管机构或行业协会有关规定确定公允价值。</w:t>
      </w:r>
    </w:p>
    <w:p w14:paraId="7B2110A0" w14:textId="48C15013" w:rsidR="009D10D8" w:rsidRDefault="00210437" w:rsidP="0021043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w:t>
      </w:r>
      <w:r w:rsidRPr="000622F1">
        <w:rPr>
          <w:rFonts w:ascii="Times New Roman" w:eastAsia="宋体" w:hAnsi="Times New Roman" w:hint="eastAsia"/>
          <w:bCs/>
          <w:sz w:val="24"/>
        </w:rPr>
        <w:t>对全国银行间市场上不含权的固定收益品种，按照第三方估值机构提供</w:t>
      </w:r>
      <w:r w:rsidRPr="000622F1">
        <w:rPr>
          <w:rFonts w:ascii="Times New Roman" w:eastAsia="宋体" w:hAnsi="Times New Roman" w:hint="eastAsia"/>
          <w:bCs/>
          <w:sz w:val="24"/>
        </w:rPr>
        <w:lastRenderedPageBreak/>
        <w:t>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w:t>
      </w:r>
      <w:r w:rsidRPr="00794997">
        <w:rPr>
          <w:rFonts w:hint="eastAsia"/>
          <w:bCs/>
          <w:sz w:val="24"/>
        </w:rPr>
        <w:t>。</w:t>
      </w:r>
    </w:p>
    <w:p w14:paraId="3E87B63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、同一债券同时在两个或两个以上市场交易的，按债券所处的市场分别估值。</w:t>
      </w:r>
    </w:p>
    <w:p w14:paraId="77676CE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、本基金投资国债期货、股指期货、股票期权合约，一般以估值当日结算价进行估值，估值当日无结算价的，且最近交易日后经济环境未发生重大变化的，采用最近交易日结算价估值。</w:t>
      </w:r>
    </w:p>
    <w:p w14:paraId="55CA720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信用衍生品按估值日第三方机构提供的估值净价估值；选定的第三方估值机构未提供估值价格的：对于存在活跃市场的情况下，应以活跃市场上未经调整的报价作为计量日的公允价值；对于活跃市场报价未能代表计量日公允价值的情况下，应当对市场报价进行调整以确认计量日的公允价值；</w:t>
      </w:r>
      <w:proofErr w:type="gramStart"/>
      <w:r>
        <w:rPr>
          <w:rFonts w:hint="eastAsia"/>
          <w:bCs/>
          <w:sz w:val="24"/>
        </w:rPr>
        <w:t>非活跃</w:t>
      </w:r>
      <w:proofErr w:type="gramEnd"/>
      <w:r>
        <w:rPr>
          <w:rFonts w:hint="eastAsia"/>
          <w:bCs/>
          <w:sz w:val="24"/>
        </w:rPr>
        <w:t>市场下采用估值技术确定公允价值。</w:t>
      </w:r>
    </w:p>
    <w:p w14:paraId="528442F0" w14:textId="77777777" w:rsidR="009D10D8" w:rsidRDefault="009E4577">
      <w:pPr>
        <w:autoSpaceDE w:val="0"/>
        <w:autoSpaceDN w:val="0"/>
        <w:spacing w:line="360" w:lineRule="auto"/>
        <w:ind w:firstLineChars="200" w:firstLine="480"/>
        <w:textAlignment w:val="bottom"/>
        <w:rPr>
          <w:bCs/>
          <w:sz w:val="24"/>
        </w:rPr>
      </w:pPr>
      <w:r>
        <w:rPr>
          <w:bCs/>
          <w:sz w:val="24"/>
        </w:rPr>
        <w:t>7</w:t>
      </w:r>
      <w:r>
        <w:rPr>
          <w:rFonts w:hint="eastAsia"/>
          <w:bCs/>
          <w:sz w:val="24"/>
        </w:rPr>
        <w:t>、本基金投资存托凭证的估值核算，依照境内上市交易的股票执行。</w:t>
      </w:r>
    </w:p>
    <w:p w14:paraId="3708E255" w14:textId="77777777" w:rsidR="009D10D8" w:rsidRDefault="009E4577">
      <w:pPr>
        <w:autoSpaceDE w:val="0"/>
        <w:autoSpaceDN w:val="0"/>
        <w:spacing w:line="360" w:lineRule="auto"/>
        <w:ind w:firstLineChars="200" w:firstLine="480"/>
        <w:textAlignment w:val="bottom"/>
        <w:rPr>
          <w:bCs/>
          <w:sz w:val="24"/>
        </w:rPr>
      </w:pPr>
      <w:r>
        <w:rPr>
          <w:bCs/>
          <w:sz w:val="24"/>
        </w:rPr>
        <w:t>8</w:t>
      </w:r>
      <w:r>
        <w:rPr>
          <w:rFonts w:hint="eastAsia"/>
          <w:bCs/>
          <w:sz w:val="24"/>
        </w:rPr>
        <w:t>、其他资产按法律法规或监管机构有关规定进行估值。</w:t>
      </w:r>
    </w:p>
    <w:p w14:paraId="6ADF94FE" w14:textId="77777777" w:rsidR="009D10D8" w:rsidRDefault="009E4577">
      <w:pPr>
        <w:autoSpaceDE w:val="0"/>
        <w:autoSpaceDN w:val="0"/>
        <w:spacing w:line="360" w:lineRule="auto"/>
        <w:ind w:firstLineChars="200" w:firstLine="480"/>
        <w:textAlignment w:val="bottom"/>
        <w:rPr>
          <w:bCs/>
          <w:sz w:val="24"/>
        </w:rPr>
      </w:pPr>
      <w:r>
        <w:rPr>
          <w:bCs/>
          <w:sz w:val="24"/>
        </w:rPr>
        <w:t>9</w:t>
      </w:r>
      <w:r>
        <w:rPr>
          <w:rFonts w:hint="eastAsia"/>
          <w:bCs/>
          <w:sz w:val="24"/>
        </w:rPr>
        <w:t>、如有确凿证据表明按上述方法进行估值不能客观反映其公允价值的，基金管理人可根据具体情况与基金托管人商定后，按最能反映公允价值的方法估值。</w:t>
      </w:r>
    </w:p>
    <w:p w14:paraId="1E63C45E" w14:textId="77777777" w:rsidR="009D10D8" w:rsidRDefault="009E4577">
      <w:pPr>
        <w:autoSpaceDE w:val="0"/>
        <w:autoSpaceDN w:val="0"/>
        <w:spacing w:line="360" w:lineRule="auto"/>
        <w:ind w:firstLineChars="200" w:firstLine="480"/>
        <w:textAlignment w:val="bottom"/>
        <w:rPr>
          <w:bCs/>
          <w:sz w:val="24"/>
        </w:rPr>
      </w:pPr>
      <w:r>
        <w:rPr>
          <w:bCs/>
          <w:sz w:val="24"/>
        </w:rPr>
        <w:t>10</w:t>
      </w:r>
      <w:r>
        <w:rPr>
          <w:rFonts w:hint="eastAsia"/>
          <w:bCs/>
          <w:sz w:val="24"/>
        </w:rPr>
        <w:t>、当本基金发生大额申购或赎回情形时，基金管理人可以对本基金采用摆动定价机制，以确保基金估值的公平性。</w:t>
      </w:r>
    </w:p>
    <w:p w14:paraId="747119C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bCs/>
          <w:sz w:val="24"/>
        </w:rPr>
        <w:t>1</w:t>
      </w:r>
      <w:r>
        <w:rPr>
          <w:rFonts w:hint="eastAsia"/>
          <w:bCs/>
          <w:sz w:val="24"/>
        </w:rPr>
        <w:t>、相关法律法规以及监管部门有强制规定的，从其规定。如有新增事项，按国家最新规定估值。</w:t>
      </w:r>
    </w:p>
    <w:p w14:paraId="31F7842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7F96568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根据有关法律法规，基金资产净值计算和基金会计核算的义务由基金管理人承担，基金托管人承担复核责任。本基金的基金会计</w:t>
      </w:r>
      <w:proofErr w:type="gramStart"/>
      <w:r>
        <w:rPr>
          <w:rFonts w:hint="eastAsia"/>
          <w:bCs/>
          <w:sz w:val="24"/>
        </w:rPr>
        <w:t>主责任</w:t>
      </w:r>
      <w:proofErr w:type="gramEnd"/>
      <w:r>
        <w:rPr>
          <w:rFonts w:hint="eastAsia"/>
          <w:bCs/>
          <w:sz w:val="24"/>
        </w:rPr>
        <w:t>方由基金管理人担任，</w:t>
      </w:r>
      <w:r>
        <w:rPr>
          <w:rFonts w:hint="eastAsia"/>
          <w:bCs/>
          <w:sz w:val="24"/>
        </w:rPr>
        <w:lastRenderedPageBreak/>
        <w:t>因此，就与本基金有关的会计问题，如经相关各方在平等基础上充分讨论后，仍无法达成一致的意见，按照基金管理人对基金净值信息的计算结果对外予以公布。</w:t>
      </w:r>
    </w:p>
    <w:p w14:paraId="4582BBB5"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五、估值程序</w:t>
      </w:r>
    </w:p>
    <w:p w14:paraId="4367E4F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、各类基金份额净值是按照每个工作日闭市后，该类基金资产净值除以当日该类基金份额的余额数量计算，精确到</w:t>
      </w:r>
      <w:r>
        <w:rPr>
          <w:rFonts w:hint="eastAsia"/>
          <w:bCs/>
          <w:sz w:val="24"/>
        </w:rPr>
        <w:t>0.0001</w:t>
      </w:r>
      <w:r>
        <w:rPr>
          <w:rFonts w:hint="eastAsia"/>
          <w:bCs/>
          <w:sz w:val="24"/>
        </w:rPr>
        <w:t>元，小数点后第</w:t>
      </w:r>
      <w:r>
        <w:rPr>
          <w:rFonts w:hint="eastAsia"/>
          <w:bCs/>
          <w:sz w:val="24"/>
        </w:rPr>
        <w:t>5</w:t>
      </w:r>
      <w:r>
        <w:rPr>
          <w:rFonts w:hint="eastAsia"/>
          <w:bCs/>
          <w:sz w:val="24"/>
        </w:rPr>
        <w:t>位四舍五入，由此产生的收益或损失由基金财产承担。基金管理人可以设立大额赎回情形下的净值精度应急调整机制。国家另有规定的，从其规定。</w:t>
      </w:r>
    </w:p>
    <w:p w14:paraId="03C8E71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基金管理人每个工作日计算基金资产净值及各类基金份额净值，经基金托管人复核，并按规定公告。</w:t>
      </w:r>
    </w:p>
    <w:p w14:paraId="4D56897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w:t>
      </w:r>
      <w:proofErr w:type="gramStart"/>
      <w:r>
        <w:rPr>
          <w:rFonts w:hint="eastAsia"/>
          <w:bCs/>
          <w:sz w:val="24"/>
        </w:rPr>
        <w:t>应每个</w:t>
      </w:r>
      <w:proofErr w:type="gramEnd"/>
      <w:r>
        <w:rPr>
          <w:rFonts w:hint="eastAsia"/>
          <w:bCs/>
          <w:sz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约定对外公布。</w:t>
      </w:r>
    </w:p>
    <w:p w14:paraId="0BE47CD7"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六、估值错误的处理</w:t>
      </w:r>
    </w:p>
    <w:p w14:paraId="5795F91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基金管理人和基金托管人将采取必要、适当、合理的措施确保基金资产估值的准确性、及时性。当某一类基金份额净值小数点后</w:t>
      </w:r>
      <w:r>
        <w:rPr>
          <w:rFonts w:hint="eastAsia"/>
          <w:bCs/>
          <w:sz w:val="24"/>
        </w:rPr>
        <w:t>4</w:t>
      </w:r>
      <w:r>
        <w:rPr>
          <w:rFonts w:hint="eastAsia"/>
          <w:bCs/>
          <w:sz w:val="24"/>
        </w:rPr>
        <w:t>位以内</w:t>
      </w:r>
      <w:r>
        <w:rPr>
          <w:rFonts w:hint="eastAsia"/>
          <w:bCs/>
          <w:sz w:val="24"/>
        </w:rPr>
        <w:t>(</w:t>
      </w:r>
      <w:r>
        <w:rPr>
          <w:rFonts w:hint="eastAsia"/>
          <w:bCs/>
          <w:sz w:val="24"/>
        </w:rPr>
        <w:t>含第</w:t>
      </w:r>
      <w:r>
        <w:rPr>
          <w:rFonts w:hint="eastAsia"/>
          <w:bCs/>
          <w:sz w:val="24"/>
        </w:rPr>
        <w:t>4</w:t>
      </w:r>
      <w:r>
        <w:rPr>
          <w:rFonts w:hint="eastAsia"/>
          <w:bCs/>
          <w:sz w:val="24"/>
        </w:rPr>
        <w:t>位</w:t>
      </w:r>
      <w:r>
        <w:rPr>
          <w:rFonts w:hint="eastAsia"/>
          <w:bCs/>
          <w:sz w:val="24"/>
        </w:rPr>
        <w:t>)</w:t>
      </w:r>
      <w:r>
        <w:rPr>
          <w:rFonts w:hint="eastAsia"/>
          <w:bCs/>
          <w:sz w:val="24"/>
        </w:rPr>
        <w:t>发生估值错误时，视为该类基金份额净值错误。</w:t>
      </w:r>
    </w:p>
    <w:p w14:paraId="2F815E3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基金合同的当事人应按照以下约定处理：</w:t>
      </w:r>
    </w:p>
    <w:p w14:paraId="110837A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、估值错误类型</w:t>
      </w:r>
    </w:p>
    <w:p w14:paraId="034CBD9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rFonts w:hint="eastAsia"/>
          <w:bCs/>
          <w:sz w:val="24"/>
        </w:rPr>
        <w:t>“受损方”</w:t>
      </w:r>
      <w:r>
        <w:rPr>
          <w:rFonts w:hint="eastAsia"/>
          <w:bCs/>
          <w:sz w:val="24"/>
        </w:rPr>
        <w:t>)</w:t>
      </w:r>
      <w:r>
        <w:rPr>
          <w:rFonts w:hint="eastAsia"/>
          <w:bCs/>
          <w:sz w:val="24"/>
        </w:rPr>
        <w:t>的直接损失按下述“估值错误处理原则”给予赔偿，承担赔偿责任。</w:t>
      </w:r>
    </w:p>
    <w:p w14:paraId="321135B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上述估值错误的主要类型包括但不限于：资料申报差错、数据传输差错、数据计算差错、系统故障差错、下达指令差错等。</w:t>
      </w:r>
    </w:p>
    <w:p w14:paraId="5946D01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、估值错误处理原则</w:t>
      </w:r>
    </w:p>
    <w:p w14:paraId="0CA95FE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rFonts w:hint="eastAsia"/>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8D0726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）估值错误的责任方对有关当事人的直接损失负责，不对间接损失负责，并且仅对估值错误的有关直接当事人负责，不对第三方负责。</w:t>
      </w:r>
    </w:p>
    <w:p w14:paraId="4FC1218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）因估值错误而获得不当得利的当事人负有及时返还不当得利的义务。但估值错误责任方仍应对估值错误负责。如果由于获得不当得利的当事人</w:t>
      </w:r>
      <w:proofErr w:type="gramStart"/>
      <w:r>
        <w:rPr>
          <w:rFonts w:hint="eastAsia"/>
          <w:bCs/>
          <w:sz w:val="24"/>
        </w:rPr>
        <w:t>不</w:t>
      </w:r>
      <w:proofErr w:type="gramEnd"/>
      <w:r>
        <w:rPr>
          <w:rFonts w:hint="eastAsia"/>
          <w:bCs/>
          <w:sz w:val="24"/>
        </w:rPr>
        <w:t>返还或不全部返还不当得利造成其他当事人的利益损失</w:t>
      </w:r>
      <w:r>
        <w:rPr>
          <w:rFonts w:hint="eastAsia"/>
          <w:bCs/>
          <w:sz w:val="24"/>
        </w:rPr>
        <w:t>(</w:t>
      </w:r>
      <w:r>
        <w:rPr>
          <w:rFonts w:hint="eastAsia"/>
          <w:bCs/>
          <w:sz w:val="24"/>
        </w:rPr>
        <w:t>“受损方”</w:t>
      </w:r>
      <w:r>
        <w:rPr>
          <w:rFonts w:hint="eastAsia"/>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3F2FD83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）估值错误调整采用尽量恢复至假设未发生估值错误的正确情形的方式。</w:t>
      </w:r>
    </w:p>
    <w:p w14:paraId="2985805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、估值错误处理程序</w:t>
      </w:r>
    </w:p>
    <w:p w14:paraId="0199F18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估值错误被发现后，有关的当事人应当及时进行处理，处理的程序如下：</w:t>
      </w:r>
    </w:p>
    <w:p w14:paraId="09D2E8E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）查明估值错误发生的原因，列明所有的当事人，并根据估值错误发生的原因确定估值错误的责任方；</w:t>
      </w:r>
    </w:p>
    <w:p w14:paraId="7B3D0C1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）根据估值错误处理原则或当事人协商的方法对因估值错误造成的损失进行评估；</w:t>
      </w:r>
    </w:p>
    <w:p w14:paraId="700548C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）根据估值错误处理原则或当事人协商的方法由估值错误的责任方进行更正和赔偿损失；</w:t>
      </w:r>
    </w:p>
    <w:p w14:paraId="15C5AC9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）根据估值错误处理的方法，需要修改基金份额登记机构交易数据的，由基金份额登记机构进行更正，并就估值错误的更正向有关当事人进行确认。</w:t>
      </w:r>
    </w:p>
    <w:p w14:paraId="5B7A326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、基金份额净值估值错误处理的方法如下：</w:t>
      </w:r>
    </w:p>
    <w:p w14:paraId="79EBAF2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）基金份额净值计算出现错误时，基金管理人应当立即予以纠正，通报基金托管人，并采取合理的措施防止损失进一步扩大。</w:t>
      </w:r>
    </w:p>
    <w:p w14:paraId="61ABEF1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）错误偏差达到该类基金份额净值的</w:t>
      </w:r>
      <w:r>
        <w:rPr>
          <w:rFonts w:hint="eastAsia"/>
          <w:bCs/>
          <w:sz w:val="24"/>
        </w:rPr>
        <w:t>0.25%</w:t>
      </w:r>
      <w:r>
        <w:rPr>
          <w:rFonts w:hint="eastAsia"/>
          <w:bCs/>
          <w:sz w:val="24"/>
        </w:rPr>
        <w:t>时，基金管理人应当通报基金托管人并报中国证监会备案；错误偏差达到该类基金份额净值的</w:t>
      </w:r>
      <w:r>
        <w:rPr>
          <w:rFonts w:hint="eastAsia"/>
          <w:bCs/>
          <w:sz w:val="24"/>
        </w:rPr>
        <w:t>0.5%</w:t>
      </w:r>
      <w:r>
        <w:rPr>
          <w:rFonts w:hint="eastAsia"/>
          <w:bCs/>
          <w:sz w:val="24"/>
        </w:rPr>
        <w:t>时，基金管</w:t>
      </w:r>
      <w:r>
        <w:rPr>
          <w:rFonts w:hint="eastAsia"/>
          <w:bCs/>
          <w:sz w:val="24"/>
        </w:rPr>
        <w:lastRenderedPageBreak/>
        <w:t>理人应当公告，并报中国证监会备案。</w:t>
      </w:r>
    </w:p>
    <w:p w14:paraId="1C0049E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）前述内容如法律法规或监管机关另有规定的，从其规定处理。</w:t>
      </w:r>
    </w:p>
    <w:p w14:paraId="5220091F"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七、暂停估值的情形</w:t>
      </w:r>
    </w:p>
    <w:p w14:paraId="320ABAD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、基金投资所涉及的证券、期货交易市场遇法定节假日或因其他原因暂停营业时；</w:t>
      </w:r>
    </w:p>
    <w:p w14:paraId="60AD7B2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、因不可抗力或其他情形致使基金管理人、基金托管人无法准确评估基金资产价值时；</w:t>
      </w:r>
    </w:p>
    <w:p w14:paraId="7A5A6CD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、当特定资产占前一估值日基金资产净值</w:t>
      </w:r>
      <w:r>
        <w:rPr>
          <w:rFonts w:hint="eastAsia"/>
          <w:bCs/>
          <w:sz w:val="24"/>
        </w:rPr>
        <w:t>50%</w:t>
      </w:r>
      <w:r>
        <w:rPr>
          <w:rFonts w:hint="eastAsia"/>
          <w:bCs/>
          <w:sz w:val="24"/>
        </w:rPr>
        <w:t>以上的，经与基金托管人协商确认后，基金管理人应当暂停基金估值；</w:t>
      </w:r>
    </w:p>
    <w:p w14:paraId="7A0E86F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、中国证监会和基金合同认定的其它情形。</w:t>
      </w:r>
    </w:p>
    <w:p w14:paraId="1A5C8C2C"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八、基金净值的确认</w:t>
      </w:r>
    </w:p>
    <w:p w14:paraId="6B7A30C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资产净值和各类基金份额净值由基金管理人负责计算，基金托管人负责进行复核。基金管理人应于每个开放日交易结束后计算当日的基金资产净值和各类基金份额净值并发送给基金托管人。基金托管人对净值计算结果复核确认后发送给基金管理人，由基金管理人按约定对基金净值予以公布。</w:t>
      </w:r>
    </w:p>
    <w:p w14:paraId="49AD1B81"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九、特殊情形的处理</w:t>
      </w:r>
    </w:p>
    <w:p w14:paraId="1104F11E" w14:textId="3B29BE65"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、基金管理人、基金托管人按估值方法的第</w:t>
      </w:r>
      <w:r>
        <w:rPr>
          <w:bCs/>
          <w:sz w:val="24"/>
        </w:rPr>
        <w:t>9</w:t>
      </w:r>
      <w:r>
        <w:rPr>
          <w:rFonts w:hint="eastAsia"/>
          <w:bCs/>
          <w:sz w:val="24"/>
        </w:rPr>
        <w:t>项进行估值时，所造成的误差不作为基金资产估值错误处理。</w:t>
      </w:r>
    </w:p>
    <w:p w14:paraId="05A2C9C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由于不可抗力原因，或由于证券、期货交易所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51242592"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十、实施</w:t>
      </w:r>
      <w:proofErr w:type="gramStart"/>
      <w:r>
        <w:rPr>
          <w:rFonts w:hint="eastAsia"/>
          <w:b/>
          <w:bCs/>
          <w:sz w:val="24"/>
        </w:rPr>
        <w:t>侧袋机制</w:t>
      </w:r>
      <w:proofErr w:type="gramEnd"/>
      <w:r>
        <w:rPr>
          <w:rFonts w:hint="eastAsia"/>
          <w:b/>
          <w:bCs/>
          <w:sz w:val="24"/>
        </w:rPr>
        <w:t>期间的基金资产估值</w:t>
      </w:r>
    </w:p>
    <w:p w14:paraId="72C22E0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的，应根据本部分的约定</w:t>
      </w:r>
      <w:proofErr w:type="gramStart"/>
      <w:r>
        <w:rPr>
          <w:rFonts w:hint="eastAsia"/>
          <w:bCs/>
          <w:sz w:val="24"/>
        </w:rPr>
        <w:t>对主袋账户</w:t>
      </w:r>
      <w:proofErr w:type="gramEnd"/>
      <w:r>
        <w:rPr>
          <w:rFonts w:hint="eastAsia"/>
          <w:bCs/>
          <w:sz w:val="24"/>
        </w:rPr>
        <w:t>资产进行估值并</w:t>
      </w:r>
      <w:proofErr w:type="gramStart"/>
      <w:r>
        <w:rPr>
          <w:rFonts w:hint="eastAsia"/>
          <w:bCs/>
          <w:sz w:val="24"/>
        </w:rPr>
        <w:t>披露主袋账户</w:t>
      </w:r>
      <w:proofErr w:type="gramEnd"/>
      <w:r>
        <w:rPr>
          <w:rFonts w:hint="eastAsia"/>
          <w:bCs/>
          <w:sz w:val="24"/>
        </w:rPr>
        <w:t>的基金净值信息，暂停</w:t>
      </w:r>
      <w:proofErr w:type="gramStart"/>
      <w:r>
        <w:rPr>
          <w:rFonts w:hint="eastAsia"/>
          <w:bCs/>
          <w:sz w:val="24"/>
        </w:rPr>
        <w:t>披露侧袋账户</w:t>
      </w:r>
      <w:proofErr w:type="gramEnd"/>
      <w:r>
        <w:rPr>
          <w:rFonts w:hint="eastAsia"/>
          <w:bCs/>
          <w:sz w:val="24"/>
        </w:rPr>
        <w:t>份额净值。</w:t>
      </w:r>
    </w:p>
    <w:p w14:paraId="1E6D84A9" w14:textId="77777777" w:rsidR="009D10D8" w:rsidRDefault="009E4577">
      <w:pPr>
        <w:widowControl/>
        <w:jc w:val="left"/>
        <w:rPr>
          <w:bCs/>
          <w:sz w:val="24"/>
        </w:rPr>
      </w:pPr>
      <w:r>
        <w:rPr>
          <w:bCs/>
          <w:sz w:val="24"/>
        </w:rPr>
        <w:br w:type="page"/>
      </w:r>
      <w:bookmarkEnd w:id="232"/>
      <w:bookmarkEnd w:id="233"/>
      <w:bookmarkEnd w:id="234"/>
      <w:bookmarkEnd w:id="235"/>
      <w:bookmarkEnd w:id="236"/>
      <w:bookmarkEnd w:id="237"/>
      <w:bookmarkEnd w:id="238"/>
      <w:bookmarkEnd w:id="239"/>
      <w:bookmarkEnd w:id="240"/>
      <w:bookmarkEnd w:id="241"/>
      <w:bookmarkEnd w:id="242"/>
      <w:bookmarkEnd w:id="243"/>
    </w:p>
    <w:p w14:paraId="6A871C70" w14:textId="77777777" w:rsidR="009D10D8" w:rsidRDefault="009E4577">
      <w:pPr>
        <w:pStyle w:val="1"/>
        <w:jc w:val="center"/>
        <w:rPr>
          <w:sz w:val="30"/>
          <w:szCs w:val="30"/>
        </w:rPr>
      </w:pPr>
      <w:bookmarkStart w:id="245" w:name="_Toc416264548"/>
      <w:bookmarkStart w:id="246" w:name="_Toc263092320"/>
      <w:bookmarkStart w:id="247" w:name="_Toc173322788"/>
      <w:r>
        <w:rPr>
          <w:rFonts w:hint="eastAsia"/>
          <w:sz w:val="30"/>
          <w:szCs w:val="30"/>
        </w:rPr>
        <w:lastRenderedPageBreak/>
        <w:t>第十二部分</w:t>
      </w:r>
      <w:r>
        <w:rPr>
          <w:sz w:val="30"/>
          <w:szCs w:val="30"/>
        </w:rPr>
        <w:t xml:space="preserve">  </w:t>
      </w:r>
      <w:r>
        <w:rPr>
          <w:rFonts w:hint="eastAsia"/>
          <w:sz w:val="30"/>
          <w:szCs w:val="30"/>
        </w:rPr>
        <w:t>基金的收益分配</w:t>
      </w:r>
      <w:bookmarkEnd w:id="245"/>
      <w:bookmarkEnd w:id="246"/>
      <w:bookmarkEnd w:id="247"/>
    </w:p>
    <w:p w14:paraId="5C5AD4BF" w14:textId="77777777" w:rsidR="009D10D8" w:rsidRDefault="009E4577">
      <w:pPr>
        <w:autoSpaceDE w:val="0"/>
        <w:autoSpaceDN w:val="0"/>
        <w:spacing w:line="360" w:lineRule="auto"/>
        <w:ind w:firstLineChars="200" w:firstLine="480"/>
        <w:textAlignment w:val="bottom"/>
        <w:rPr>
          <w:bCs/>
          <w:sz w:val="24"/>
        </w:rPr>
      </w:pPr>
      <w:bookmarkStart w:id="248" w:name="_Toc147463128"/>
      <w:bookmarkStart w:id="249" w:name="_Toc21073401"/>
      <w:bookmarkStart w:id="250" w:name="_Toc12357181"/>
      <w:bookmarkStart w:id="251" w:name="_Toc214873602"/>
      <w:bookmarkStart w:id="252" w:name="_Toc263092321"/>
      <w:bookmarkStart w:id="253" w:name="_Toc416264549"/>
      <w:bookmarkStart w:id="254" w:name="_Toc141703894"/>
      <w:bookmarkStart w:id="255" w:name="_Toc17782"/>
      <w:bookmarkStart w:id="256" w:name="_Toc7802"/>
      <w:bookmarkStart w:id="257" w:name="_Toc31917"/>
      <w:bookmarkStart w:id="258" w:name="_Toc352229760"/>
      <w:bookmarkStart w:id="259" w:name="_Toc19714"/>
      <w:bookmarkStart w:id="260" w:name="_Toc139991744"/>
      <w:bookmarkStart w:id="261" w:name="_Toc27832"/>
      <w:bookmarkStart w:id="262" w:name="_Toc871"/>
      <w:bookmarkStart w:id="263" w:name="_Toc2623"/>
      <w:r>
        <w:rPr>
          <w:rFonts w:hint="eastAsia"/>
          <w:bCs/>
          <w:sz w:val="24"/>
        </w:rPr>
        <w:t>一、基金利润的构成</w:t>
      </w:r>
    </w:p>
    <w:p w14:paraId="23A077F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基金利润指基金利息收入、投资收益、公允价值变动收益和其他收入扣除相关费用后的余额，基金已实现收益指基金利润减去公允价值变动收益后的余额。</w:t>
      </w:r>
    </w:p>
    <w:p w14:paraId="5E27B4C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二、基金可供分配利润</w:t>
      </w:r>
    </w:p>
    <w:p w14:paraId="344FBD1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基金可供分配利润指截至收益分配基准日基金未分配利润与未分配利润中已实现收益的孰低数。</w:t>
      </w:r>
    </w:p>
    <w:p w14:paraId="72150F8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三、基金收益分配原则</w:t>
      </w:r>
    </w:p>
    <w:p w14:paraId="2D01FD3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405C305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Pr>
          <w:rFonts w:hint="eastAsia"/>
          <w:bCs/>
          <w:sz w:val="24"/>
        </w:rPr>
        <w:t xml:space="preserve">A </w:t>
      </w:r>
      <w:r>
        <w:rPr>
          <w:rFonts w:hint="eastAsia"/>
          <w:bCs/>
          <w:sz w:val="24"/>
        </w:rPr>
        <w:t>类和</w:t>
      </w:r>
      <w:r>
        <w:rPr>
          <w:rFonts w:hint="eastAsia"/>
          <w:bCs/>
          <w:sz w:val="24"/>
        </w:rPr>
        <w:t>C</w:t>
      </w:r>
      <w:r>
        <w:rPr>
          <w:rFonts w:hint="eastAsia"/>
          <w:bCs/>
          <w:sz w:val="24"/>
        </w:rPr>
        <w:t>类基金份额分别选择不同的分红方式；同一投资人持有的同一类别的基金份额只能选择一种分红方式，如投资人在不同销售机构选择的分红方式不同，</w:t>
      </w:r>
      <w:proofErr w:type="gramStart"/>
      <w:r>
        <w:rPr>
          <w:rFonts w:hint="eastAsia"/>
          <w:bCs/>
          <w:sz w:val="24"/>
        </w:rPr>
        <w:t>则基金</w:t>
      </w:r>
      <w:proofErr w:type="gramEnd"/>
      <w:r>
        <w:rPr>
          <w:rFonts w:hint="eastAsia"/>
          <w:bCs/>
          <w:sz w:val="24"/>
        </w:rPr>
        <w:t>份额登记机构将以投资人最后一次选择的分红方式为准；</w:t>
      </w:r>
    </w:p>
    <w:p w14:paraId="2BB6B7F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1BBC7A7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、由于本基金</w:t>
      </w:r>
      <w:r>
        <w:rPr>
          <w:rFonts w:hint="eastAsia"/>
          <w:bCs/>
          <w:sz w:val="24"/>
        </w:rPr>
        <w:t xml:space="preserve">A </w:t>
      </w:r>
      <w:r>
        <w:rPr>
          <w:rFonts w:hint="eastAsia"/>
          <w:bCs/>
          <w:sz w:val="24"/>
        </w:rPr>
        <w:t>类基金份额不收取销售服务费，</w:t>
      </w:r>
      <w:r>
        <w:rPr>
          <w:rFonts w:hint="eastAsia"/>
          <w:bCs/>
          <w:sz w:val="24"/>
        </w:rPr>
        <w:t xml:space="preserve">C </w:t>
      </w:r>
      <w:r>
        <w:rPr>
          <w:rFonts w:hint="eastAsia"/>
          <w:bCs/>
          <w:sz w:val="24"/>
        </w:rPr>
        <w:t>类基金份额收取销售服务费，各基金份额类别对应的可分配收益将有所不同，本基金同一基金份额类别内的每一基金份额享有同等分配权；</w:t>
      </w:r>
    </w:p>
    <w:p w14:paraId="28B1F042" w14:textId="691AF121" w:rsidR="009D10D8" w:rsidRDefault="009E4577">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49A15F0C" w14:textId="5E25CDFB" w:rsidR="00D13E48" w:rsidRDefault="00D13E48">
      <w:pPr>
        <w:autoSpaceDE w:val="0"/>
        <w:autoSpaceDN w:val="0"/>
        <w:spacing w:line="360" w:lineRule="auto"/>
        <w:ind w:firstLineChars="200" w:firstLine="480"/>
        <w:textAlignment w:val="bottom"/>
        <w:rPr>
          <w:bCs/>
          <w:sz w:val="24"/>
        </w:rPr>
      </w:pPr>
      <w:r w:rsidRPr="00D13E48">
        <w:rPr>
          <w:rFonts w:hint="eastAsia"/>
          <w:bCs/>
          <w:sz w:val="24"/>
        </w:rPr>
        <w:t>在对基金份额持有人利益无实质不利影响的前提下，基金管理人可对基金收益分配原则和支付方式进行调整，不需召开基金份额持有人大会，但应于变更实施日前按照《信息披露办法》的要求在规定媒介公告。</w:t>
      </w:r>
    </w:p>
    <w:p w14:paraId="4D5AD81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四、收益分配方案</w:t>
      </w:r>
    </w:p>
    <w:p w14:paraId="3120A21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基金收益分配方案中应载明截止收益分配基准日的可供分配利润、基金收益分配对象、分配时间、分配数额及比例、分配方式等内容。</w:t>
      </w:r>
    </w:p>
    <w:p w14:paraId="4BF79EAE" w14:textId="77777777" w:rsidR="009D10D8" w:rsidRDefault="009E4577">
      <w:pPr>
        <w:autoSpaceDE w:val="0"/>
        <w:autoSpaceDN w:val="0"/>
        <w:spacing w:line="360" w:lineRule="auto"/>
        <w:ind w:firstLineChars="200" w:firstLine="480"/>
        <w:textAlignment w:val="bottom"/>
        <w:rPr>
          <w:bCs/>
          <w:sz w:val="24"/>
        </w:rPr>
      </w:pPr>
      <w:r>
        <w:rPr>
          <w:rFonts w:hint="eastAsia"/>
          <w:bCs/>
          <w:sz w:val="24"/>
        </w:rPr>
        <w:lastRenderedPageBreak/>
        <w:t>五、收益分配方案的确定、公告与实施</w:t>
      </w:r>
    </w:p>
    <w:p w14:paraId="758F4DE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本基金收益分配方案由基金管理人拟定，并由基金托管人复核，在依照《信息披露办法》的有关规定在</w:t>
      </w:r>
      <w:r>
        <w:rPr>
          <w:rFonts w:asciiTheme="minorEastAsia" w:hAnsiTheme="minorEastAsia" w:cs="Times New Roman" w:hint="eastAsia"/>
          <w:sz w:val="24"/>
          <w:szCs w:val="24"/>
        </w:rPr>
        <w:t>规定</w:t>
      </w:r>
      <w:r>
        <w:rPr>
          <w:rFonts w:hint="eastAsia"/>
          <w:bCs/>
          <w:sz w:val="24"/>
        </w:rPr>
        <w:t>媒介公告。</w:t>
      </w:r>
    </w:p>
    <w:p w14:paraId="15AB945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六、基金收益分配中发生的费用</w:t>
      </w:r>
    </w:p>
    <w:p w14:paraId="7265D0B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470444B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七、实施</w:t>
      </w:r>
      <w:proofErr w:type="gramStart"/>
      <w:r>
        <w:rPr>
          <w:rFonts w:hint="eastAsia"/>
          <w:bCs/>
          <w:sz w:val="24"/>
        </w:rPr>
        <w:t>侧袋机制</w:t>
      </w:r>
      <w:proofErr w:type="gramEnd"/>
      <w:r>
        <w:rPr>
          <w:rFonts w:hint="eastAsia"/>
          <w:bCs/>
          <w:sz w:val="24"/>
        </w:rPr>
        <w:t>期间的收益分配</w:t>
      </w:r>
    </w:p>
    <w:p w14:paraId="09CDB4B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w:t>
      </w:r>
      <w:proofErr w:type="gramStart"/>
      <w:r>
        <w:rPr>
          <w:rFonts w:hint="eastAsia"/>
          <w:bCs/>
          <w:sz w:val="24"/>
        </w:rPr>
        <w:t>侧袋账户</w:t>
      </w:r>
      <w:proofErr w:type="gramEnd"/>
      <w:r>
        <w:rPr>
          <w:rFonts w:hint="eastAsia"/>
          <w:bCs/>
          <w:sz w:val="24"/>
        </w:rPr>
        <w:t>不进行收益分配。</w:t>
      </w:r>
    </w:p>
    <w:p w14:paraId="339BABB3" w14:textId="77777777" w:rsidR="009D10D8" w:rsidRDefault="009E4577">
      <w:pPr>
        <w:widowControl/>
        <w:jc w:val="left"/>
        <w:rPr>
          <w:bCs/>
          <w:sz w:val="24"/>
        </w:rPr>
      </w:pPr>
      <w:r>
        <w:rPr>
          <w:bCs/>
          <w:sz w:val="24"/>
        </w:rPr>
        <w:br w:type="page"/>
      </w:r>
    </w:p>
    <w:p w14:paraId="7616C139" w14:textId="77777777" w:rsidR="009D10D8" w:rsidRDefault="009E4577">
      <w:pPr>
        <w:pStyle w:val="1"/>
        <w:jc w:val="center"/>
        <w:rPr>
          <w:sz w:val="30"/>
          <w:szCs w:val="30"/>
        </w:rPr>
      </w:pPr>
      <w:bookmarkStart w:id="264" w:name="_Toc173322789"/>
      <w:r>
        <w:rPr>
          <w:rFonts w:hint="eastAsia"/>
          <w:sz w:val="30"/>
          <w:szCs w:val="30"/>
        </w:rPr>
        <w:lastRenderedPageBreak/>
        <w:t>第十三部分</w:t>
      </w:r>
      <w:r>
        <w:rPr>
          <w:sz w:val="30"/>
          <w:szCs w:val="30"/>
        </w:rPr>
        <w:t xml:space="preserve">  </w:t>
      </w:r>
      <w:r>
        <w:rPr>
          <w:rFonts w:hint="eastAsia"/>
          <w:sz w:val="30"/>
          <w:szCs w:val="30"/>
        </w:rPr>
        <w:t>基金费用与税收</w:t>
      </w:r>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p>
    <w:p w14:paraId="61FFA7AF" w14:textId="77777777" w:rsidR="009D10D8" w:rsidRDefault="009E4577">
      <w:pPr>
        <w:autoSpaceDE w:val="0"/>
        <w:autoSpaceDN w:val="0"/>
        <w:spacing w:line="360" w:lineRule="auto"/>
        <w:ind w:firstLineChars="200" w:firstLine="480"/>
        <w:textAlignment w:val="bottom"/>
        <w:rPr>
          <w:bCs/>
          <w:sz w:val="24"/>
        </w:rPr>
      </w:pPr>
      <w:bookmarkStart w:id="265" w:name="_Toc416264550"/>
      <w:bookmarkStart w:id="266" w:name="_Toc263092322"/>
      <w:bookmarkStart w:id="267" w:name="_Toc214873603"/>
      <w:bookmarkStart w:id="268" w:name="_Toc141703895"/>
      <w:bookmarkStart w:id="269" w:name="_Toc13987"/>
      <w:bookmarkStart w:id="270" w:name="_Toc19706"/>
      <w:bookmarkStart w:id="271" w:name="_Toc6493"/>
      <w:bookmarkStart w:id="272" w:name="_Toc15779"/>
      <w:bookmarkStart w:id="273" w:name="_Toc352229761"/>
      <w:bookmarkStart w:id="274" w:name="_Toc19752"/>
      <w:bookmarkStart w:id="275" w:name="_Toc24601"/>
      <w:bookmarkStart w:id="276" w:name="_Toc32046"/>
      <w:bookmarkStart w:id="277" w:name="_Toc32041"/>
      <w:bookmarkStart w:id="278" w:name="_Toc32227"/>
      <w:bookmarkStart w:id="279" w:name="_Toc3365"/>
      <w:bookmarkStart w:id="280" w:name="_Toc12105"/>
      <w:bookmarkStart w:id="281" w:name="_Toc139991745"/>
      <w:r>
        <w:rPr>
          <w:rFonts w:hint="eastAsia"/>
          <w:bCs/>
          <w:sz w:val="24"/>
        </w:rPr>
        <w:t>一、基金费用的种类</w:t>
      </w:r>
    </w:p>
    <w:p w14:paraId="27D0C7B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p>
    <w:p w14:paraId="0F8A2A2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、基金托管人的托管费；</w:t>
      </w:r>
    </w:p>
    <w:p w14:paraId="427F9A8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类基金份额的基金销售服务费；</w:t>
      </w:r>
    </w:p>
    <w:p w14:paraId="34589CD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、《基金合同》生效后与基金相关的信息披露费用；</w:t>
      </w:r>
    </w:p>
    <w:p w14:paraId="4684BAFE" w14:textId="48896D2B" w:rsidR="009D10D8" w:rsidRDefault="009E4577">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、《基金合同》生效后与基金相关的会计师费、律师费、</w:t>
      </w:r>
      <w:r w:rsidR="00007F8E">
        <w:rPr>
          <w:rFonts w:hint="eastAsia"/>
          <w:bCs/>
          <w:sz w:val="24"/>
        </w:rPr>
        <w:t>公证费、</w:t>
      </w:r>
      <w:r>
        <w:rPr>
          <w:rFonts w:hint="eastAsia"/>
          <w:bCs/>
          <w:sz w:val="24"/>
        </w:rPr>
        <w:t>诉讼费和仲裁费；</w:t>
      </w:r>
    </w:p>
    <w:p w14:paraId="6D067D8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、基金份额持有人大会费用；</w:t>
      </w:r>
    </w:p>
    <w:p w14:paraId="2D0AD3C0" w14:textId="49296AD1" w:rsidR="009D10D8" w:rsidRDefault="009E4577">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、基金的证券、期货</w:t>
      </w:r>
      <w:r w:rsidR="00007F8E">
        <w:rPr>
          <w:rFonts w:hint="eastAsia"/>
          <w:bCs/>
          <w:sz w:val="24"/>
        </w:rPr>
        <w:t>、股票期权</w:t>
      </w:r>
      <w:r>
        <w:rPr>
          <w:rFonts w:hint="eastAsia"/>
          <w:bCs/>
          <w:sz w:val="24"/>
        </w:rPr>
        <w:t>交易费用；</w:t>
      </w:r>
    </w:p>
    <w:p w14:paraId="136A44A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、基金的银行汇划费用；</w:t>
      </w:r>
    </w:p>
    <w:p w14:paraId="6ED823E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、基金的相关账户的开户及维护费用；</w:t>
      </w:r>
    </w:p>
    <w:p w14:paraId="74E5B34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、按照国家有关规定和《基金合同》约定，可以在基金财产中列支的其他费用。</w:t>
      </w:r>
    </w:p>
    <w:p w14:paraId="2B1B6F5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二、基金费用计提方法、计提标准和支付方式</w:t>
      </w:r>
    </w:p>
    <w:p w14:paraId="568BB15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r>
        <w:rPr>
          <w:rFonts w:hint="eastAsia"/>
          <w:bCs/>
          <w:sz w:val="24"/>
        </w:rPr>
        <w:t xml:space="preserve"> </w:t>
      </w:r>
    </w:p>
    <w:p w14:paraId="481EB0FE" w14:textId="6A1DCB9D" w:rsidR="009D10D8" w:rsidRDefault="009E4577">
      <w:pPr>
        <w:autoSpaceDE w:val="0"/>
        <w:autoSpaceDN w:val="0"/>
        <w:spacing w:line="360" w:lineRule="auto"/>
        <w:ind w:firstLineChars="200" w:firstLine="480"/>
        <w:textAlignment w:val="bottom"/>
        <w:rPr>
          <w:bCs/>
          <w:sz w:val="24"/>
        </w:rPr>
      </w:pPr>
      <w:r>
        <w:rPr>
          <w:rFonts w:hint="eastAsia"/>
          <w:bCs/>
          <w:sz w:val="24"/>
        </w:rPr>
        <w:t>本基金的管理费按前一日基金资产净值的</w:t>
      </w:r>
      <w:r>
        <w:rPr>
          <w:rFonts w:hint="eastAsia"/>
          <w:bCs/>
          <w:sz w:val="24"/>
        </w:rPr>
        <w:t>1.</w:t>
      </w:r>
      <w:r w:rsidR="00023057">
        <w:rPr>
          <w:bCs/>
          <w:sz w:val="24"/>
        </w:rPr>
        <w:t>2</w:t>
      </w:r>
      <w:r w:rsidR="00007F8E">
        <w:rPr>
          <w:bCs/>
          <w:sz w:val="24"/>
        </w:rPr>
        <w:t>0</w:t>
      </w:r>
      <w:r>
        <w:rPr>
          <w:rFonts w:hint="eastAsia"/>
          <w:bCs/>
          <w:sz w:val="24"/>
        </w:rPr>
        <w:t>%</w:t>
      </w:r>
      <w:r>
        <w:rPr>
          <w:rFonts w:hint="eastAsia"/>
          <w:bCs/>
          <w:sz w:val="24"/>
        </w:rPr>
        <w:t>的年费率计提。管理费的计算方法如下：</w:t>
      </w:r>
    </w:p>
    <w:p w14:paraId="5C78D311" w14:textId="14193C0D" w:rsidR="009D10D8" w:rsidRDefault="009E4577">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1.</w:t>
      </w:r>
      <w:r w:rsidR="00023057">
        <w:rPr>
          <w:bCs/>
          <w:sz w:val="24"/>
        </w:rPr>
        <w:t>2</w:t>
      </w:r>
      <w:r w:rsidR="00007F8E">
        <w:rPr>
          <w:bCs/>
          <w:sz w:val="24"/>
        </w:rPr>
        <w:t>0</w:t>
      </w:r>
      <w:r>
        <w:rPr>
          <w:rFonts w:hint="eastAsia"/>
          <w:bCs/>
          <w:sz w:val="24"/>
        </w:rPr>
        <w:t>%</w:t>
      </w:r>
      <w:r>
        <w:rPr>
          <w:rFonts w:hint="eastAsia"/>
          <w:bCs/>
          <w:sz w:val="24"/>
        </w:rPr>
        <w:t>÷当年天数</w:t>
      </w:r>
    </w:p>
    <w:p w14:paraId="2246285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为每日应计提的基金管理费</w:t>
      </w:r>
    </w:p>
    <w:p w14:paraId="788754E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为前一日的基金资产净值</w:t>
      </w:r>
    </w:p>
    <w:p w14:paraId="7AD1B31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基金管理费每日计提，逐日累计至每月月末，按月支付。由基金管理人于次月首日起</w:t>
      </w:r>
      <w:r>
        <w:rPr>
          <w:rFonts w:hint="eastAsia"/>
          <w:bCs/>
          <w:sz w:val="24"/>
        </w:rPr>
        <w:t>5</w:t>
      </w:r>
      <w:r>
        <w:rPr>
          <w:rFonts w:hint="eastAsia"/>
          <w:bCs/>
          <w:sz w:val="24"/>
        </w:rPr>
        <w:t>个工作日内向基金托管人发送基金管理费划款指令，由基金托管人复核后从基金财产中一次性支付给基金管理人，若遇法定节假日、休息日或不可抗力致使无法按时支付的，支付日期顺延。</w:t>
      </w:r>
    </w:p>
    <w:p w14:paraId="59D0F6D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、基金托管人的托管费</w:t>
      </w:r>
    </w:p>
    <w:p w14:paraId="409A5C77" w14:textId="2721756C" w:rsidR="009D10D8" w:rsidRDefault="009E4577">
      <w:pPr>
        <w:autoSpaceDE w:val="0"/>
        <w:autoSpaceDN w:val="0"/>
        <w:spacing w:line="360" w:lineRule="auto"/>
        <w:ind w:firstLineChars="200" w:firstLine="480"/>
        <w:textAlignment w:val="bottom"/>
        <w:rPr>
          <w:bCs/>
          <w:sz w:val="24"/>
        </w:rPr>
      </w:pPr>
      <w:r>
        <w:rPr>
          <w:rFonts w:hint="eastAsia"/>
          <w:bCs/>
          <w:sz w:val="24"/>
        </w:rPr>
        <w:t>本基金的托管费按前一日基金资产净值的</w:t>
      </w:r>
      <w:r>
        <w:rPr>
          <w:rFonts w:hint="eastAsia"/>
          <w:bCs/>
          <w:sz w:val="24"/>
        </w:rPr>
        <w:t>0.</w:t>
      </w:r>
      <w:r w:rsidR="00023057">
        <w:rPr>
          <w:bCs/>
          <w:sz w:val="24"/>
        </w:rPr>
        <w:t>2</w:t>
      </w:r>
      <w:r>
        <w:rPr>
          <w:bCs/>
          <w:sz w:val="24"/>
        </w:rPr>
        <w:t>0</w:t>
      </w:r>
      <w:r>
        <w:rPr>
          <w:rFonts w:hint="eastAsia"/>
          <w:bCs/>
          <w:sz w:val="24"/>
        </w:rPr>
        <w:t>%</w:t>
      </w:r>
      <w:r>
        <w:rPr>
          <w:rFonts w:hint="eastAsia"/>
          <w:bCs/>
          <w:sz w:val="24"/>
        </w:rPr>
        <w:t>的年费率计提。托管费的计算方法如下：</w:t>
      </w:r>
    </w:p>
    <w:p w14:paraId="7CDA0A35" w14:textId="49A27AA3" w:rsidR="009D10D8" w:rsidRDefault="009E4577">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w:t>
      </w:r>
      <w:r w:rsidR="00023057">
        <w:rPr>
          <w:bCs/>
          <w:sz w:val="24"/>
        </w:rPr>
        <w:t>2</w:t>
      </w:r>
      <w:r>
        <w:rPr>
          <w:bCs/>
          <w:sz w:val="24"/>
        </w:rPr>
        <w:t>0</w:t>
      </w:r>
      <w:r>
        <w:rPr>
          <w:rFonts w:hint="eastAsia"/>
          <w:bCs/>
          <w:sz w:val="24"/>
        </w:rPr>
        <w:t>%</w:t>
      </w:r>
      <w:r>
        <w:rPr>
          <w:rFonts w:hint="eastAsia"/>
          <w:bCs/>
          <w:sz w:val="24"/>
        </w:rPr>
        <w:t>÷当年天数</w:t>
      </w:r>
    </w:p>
    <w:p w14:paraId="53C6904F" w14:textId="77777777" w:rsidR="009D10D8" w:rsidRDefault="009E4577">
      <w:pPr>
        <w:autoSpaceDE w:val="0"/>
        <w:autoSpaceDN w:val="0"/>
        <w:spacing w:line="360" w:lineRule="auto"/>
        <w:ind w:firstLineChars="200" w:firstLine="480"/>
        <w:textAlignment w:val="bottom"/>
        <w:rPr>
          <w:bCs/>
          <w:sz w:val="24"/>
        </w:rPr>
      </w:pPr>
      <w:r>
        <w:rPr>
          <w:rFonts w:hint="eastAsia"/>
          <w:bCs/>
          <w:sz w:val="24"/>
        </w:rPr>
        <w:lastRenderedPageBreak/>
        <w:t>H</w:t>
      </w:r>
      <w:r>
        <w:rPr>
          <w:rFonts w:hint="eastAsia"/>
          <w:bCs/>
          <w:sz w:val="24"/>
        </w:rPr>
        <w:t>为每日应计提的基金托管费</w:t>
      </w:r>
    </w:p>
    <w:p w14:paraId="039B06B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为前一日的基金资产净值</w:t>
      </w:r>
    </w:p>
    <w:p w14:paraId="6D5C353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基金托管费每日计提，逐日累计至每月月末，按月支付。由基金管理人于次月首日起</w:t>
      </w:r>
      <w:r>
        <w:rPr>
          <w:rFonts w:hint="eastAsia"/>
          <w:bCs/>
          <w:sz w:val="24"/>
        </w:rPr>
        <w:t>5</w:t>
      </w:r>
      <w:r>
        <w:rPr>
          <w:rFonts w:hint="eastAsia"/>
          <w:bCs/>
          <w:sz w:val="24"/>
        </w:rPr>
        <w:t>个工作日内向基金托管人发送基金托管费划款指令，基金托管人复核后从基金财产中一次性支取，若遇法定节假日、休息日或不可抗力致使无法按时支付的，支付日期顺延。</w:t>
      </w:r>
    </w:p>
    <w:p w14:paraId="0571C64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14:paraId="78CFBEFE" w14:textId="4115F26A" w:rsidR="009D10D8" w:rsidRDefault="009E4577">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C</w:t>
      </w:r>
      <w:r>
        <w:rPr>
          <w:rFonts w:hint="eastAsia"/>
          <w:bCs/>
          <w:sz w:val="24"/>
        </w:rPr>
        <w:t>类基金份额的销售服务费年费率为</w:t>
      </w:r>
      <w:r>
        <w:rPr>
          <w:rFonts w:hint="eastAsia"/>
          <w:bCs/>
          <w:sz w:val="24"/>
        </w:rPr>
        <w:t>0.4</w:t>
      </w:r>
      <w:r w:rsidR="00007F8E">
        <w:rPr>
          <w:bCs/>
          <w:sz w:val="24"/>
        </w:rPr>
        <w:t>0</w:t>
      </w:r>
      <w:r>
        <w:rPr>
          <w:rFonts w:hint="eastAsia"/>
          <w:bCs/>
          <w:sz w:val="24"/>
        </w:rPr>
        <w:t>%</w:t>
      </w:r>
      <w:r>
        <w:rPr>
          <w:rFonts w:hint="eastAsia"/>
          <w:bCs/>
          <w:sz w:val="24"/>
        </w:rPr>
        <w:t>。销售服务费的计算方法如下：</w:t>
      </w:r>
    </w:p>
    <w:p w14:paraId="54DF217D" w14:textId="02019E55" w:rsidR="009D10D8" w:rsidRDefault="009E4577">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0.4</w:t>
      </w:r>
      <w:r w:rsidR="00007F8E">
        <w:rPr>
          <w:bCs/>
          <w:sz w:val="24"/>
        </w:rPr>
        <w:t>0</w:t>
      </w:r>
      <w:r>
        <w:rPr>
          <w:rFonts w:hint="eastAsia"/>
          <w:bCs/>
          <w:sz w:val="24"/>
        </w:rPr>
        <w:t>%</w:t>
      </w:r>
      <w:r>
        <w:rPr>
          <w:rFonts w:hint="eastAsia"/>
          <w:bCs/>
          <w:sz w:val="24"/>
        </w:rPr>
        <w:t>÷当年天数</w:t>
      </w:r>
    </w:p>
    <w:p w14:paraId="0F14A52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w:t>
      </w:r>
      <w:r>
        <w:rPr>
          <w:rFonts w:hint="eastAsia"/>
          <w:bCs/>
          <w:sz w:val="24"/>
        </w:rPr>
        <w:t>C</w:t>
      </w:r>
      <w:r>
        <w:rPr>
          <w:rFonts w:hint="eastAsia"/>
          <w:bCs/>
          <w:sz w:val="24"/>
        </w:rPr>
        <w:t>类基金份额每日应计提的销售服务费</w:t>
      </w:r>
    </w:p>
    <w:p w14:paraId="260FD25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w:t>
      </w:r>
      <w:r>
        <w:rPr>
          <w:rFonts w:hint="eastAsia"/>
          <w:bCs/>
          <w:sz w:val="24"/>
        </w:rPr>
        <w:t>C</w:t>
      </w:r>
      <w:r>
        <w:rPr>
          <w:rFonts w:hint="eastAsia"/>
          <w:bCs/>
          <w:sz w:val="24"/>
        </w:rPr>
        <w:t>类基金份额基金资产净值</w:t>
      </w:r>
    </w:p>
    <w:p w14:paraId="4804DD9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C</w:t>
      </w:r>
      <w:r>
        <w:rPr>
          <w:rFonts w:hint="eastAsia"/>
          <w:bCs/>
          <w:sz w:val="24"/>
        </w:rPr>
        <w:t>类基金份额的销售服务费每日计提，逐日累计至每月月末，按月支付。由基金管理人于次月首日起</w:t>
      </w:r>
      <w:r>
        <w:rPr>
          <w:rFonts w:hint="eastAsia"/>
          <w:bCs/>
          <w:sz w:val="24"/>
        </w:rPr>
        <w:t>5</w:t>
      </w:r>
      <w:r>
        <w:rPr>
          <w:rFonts w:hint="eastAsia"/>
          <w:bCs/>
          <w:sz w:val="24"/>
        </w:rPr>
        <w:t>个工作日内向基金托管人发送销售服务费划款指令，基金托管人复核后从基金财产中一次性支付给登记机构，由登记机构分别支付给各销售机构。若遇法定节假日、休息日或不可抗力致使无法按时支付的，支付日期顺延。</w:t>
      </w:r>
    </w:p>
    <w:p w14:paraId="7DB509F2" w14:textId="1323E3D8" w:rsidR="009D10D8" w:rsidRDefault="009E4577">
      <w:pPr>
        <w:autoSpaceDE w:val="0"/>
        <w:autoSpaceDN w:val="0"/>
        <w:spacing w:line="360" w:lineRule="auto"/>
        <w:ind w:firstLineChars="200" w:firstLine="480"/>
        <w:textAlignment w:val="bottom"/>
        <w:rPr>
          <w:bCs/>
          <w:sz w:val="24"/>
        </w:rPr>
      </w:pPr>
      <w:r>
        <w:rPr>
          <w:rFonts w:hint="eastAsia"/>
          <w:bCs/>
          <w:sz w:val="24"/>
        </w:rPr>
        <w:t>上述“一、基金费用的种类”中第</w:t>
      </w:r>
      <w:r>
        <w:rPr>
          <w:rFonts w:hint="eastAsia"/>
          <w:bCs/>
          <w:sz w:val="24"/>
        </w:rPr>
        <w:t>4</w:t>
      </w:r>
      <w:r>
        <w:rPr>
          <w:rFonts w:hint="eastAsia"/>
          <w:bCs/>
          <w:sz w:val="24"/>
        </w:rPr>
        <w:t>－</w:t>
      </w:r>
      <w:r>
        <w:rPr>
          <w:rFonts w:hint="eastAsia"/>
          <w:bCs/>
          <w:sz w:val="24"/>
        </w:rPr>
        <w:t>1</w:t>
      </w:r>
      <w:r>
        <w:rPr>
          <w:bCs/>
          <w:sz w:val="24"/>
        </w:rPr>
        <w:t>0</w:t>
      </w:r>
      <w:r>
        <w:rPr>
          <w:rFonts w:hint="eastAsia"/>
          <w:bCs/>
          <w:sz w:val="24"/>
        </w:rPr>
        <w:t>项费用，根据有关法规及相应协议规定，按费用实际支出金额列入当期费用，由基金托管人从基金财产中支付。</w:t>
      </w:r>
    </w:p>
    <w:p w14:paraId="254B75F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三、不列入基金费用的项目</w:t>
      </w:r>
    </w:p>
    <w:p w14:paraId="5AF836C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下列费用不列入基金费用：</w:t>
      </w:r>
    </w:p>
    <w:p w14:paraId="7F59574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、基金管理人和基金托管人因未履行或未完全履行义务导致的费用支出或基金财产的损失；</w:t>
      </w:r>
    </w:p>
    <w:p w14:paraId="21768F2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、基金管理人和基金托管人处理与基金运作无关的事项发生的费用；</w:t>
      </w:r>
    </w:p>
    <w:p w14:paraId="5C5F440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、《基金合同》生效前的相关费用；</w:t>
      </w:r>
    </w:p>
    <w:p w14:paraId="4DC0BCF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、其他根据相关法律法规及中国证监会的有关规定不得列入基金费用的项目。</w:t>
      </w:r>
    </w:p>
    <w:p w14:paraId="761E516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四、实施</w:t>
      </w:r>
      <w:proofErr w:type="gramStart"/>
      <w:r>
        <w:rPr>
          <w:rFonts w:hint="eastAsia"/>
          <w:bCs/>
          <w:sz w:val="24"/>
        </w:rPr>
        <w:t>侧袋机制</w:t>
      </w:r>
      <w:proofErr w:type="gramEnd"/>
      <w:r>
        <w:rPr>
          <w:rFonts w:hint="eastAsia"/>
          <w:bCs/>
          <w:sz w:val="24"/>
        </w:rPr>
        <w:t>期间的基金费用</w:t>
      </w:r>
    </w:p>
    <w:p w14:paraId="0426D2E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w:t>
      </w:r>
      <w:proofErr w:type="gramStart"/>
      <w:r>
        <w:rPr>
          <w:rFonts w:hint="eastAsia"/>
          <w:bCs/>
          <w:sz w:val="24"/>
        </w:rPr>
        <w:t>与侧袋账户</w:t>
      </w:r>
      <w:proofErr w:type="gramEnd"/>
      <w:r>
        <w:rPr>
          <w:rFonts w:hint="eastAsia"/>
          <w:bCs/>
          <w:sz w:val="24"/>
        </w:rPr>
        <w:t>有关的费用可以</w:t>
      </w:r>
      <w:proofErr w:type="gramStart"/>
      <w:r>
        <w:rPr>
          <w:rFonts w:hint="eastAsia"/>
          <w:bCs/>
          <w:sz w:val="24"/>
        </w:rPr>
        <w:t>从侧袋账户</w:t>
      </w:r>
      <w:proofErr w:type="gramEnd"/>
      <w:r>
        <w:rPr>
          <w:rFonts w:hint="eastAsia"/>
          <w:bCs/>
          <w:sz w:val="24"/>
        </w:rPr>
        <w:t>中列支，但</w:t>
      </w:r>
      <w:r>
        <w:rPr>
          <w:rFonts w:hint="eastAsia"/>
          <w:bCs/>
          <w:sz w:val="24"/>
        </w:rPr>
        <w:lastRenderedPageBreak/>
        <w:t>应</w:t>
      </w:r>
      <w:proofErr w:type="gramStart"/>
      <w:r>
        <w:rPr>
          <w:rFonts w:hint="eastAsia"/>
          <w:bCs/>
          <w:sz w:val="24"/>
        </w:rPr>
        <w:t>待侧袋</w:t>
      </w:r>
      <w:proofErr w:type="gramEnd"/>
      <w:r>
        <w:rPr>
          <w:rFonts w:hint="eastAsia"/>
          <w:bCs/>
          <w:sz w:val="24"/>
        </w:rPr>
        <w:t>账户资产变现后方可列支，有关费用可酌情收取或减免，但不得收取管理费，详见招募说明书“侧袋机制”部分的规定。</w:t>
      </w:r>
    </w:p>
    <w:p w14:paraId="6076087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五、基金税收</w:t>
      </w:r>
    </w:p>
    <w:p w14:paraId="2B30871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本基金运作过程中涉及的各纳税主体，其纳税义务按国家税收法律、法规执行。</w:t>
      </w:r>
    </w:p>
    <w:p w14:paraId="7FBA60F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基金财产投资的相关税收，由基金份额持有人承担，基金管理人或者其他扣缴义务人按照国家有关税收征收的规定代扣代缴。</w:t>
      </w:r>
    </w:p>
    <w:p w14:paraId="2C2753CD" w14:textId="77777777" w:rsidR="009D10D8" w:rsidRDefault="009D10D8">
      <w:pPr>
        <w:autoSpaceDE w:val="0"/>
        <w:autoSpaceDN w:val="0"/>
        <w:spacing w:line="360" w:lineRule="auto"/>
        <w:ind w:firstLineChars="200" w:firstLine="480"/>
        <w:textAlignment w:val="bottom"/>
        <w:rPr>
          <w:bCs/>
          <w:sz w:val="24"/>
        </w:rPr>
      </w:pPr>
    </w:p>
    <w:p w14:paraId="7BC6B869" w14:textId="77777777" w:rsidR="009D10D8" w:rsidRDefault="009E4577">
      <w:pPr>
        <w:widowControl/>
        <w:jc w:val="left"/>
        <w:rPr>
          <w:bCs/>
          <w:sz w:val="24"/>
        </w:rPr>
      </w:pPr>
      <w:r>
        <w:rPr>
          <w:bCs/>
          <w:sz w:val="24"/>
        </w:rPr>
        <w:br w:type="page"/>
      </w:r>
    </w:p>
    <w:p w14:paraId="119D854A" w14:textId="77777777" w:rsidR="009D10D8" w:rsidRDefault="009E4577">
      <w:pPr>
        <w:pStyle w:val="1"/>
        <w:jc w:val="center"/>
        <w:rPr>
          <w:sz w:val="30"/>
          <w:szCs w:val="30"/>
        </w:rPr>
      </w:pPr>
      <w:bookmarkStart w:id="282" w:name="_Toc173322790"/>
      <w:r>
        <w:rPr>
          <w:rFonts w:hint="eastAsia"/>
          <w:sz w:val="30"/>
          <w:szCs w:val="30"/>
        </w:rPr>
        <w:lastRenderedPageBreak/>
        <w:t>第十四部分</w:t>
      </w:r>
      <w:r>
        <w:rPr>
          <w:sz w:val="30"/>
          <w:szCs w:val="30"/>
        </w:rPr>
        <w:t xml:space="preserve">  </w:t>
      </w:r>
      <w:r>
        <w:rPr>
          <w:rFonts w:hint="eastAsia"/>
          <w:sz w:val="30"/>
          <w:szCs w:val="30"/>
        </w:rPr>
        <w:t>基金的会计与审计</w:t>
      </w:r>
      <w:bookmarkEnd w:id="265"/>
      <w:bookmarkEnd w:id="266"/>
      <w:bookmarkEnd w:id="267"/>
      <w:bookmarkEnd w:id="282"/>
    </w:p>
    <w:p w14:paraId="630F262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一、基金会计政策</w:t>
      </w:r>
    </w:p>
    <w:p w14:paraId="5737577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、基金管理人为本基金的基金会计责任方；</w:t>
      </w:r>
    </w:p>
    <w:p w14:paraId="0123845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、基金的会计年度为公历年度的</w:t>
      </w:r>
      <w:r>
        <w:rPr>
          <w:rFonts w:hint="eastAsia"/>
          <w:bCs/>
          <w:sz w:val="24"/>
        </w:rPr>
        <w:t>1</w:t>
      </w:r>
      <w:r>
        <w:rPr>
          <w:rFonts w:hint="eastAsia"/>
          <w:bCs/>
          <w:sz w:val="24"/>
        </w:rPr>
        <w:t>月</w:t>
      </w:r>
      <w:r>
        <w:rPr>
          <w:rFonts w:hint="eastAsia"/>
          <w:bCs/>
          <w:sz w:val="24"/>
        </w:rPr>
        <w:t>1</w:t>
      </w:r>
      <w:r>
        <w:rPr>
          <w:rFonts w:hint="eastAsia"/>
          <w:bCs/>
          <w:sz w:val="24"/>
        </w:rPr>
        <w:t>日至</w:t>
      </w:r>
      <w:r>
        <w:rPr>
          <w:rFonts w:hint="eastAsia"/>
          <w:bCs/>
          <w:sz w:val="24"/>
        </w:rPr>
        <w:t>12</w:t>
      </w:r>
      <w:r>
        <w:rPr>
          <w:rFonts w:hint="eastAsia"/>
          <w:bCs/>
          <w:sz w:val="24"/>
        </w:rPr>
        <w:t>月</w:t>
      </w:r>
      <w:r>
        <w:rPr>
          <w:rFonts w:hint="eastAsia"/>
          <w:bCs/>
          <w:sz w:val="24"/>
        </w:rPr>
        <w:t>31</w:t>
      </w:r>
      <w:r>
        <w:rPr>
          <w:rFonts w:hint="eastAsia"/>
          <w:bCs/>
          <w:sz w:val="24"/>
        </w:rPr>
        <w:t>日；基金首次募集的会计年度按如下原则：如果《基金合同》生效少于</w:t>
      </w:r>
      <w:r>
        <w:rPr>
          <w:rFonts w:hint="eastAsia"/>
          <w:bCs/>
          <w:sz w:val="24"/>
        </w:rPr>
        <w:t>2</w:t>
      </w:r>
      <w:r>
        <w:rPr>
          <w:rFonts w:hint="eastAsia"/>
          <w:bCs/>
          <w:sz w:val="24"/>
        </w:rPr>
        <w:t>个月，可以并入下一个会计年度披露；</w:t>
      </w:r>
    </w:p>
    <w:p w14:paraId="4A99C19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、基金核算以人民币为记账本位币，以人民币元为记账单位；</w:t>
      </w:r>
    </w:p>
    <w:p w14:paraId="07A4CDF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、会计制度执行国家有关会计制度；</w:t>
      </w:r>
    </w:p>
    <w:p w14:paraId="587D872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、本基金独立建账、独立核算；</w:t>
      </w:r>
    </w:p>
    <w:p w14:paraId="62B756A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、基金管理人及基金托管人各自保留完整的会计账目、凭证并进行日常的会计核算，按照有关规定编制基金会计报表；</w:t>
      </w:r>
    </w:p>
    <w:p w14:paraId="2E855E2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、基金托管人每月与基金管理人就基金的会计核算、报表编制等进行核对并以书面方式确认。</w:t>
      </w:r>
    </w:p>
    <w:p w14:paraId="4D79CB3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二、基金的年度审计</w:t>
      </w:r>
    </w:p>
    <w:p w14:paraId="54750C8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、基金管理人聘请与基金管理人、基金托管人相互独立的符合《中华人民共和国证券法》规定的会计师事务所及其注册会计师对本基金的年度财务报表进行审计。</w:t>
      </w:r>
    </w:p>
    <w:p w14:paraId="296DE52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、会计师事务所更换经办注册会计师，应事先征得基金管理人同意。</w:t>
      </w:r>
    </w:p>
    <w:p w14:paraId="77FC70F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、基金管理人认为有充足理由更换会计师事务所，须通报基金托管人。更换会计师事务所需依照《信息披露办法》的有关规定在</w:t>
      </w:r>
      <w:r>
        <w:rPr>
          <w:rFonts w:asciiTheme="minorEastAsia" w:hAnsiTheme="minorEastAsia" w:cs="Times New Roman" w:hint="eastAsia"/>
          <w:sz w:val="24"/>
          <w:szCs w:val="24"/>
        </w:rPr>
        <w:t>规定</w:t>
      </w:r>
      <w:r>
        <w:rPr>
          <w:rFonts w:hint="eastAsia"/>
          <w:bCs/>
          <w:sz w:val="24"/>
        </w:rPr>
        <w:t>媒介公告。</w:t>
      </w:r>
    </w:p>
    <w:p w14:paraId="2A869A3C" w14:textId="77777777" w:rsidR="009D10D8" w:rsidRDefault="009E4577">
      <w:pPr>
        <w:widowControl/>
        <w:jc w:val="left"/>
        <w:rPr>
          <w:bCs/>
          <w:sz w:val="24"/>
        </w:rPr>
      </w:pPr>
      <w:r>
        <w:rPr>
          <w:bCs/>
          <w:sz w:val="24"/>
        </w:rPr>
        <w:br w:type="page"/>
      </w:r>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p>
    <w:p w14:paraId="08D7B5DC" w14:textId="77777777" w:rsidR="009D10D8" w:rsidRDefault="009E4577">
      <w:pPr>
        <w:pStyle w:val="1"/>
        <w:jc w:val="center"/>
        <w:rPr>
          <w:sz w:val="30"/>
          <w:szCs w:val="30"/>
        </w:rPr>
      </w:pPr>
      <w:bookmarkStart w:id="283" w:name="_Toc79978642"/>
      <w:bookmarkStart w:id="284" w:name="_Toc214873604"/>
      <w:bookmarkStart w:id="285" w:name="_Toc263092323"/>
      <w:bookmarkStart w:id="286" w:name="_Toc416264551"/>
      <w:bookmarkStart w:id="287" w:name="_Toc173322791"/>
      <w:bookmarkStart w:id="288" w:name="_Toc15525"/>
      <w:bookmarkStart w:id="289" w:name="_Toc352229762"/>
      <w:bookmarkStart w:id="290" w:name="_Toc93226149"/>
      <w:bookmarkStart w:id="291" w:name="_Toc92662707"/>
      <w:bookmarkStart w:id="292" w:name="_Toc128310499"/>
      <w:bookmarkStart w:id="293" w:name="_Toc15351"/>
      <w:bookmarkStart w:id="294" w:name="_Toc19558"/>
      <w:bookmarkStart w:id="295" w:name="_Toc178"/>
      <w:bookmarkStart w:id="296" w:name="_Toc22552"/>
      <w:bookmarkStart w:id="297" w:name="_Toc12761"/>
      <w:bookmarkStart w:id="298" w:name="_Toc1617"/>
      <w:bookmarkStart w:id="299" w:name="_Toc3656"/>
      <w:bookmarkStart w:id="300" w:name="_Toc139991746"/>
      <w:bookmarkStart w:id="301" w:name="_Toc20052"/>
      <w:bookmarkStart w:id="302" w:name="_Toc21829"/>
      <w:bookmarkStart w:id="303" w:name="_Toc25883"/>
      <w:bookmarkStart w:id="304" w:name="_Toc141703896"/>
      <w:r>
        <w:rPr>
          <w:rFonts w:hint="eastAsia"/>
          <w:sz w:val="30"/>
          <w:szCs w:val="30"/>
        </w:rPr>
        <w:lastRenderedPageBreak/>
        <w:t>第十五部分</w:t>
      </w:r>
      <w:r>
        <w:rPr>
          <w:sz w:val="30"/>
          <w:szCs w:val="30"/>
        </w:rPr>
        <w:t xml:space="preserve">  </w:t>
      </w:r>
      <w:r>
        <w:rPr>
          <w:rFonts w:hint="eastAsia"/>
          <w:sz w:val="30"/>
          <w:szCs w:val="30"/>
        </w:rPr>
        <w:t>基金的信息披露</w:t>
      </w:r>
      <w:bookmarkEnd w:id="283"/>
      <w:bookmarkEnd w:id="284"/>
      <w:bookmarkEnd w:id="285"/>
      <w:bookmarkEnd w:id="286"/>
      <w:bookmarkEnd w:id="287"/>
    </w:p>
    <w:p w14:paraId="5668660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一、本基金的信息披露应符合《基金法》、《运作办法》、《流动性风险管理规定》、《信息披露办法》、《基金合同》及其他有关规定。相关法律法规关于信息披露的规定发生变化时，本基金从其最新规定。</w:t>
      </w:r>
    </w:p>
    <w:p w14:paraId="7E1F01B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二、信息披露义务人</w:t>
      </w:r>
    </w:p>
    <w:p w14:paraId="0691CE4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本基金信息披露义务人包括基金管理人、基金托管人、召集基金份额持有人大会的基金份额持有人等法律、行政法规和中国证监会规定的自然人、法人和非法人组织。</w:t>
      </w:r>
    </w:p>
    <w:p w14:paraId="22A2685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4B8A559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本基金信息披露义务人应当在中国证监会规定时间内，将应予披露的基金信息通过符合中国证监会</w:t>
      </w:r>
      <w:r>
        <w:rPr>
          <w:rFonts w:asciiTheme="minorEastAsia" w:hAnsiTheme="minorEastAsia" w:cs="Times New Roman" w:hint="eastAsia"/>
          <w:sz w:val="24"/>
          <w:szCs w:val="24"/>
        </w:rPr>
        <w:t>规定条件的用以进行信息披露</w:t>
      </w:r>
      <w:r>
        <w:rPr>
          <w:rFonts w:hint="eastAsia"/>
          <w:bCs/>
          <w:sz w:val="24"/>
        </w:rPr>
        <w:t>的全国性报刊（以下简称“</w:t>
      </w:r>
      <w:r>
        <w:rPr>
          <w:rFonts w:asciiTheme="minorEastAsia" w:hAnsiTheme="minorEastAsia" w:cs="Times New Roman" w:hint="eastAsia"/>
          <w:sz w:val="24"/>
          <w:szCs w:val="24"/>
        </w:rPr>
        <w:t>规定</w:t>
      </w:r>
      <w:r>
        <w:rPr>
          <w:rFonts w:hint="eastAsia"/>
          <w:bCs/>
          <w:sz w:val="24"/>
        </w:rPr>
        <w:t>报刊”）及《信息披露办法》</w:t>
      </w:r>
      <w:r>
        <w:rPr>
          <w:rFonts w:asciiTheme="minorEastAsia" w:hAnsiTheme="minorEastAsia" w:cs="Times New Roman" w:hint="eastAsia"/>
          <w:sz w:val="24"/>
          <w:szCs w:val="24"/>
        </w:rPr>
        <w:t>规定的</w:t>
      </w:r>
      <w:r>
        <w:rPr>
          <w:rFonts w:hint="eastAsia"/>
          <w:bCs/>
          <w:sz w:val="24"/>
        </w:rPr>
        <w:t>互联网网站（以下简称“</w:t>
      </w:r>
      <w:r>
        <w:rPr>
          <w:rFonts w:asciiTheme="minorEastAsia" w:hAnsiTheme="minorEastAsia" w:cs="Times New Roman" w:hint="eastAsia"/>
          <w:sz w:val="24"/>
          <w:szCs w:val="24"/>
        </w:rPr>
        <w:t>规定</w:t>
      </w:r>
      <w:r>
        <w:rPr>
          <w:rFonts w:hint="eastAsia"/>
          <w:bCs/>
          <w:sz w:val="24"/>
        </w:rPr>
        <w:t>网站”）等媒介披露，并保证基金投资者能够按照《基金合同》约定的时间和方式查阅或者复制公开披露的信息资料。</w:t>
      </w:r>
    </w:p>
    <w:p w14:paraId="1503006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三、本基金信息披露义务人承诺公开披露的基金信息，不得有下列行为：</w:t>
      </w:r>
    </w:p>
    <w:p w14:paraId="2F32B11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、虚假记载、误导性陈述或者重大遗漏；</w:t>
      </w:r>
    </w:p>
    <w:p w14:paraId="46C0214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、对证券投资业绩进行预测；</w:t>
      </w:r>
    </w:p>
    <w:p w14:paraId="53CAB3C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、违规承诺收益或者承担损失；</w:t>
      </w:r>
    </w:p>
    <w:p w14:paraId="225EEE1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、诋毁其他基金管理人、基金托管人或者基金销售机构；</w:t>
      </w:r>
    </w:p>
    <w:p w14:paraId="2EE0052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、登载任何自然人、法人和非法人组织的祝贺性、恭维性或推荐性的文字；</w:t>
      </w:r>
    </w:p>
    <w:p w14:paraId="6332702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、中国证监会禁止的其他行为。</w:t>
      </w:r>
    </w:p>
    <w:p w14:paraId="210455F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四、本基金公开披露的信息应采用中文文本。同时采用外文文本的，基金信息披露义务人应保证不同文本的内容一致。不同文本之间发生歧义的，以中文文本为准。</w:t>
      </w:r>
    </w:p>
    <w:p w14:paraId="3E63A6F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本基金公开披露的信息采用阿拉伯数字；除特别说明外，货币单位为人民币元。</w:t>
      </w:r>
    </w:p>
    <w:p w14:paraId="100A678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五、公开披露的基金信息</w:t>
      </w:r>
    </w:p>
    <w:p w14:paraId="7A331057" w14:textId="77777777" w:rsidR="009D10D8" w:rsidRDefault="009E4577">
      <w:pPr>
        <w:autoSpaceDE w:val="0"/>
        <w:autoSpaceDN w:val="0"/>
        <w:spacing w:line="360" w:lineRule="auto"/>
        <w:ind w:firstLineChars="200" w:firstLine="480"/>
        <w:textAlignment w:val="bottom"/>
        <w:rPr>
          <w:bCs/>
          <w:sz w:val="24"/>
        </w:rPr>
      </w:pPr>
      <w:r>
        <w:rPr>
          <w:rFonts w:hint="eastAsia"/>
          <w:bCs/>
          <w:sz w:val="24"/>
        </w:rPr>
        <w:lastRenderedPageBreak/>
        <w:t>公开披露的基金信息包括：</w:t>
      </w:r>
    </w:p>
    <w:p w14:paraId="1406D97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（一）基金招募说明书、《基金合同》、基金托管协议、基金产品资料概要</w:t>
      </w:r>
    </w:p>
    <w:p w14:paraId="65D04CA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031A11B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w:t>
      </w:r>
      <w:r>
        <w:rPr>
          <w:rFonts w:asciiTheme="minorEastAsia" w:hAnsiTheme="minorEastAsia" w:cs="Times New Roman" w:hint="eastAsia"/>
          <w:sz w:val="24"/>
          <w:szCs w:val="24"/>
        </w:rPr>
        <w:t>规定</w:t>
      </w:r>
      <w:r>
        <w:rPr>
          <w:rFonts w:hint="eastAsia"/>
          <w:bCs/>
          <w:sz w:val="24"/>
        </w:rPr>
        <w:t>网站上；基金招募说明书其他信息发生变更的，基金管理人至少每年更新一次。基金终止运作的，基金管理人不再更新基金招募说明书。</w:t>
      </w:r>
    </w:p>
    <w:p w14:paraId="1A25776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、基金托管协议是界定基金托管人和基金管理人在基金财产保管及基金运作监督等活动中的权利、义务关系的法律文件。</w:t>
      </w:r>
    </w:p>
    <w:p w14:paraId="2A62D54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Pr>
          <w:rFonts w:asciiTheme="minorEastAsia" w:hAnsiTheme="minorEastAsia" w:cs="Times New Roman" w:hint="eastAsia"/>
          <w:sz w:val="24"/>
          <w:szCs w:val="24"/>
        </w:rPr>
        <w:t>规定</w:t>
      </w:r>
      <w:r>
        <w:rPr>
          <w:rFonts w:hint="eastAsia"/>
          <w:bCs/>
          <w:sz w:val="24"/>
        </w:rPr>
        <w:t>网站及基金销售机构网站或营业网点；基金产品资料概要其他信息发生变更的，基金管理人至少每年更新一次。基金终止运作的，基金管理人不再更新基金产品资料概要。</w:t>
      </w:r>
    </w:p>
    <w:p w14:paraId="2C9C14D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基金募集申请经中国证监会注册后，基金管理人在基金份额发售的三日前，将基金份额发售公告、基金招募说明书提示性公告、《基金合同》提示性公告登载在</w:t>
      </w:r>
      <w:r>
        <w:rPr>
          <w:rFonts w:asciiTheme="minorEastAsia" w:hAnsiTheme="minorEastAsia" w:cs="Times New Roman" w:hint="eastAsia"/>
          <w:sz w:val="24"/>
          <w:szCs w:val="24"/>
        </w:rPr>
        <w:t>规定</w:t>
      </w:r>
      <w:r>
        <w:rPr>
          <w:rFonts w:hint="eastAsia"/>
          <w:bCs/>
          <w:sz w:val="24"/>
        </w:rPr>
        <w:t>报刊上，将基金份额发售公告、基金招募说明书、基金产品资料概要、基金合同和基金托管协议登载在</w:t>
      </w:r>
      <w:r>
        <w:rPr>
          <w:rFonts w:asciiTheme="minorEastAsia" w:hAnsiTheme="minorEastAsia" w:cs="Times New Roman" w:hint="eastAsia"/>
          <w:sz w:val="24"/>
          <w:szCs w:val="24"/>
        </w:rPr>
        <w:t>规定</w:t>
      </w:r>
      <w:r>
        <w:rPr>
          <w:rFonts w:hint="eastAsia"/>
          <w:bCs/>
          <w:sz w:val="24"/>
        </w:rPr>
        <w:t>网站上，并将基金产品资料概要登载在基金销售机构网站或营业网点；基金托管人应当同时将《基金合同》、基金托管协议登载在网站上。</w:t>
      </w:r>
    </w:p>
    <w:p w14:paraId="7AD8BAC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（二）基金份额发售公告</w:t>
      </w:r>
    </w:p>
    <w:p w14:paraId="6783088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基金管理人应当就基金份额发售的具体事宜编制基金份额发售公告，并在披露招募说明书的当日登载于</w:t>
      </w:r>
      <w:r>
        <w:rPr>
          <w:rFonts w:asciiTheme="minorEastAsia" w:hAnsiTheme="minorEastAsia" w:cs="Times New Roman" w:hint="eastAsia"/>
          <w:sz w:val="24"/>
          <w:szCs w:val="24"/>
        </w:rPr>
        <w:t>规定</w:t>
      </w:r>
      <w:r>
        <w:rPr>
          <w:rFonts w:hint="eastAsia"/>
          <w:bCs/>
          <w:sz w:val="24"/>
        </w:rPr>
        <w:t>媒介上。</w:t>
      </w:r>
    </w:p>
    <w:p w14:paraId="28EA72B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（三）《基金合同》生效公告</w:t>
      </w:r>
    </w:p>
    <w:p w14:paraId="453FAA40" w14:textId="77777777" w:rsidR="009D10D8" w:rsidRDefault="009E4577">
      <w:pPr>
        <w:autoSpaceDE w:val="0"/>
        <w:autoSpaceDN w:val="0"/>
        <w:spacing w:line="360" w:lineRule="auto"/>
        <w:ind w:firstLineChars="200" w:firstLine="480"/>
        <w:textAlignment w:val="bottom"/>
        <w:rPr>
          <w:bCs/>
          <w:sz w:val="24"/>
        </w:rPr>
      </w:pPr>
      <w:r>
        <w:rPr>
          <w:rFonts w:hint="eastAsia"/>
          <w:bCs/>
          <w:sz w:val="24"/>
        </w:rPr>
        <w:lastRenderedPageBreak/>
        <w:t>基金管理人应当在收到中国证监会确认文件的次日在</w:t>
      </w:r>
      <w:r>
        <w:rPr>
          <w:rFonts w:asciiTheme="minorEastAsia" w:hAnsiTheme="minorEastAsia" w:cs="Times New Roman" w:hint="eastAsia"/>
          <w:sz w:val="24"/>
          <w:szCs w:val="24"/>
        </w:rPr>
        <w:t>规定</w:t>
      </w:r>
      <w:r>
        <w:rPr>
          <w:rFonts w:hint="eastAsia"/>
          <w:bCs/>
          <w:sz w:val="24"/>
        </w:rPr>
        <w:t>媒介上登载《基金合同》生效公告。</w:t>
      </w:r>
    </w:p>
    <w:p w14:paraId="367335F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（四）基金净值信息</w:t>
      </w:r>
    </w:p>
    <w:p w14:paraId="7CE9061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《基金合同》生效后，在开始办理基金份额申购或者赎回前，基金管理人应当至少每周在</w:t>
      </w:r>
      <w:r>
        <w:rPr>
          <w:rFonts w:asciiTheme="minorEastAsia" w:hAnsiTheme="minorEastAsia" w:cs="Times New Roman" w:hint="eastAsia"/>
          <w:sz w:val="24"/>
          <w:szCs w:val="24"/>
        </w:rPr>
        <w:t>规定</w:t>
      </w:r>
      <w:r>
        <w:rPr>
          <w:rFonts w:hint="eastAsia"/>
          <w:bCs/>
          <w:sz w:val="24"/>
        </w:rPr>
        <w:t>网站披露一次各类基金份额净值和基金份额累计净值。</w:t>
      </w:r>
    </w:p>
    <w:p w14:paraId="129C5CC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在开始办理基金份额申购或者赎回后，基金管理人应当在不晚于每个开放日的次日，通过</w:t>
      </w:r>
      <w:r>
        <w:rPr>
          <w:rFonts w:asciiTheme="minorEastAsia" w:hAnsiTheme="minorEastAsia" w:cs="Times New Roman" w:hint="eastAsia"/>
          <w:sz w:val="24"/>
          <w:szCs w:val="24"/>
        </w:rPr>
        <w:t>规定</w:t>
      </w:r>
      <w:r>
        <w:rPr>
          <w:rFonts w:hint="eastAsia"/>
          <w:bCs/>
          <w:sz w:val="24"/>
        </w:rPr>
        <w:t>网站、基金销售机构网站或营业网点披露开放日的各类基金份额净值和基金份额累计净值。</w:t>
      </w:r>
    </w:p>
    <w:p w14:paraId="13A01AD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w:t>
      </w:r>
      <w:r>
        <w:rPr>
          <w:rFonts w:asciiTheme="minorEastAsia" w:hAnsiTheme="minorEastAsia" w:cs="Times New Roman" w:hint="eastAsia"/>
          <w:sz w:val="24"/>
          <w:szCs w:val="24"/>
        </w:rPr>
        <w:t>规定</w:t>
      </w:r>
      <w:r>
        <w:rPr>
          <w:rFonts w:hint="eastAsia"/>
          <w:bCs/>
          <w:sz w:val="24"/>
        </w:rPr>
        <w:t>网站披露半年度和年度最后一日的各类基金份额净值和基金份额累计净值。</w:t>
      </w:r>
    </w:p>
    <w:p w14:paraId="00321D5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（五）基金份额申购、赎回价格</w:t>
      </w:r>
    </w:p>
    <w:p w14:paraId="1D9D7DA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基金管理人应当在《基金合同》、招募说明书等信息披露文件上载</w:t>
      </w:r>
      <w:proofErr w:type="gramStart"/>
      <w:r>
        <w:rPr>
          <w:rFonts w:hint="eastAsia"/>
          <w:bCs/>
          <w:sz w:val="24"/>
        </w:rPr>
        <w:t>明基金</w:t>
      </w:r>
      <w:proofErr w:type="gramEnd"/>
      <w:r>
        <w:rPr>
          <w:rFonts w:hint="eastAsia"/>
          <w:bCs/>
          <w:sz w:val="24"/>
        </w:rPr>
        <w:t>份额申购、赎回价格的计算方式及有关申购、赎回费率，并保证投资者能够在基金销售机构网站或营业网点查阅或者复制前述信息资料。</w:t>
      </w:r>
    </w:p>
    <w:p w14:paraId="3DE98B9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（六）基金定期报告，包括基金年度报告、基金中期报告和基金季度报告。</w:t>
      </w:r>
    </w:p>
    <w:p w14:paraId="439C082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基金管理人应当在每年结束之日起三个月内，编制完成基金年度报告，将年度报告登载在</w:t>
      </w:r>
      <w:r>
        <w:rPr>
          <w:rFonts w:asciiTheme="minorEastAsia" w:hAnsiTheme="minorEastAsia" w:cs="Times New Roman" w:hint="eastAsia"/>
          <w:sz w:val="24"/>
          <w:szCs w:val="24"/>
        </w:rPr>
        <w:t>规定</w:t>
      </w:r>
      <w:r>
        <w:rPr>
          <w:rFonts w:hint="eastAsia"/>
          <w:bCs/>
          <w:sz w:val="24"/>
        </w:rPr>
        <w:t>网站上，并将年度报告提示性公告登载在</w:t>
      </w:r>
      <w:r>
        <w:rPr>
          <w:rFonts w:asciiTheme="minorEastAsia" w:hAnsiTheme="minorEastAsia" w:cs="Times New Roman" w:hint="eastAsia"/>
          <w:sz w:val="24"/>
          <w:szCs w:val="24"/>
        </w:rPr>
        <w:t>规定</w:t>
      </w:r>
      <w:r>
        <w:rPr>
          <w:rFonts w:hint="eastAsia"/>
          <w:bCs/>
          <w:sz w:val="24"/>
        </w:rPr>
        <w:t>报刊上。基金年度报告中的财务会计报告应当经过符合《中华人民共和国证券法》规定的会计师事务所审计。</w:t>
      </w:r>
    </w:p>
    <w:p w14:paraId="53F0944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基金管理人应当在上半年结束之日起两个月内，编制完成基金中期报告，并将中期报告登载在</w:t>
      </w:r>
      <w:r>
        <w:rPr>
          <w:rFonts w:asciiTheme="minorEastAsia" w:hAnsiTheme="minorEastAsia" w:cs="Times New Roman" w:hint="eastAsia"/>
          <w:sz w:val="24"/>
          <w:szCs w:val="24"/>
        </w:rPr>
        <w:t>规定</w:t>
      </w:r>
      <w:r>
        <w:rPr>
          <w:rFonts w:hint="eastAsia"/>
          <w:bCs/>
          <w:sz w:val="24"/>
        </w:rPr>
        <w:t>网站上，并将中期报告提示性公告登载在</w:t>
      </w:r>
      <w:r>
        <w:rPr>
          <w:rFonts w:asciiTheme="minorEastAsia" w:hAnsiTheme="minorEastAsia" w:cs="Times New Roman" w:hint="eastAsia"/>
          <w:sz w:val="24"/>
          <w:szCs w:val="24"/>
        </w:rPr>
        <w:t>规定</w:t>
      </w:r>
      <w:r>
        <w:rPr>
          <w:rFonts w:hint="eastAsia"/>
          <w:bCs/>
          <w:sz w:val="24"/>
        </w:rPr>
        <w:t>报刊上。</w:t>
      </w:r>
    </w:p>
    <w:p w14:paraId="4F75742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基金管理人应当在季度结束之日起</w:t>
      </w:r>
      <w:r>
        <w:rPr>
          <w:rFonts w:hint="eastAsia"/>
          <w:bCs/>
          <w:sz w:val="24"/>
        </w:rPr>
        <w:t>15</w:t>
      </w:r>
      <w:r>
        <w:rPr>
          <w:rFonts w:hint="eastAsia"/>
          <w:bCs/>
          <w:sz w:val="24"/>
        </w:rPr>
        <w:t>个工作日内，编制完成基金季度报告，将季度报告登载在</w:t>
      </w:r>
      <w:r>
        <w:rPr>
          <w:rFonts w:asciiTheme="minorEastAsia" w:hAnsiTheme="minorEastAsia" w:cs="Times New Roman" w:hint="eastAsia"/>
          <w:sz w:val="24"/>
          <w:szCs w:val="24"/>
        </w:rPr>
        <w:t>规定</w:t>
      </w:r>
      <w:r>
        <w:rPr>
          <w:rFonts w:hint="eastAsia"/>
          <w:bCs/>
          <w:sz w:val="24"/>
        </w:rPr>
        <w:t>网站上，并将季度报告提示性公告登载在</w:t>
      </w:r>
      <w:r>
        <w:rPr>
          <w:rFonts w:asciiTheme="minorEastAsia" w:hAnsiTheme="minorEastAsia" w:cs="Times New Roman" w:hint="eastAsia"/>
          <w:sz w:val="24"/>
          <w:szCs w:val="24"/>
        </w:rPr>
        <w:t>规定</w:t>
      </w:r>
      <w:r>
        <w:rPr>
          <w:rFonts w:hint="eastAsia"/>
          <w:bCs/>
          <w:sz w:val="24"/>
        </w:rPr>
        <w:t>报刊上。</w:t>
      </w:r>
    </w:p>
    <w:p w14:paraId="67F51E5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《基金合同》生效不足</w:t>
      </w:r>
      <w:r>
        <w:rPr>
          <w:rFonts w:hint="eastAsia"/>
          <w:bCs/>
          <w:sz w:val="24"/>
        </w:rPr>
        <w:t>2</w:t>
      </w:r>
      <w:r>
        <w:rPr>
          <w:rFonts w:hint="eastAsia"/>
          <w:bCs/>
          <w:sz w:val="24"/>
        </w:rPr>
        <w:t>个月的，基金管理人可以不编制当期季度报告、中期报告或者年度报告。</w:t>
      </w:r>
    </w:p>
    <w:p w14:paraId="419A796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本基金的特有风险，中国证监会认定的特殊情形除</w:t>
      </w:r>
      <w:r>
        <w:rPr>
          <w:rFonts w:hint="eastAsia"/>
          <w:bCs/>
          <w:sz w:val="24"/>
        </w:rPr>
        <w:lastRenderedPageBreak/>
        <w:t>外。</w:t>
      </w:r>
    </w:p>
    <w:p w14:paraId="5E2F3C6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基金管理人应当在基金年度报告和中期报告中披露基金组合资产情况及其流动性风险分析等。</w:t>
      </w:r>
    </w:p>
    <w:p w14:paraId="552E18A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（七）临时报告</w:t>
      </w:r>
    </w:p>
    <w:p w14:paraId="6474D6E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本基金发生重大事件，有关信息披露义务人应当依照《信息披露办法》的有关规定编制临时报告书，并登载在</w:t>
      </w:r>
      <w:r>
        <w:rPr>
          <w:rFonts w:asciiTheme="minorEastAsia" w:hAnsiTheme="minorEastAsia" w:cs="Times New Roman" w:hint="eastAsia"/>
          <w:sz w:val="24"/>
          <w:szCs w:val="24"/>
        </w:rPr>
        <w:t>规定</w:t>
      </w:r>
      <w:r>
        <w:rPr>
          <w:rFonts w:hint="eastAsia"/>
          <w:bCs/>
          <w:sz w:val="24"/>
        </w:rPr>
        <w:t>报刊和</w:t>
      </w:r>
      <w:r>
        <w:rPr>
          <w:rFonts w:asciiTheme="minorEastAsia" w:hAnsiTheme="minorEastAsia" w:cs="Times New Roman" w:hint="eastAsia"/>
          <w:sz w:val="24"/>
          <w:szCs w:val="24"/>
        </w:rPr>
        <w:t>规定</w:t>
      </w:r>
      <w:r>
        <w:rPr>
          <w:rFonts w:hint="eastAsia"/>
          <w:bCs/>
          <w:sz w:val="24"/>
        </w:rPr>
        <w:t>网站上。</w:t>
      </w:r>
    </w:p>
    <w:p w14:paraId="7165F92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前款所称重大事件，是指可能对基金份额持有人权益或者基金份额的价格产生重大影响的下列事件：</w:t>
      </w:r>
    </w:p>
    <w:p w14:paraId="7014D3D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、基金份额持有人大会的召开及决定的事项；</w:t>
      </w:r>
    </w:p>
    <w:p w14:paraId="6A10BF3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、基金合同终止、基金清算；</w:t>
      </w:r>
    </w:p>
    <w:p w14:paraId="1F83A90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、转换基金运作方式、基金合并；</w:t>
      </w:r>
    </w:p>
    <w:p w14:paraId="18F8061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、更换基金管理人、基金托管人、基金份额登记机构，基金改聘会计师事务所；</w:t>
      </w:r>
    </w:p>
    <w:p w14:paraId="7E0DD7E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742079F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、基金管理人、基金托管人的法定名称、住所发生变更；</w:t>
      </w:r>
    </w:p>
    <w:p w14:paraId="1CF378F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、基金管理人变更持有百分之五以上股权的股东、基金管理人的实际控制人变更；</w:t>
      </w:r>
    </w:p>
    <w:p w14:paraId="4374177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、基金募集期延长或提前结束募集；</w:t>
      </w:r>
    </w:p>
    <w:p w14:paraId="57B4D62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、基金管理人高级管理人员、基金经理和基金托管人专门基金托管部门负责人发生变动；</w:t>
      </w:r>
    </w:p>
    <w:p w14:paraId="4F881FD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14:paraId="343A18C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、涉及基金财产、基金管理业务、基金托管业务的诉讼或仲裁；</w:t>
      </w:r>
    </w:p>
    <w:p w14:paraId="33D5617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1C07C2A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13</w:t>
      </w:r>
      <w:r>
        <w:rPr>
          <w:rFonts w:hint="eastAsia"/>
          <w:bCs/>
          <w:sz w:val="24"/>
        </w:rPr>
        <w:t>、基金管理人运用基金财产买卖基金管理人、基金托管人及其控股股东、</w:t>
      </w:r>
      <w:r>
        <w:rPr>
          <w:rFonts w:hint="eastAsia"/>
          <w:bCs/>
          <w:sz w:val="24"/>
        </w:rPr>
        <w:lastRenderedPageBreak/>
        <w:t>实际控制人或者与其有重大利害关系的公司发行的证券或者承销期内承销的证券，或者从事其他重大关联交易事项，但中国证监会另有规定的除外；</w:t>
      </w:r>
    </w:p>
    <w:p w14:paraId="70C4618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14</w:t>
      </w:r>
      <w:r>
        <w:rPr>
          <w:rFonts w:hint="eastAsia"/>
          <w:bCs/>
          <w:sz w:val="24"/>
        </w:rPr>
        <w:t>、基金收益分配事项；</w:t>
      </w:r>
    </w:p>
    <w:p w14:paraId="38DD78F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15</w:t>
      </w:r>
      <w:r>
        <w:rPr>
          <w:rFonts w:hint="eastAsia"/>
          <w:bCs/>
          <w:sz w:val="24"/>
        </w:rPr>
        <w:t>、管理费、托管费、销售服务费、申购费、赎回费等费用计提标准、计提方式和费率发生变更；</w:t>
      </w:r>
    </w:p>
    <w:p w14:paraId="2376732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16</w:t>
      </w:r>
      <w:r>
        <w:rPr>
          <w:rFonts w:hint="eastAsia"/>
          <w:bCs/>
          <w:sz w:val="24"/>
        </w:rPr>
        <w:t>、基金份额净值计价错误</w:t>
      </w:r>
      <w:proofErr w:type="gramStart"/>
      <w:r>
        <w:rPr>
          <w:rFonts w:hint="eastAsia"/>
          <w:bCs/>
          <w:sz w:val="24"/>
        </w:rPr>
        <w:t>达基金</w:t>
      </w:r>
      <w:proofErr w:type="gramEnd"/>
      <w:r>
        <w:rPr>
          <w:rFonts w:hint="eastAsia"/>
          <w:bCs/>
          <w:sz w:val="24"/>
        </w:rPr>
        <w:t>份额净值百分之零点五；</w:t>
      </w:r>
    </w:p>
    <w:p w14:paraId="122D37D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17</w:t>
      </w:r>
      <w:r>
        <w:rPr>
          <w:rFonts w:hint="eastAsia"/>
          <w:bCs/>
          <w:sz w:val="24"/>
        </w:rPr>
        <w:t>、本基金开始办理申购、赎回；</w:t>
      </w:r>
    </w:p>
    <w:p w14:paraId="6BC46A0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18</w:t>
      </w:r>
      <w:r>
        <w:rPr>
          <w:rFonts w:hint="eastAsia"/>
          <w:bCs/>
          <w:sz w:val="24"/>
        </w:rPr>
        <w:t>、本基金发生巨额赎回并延期办理；</w:t>
      </w:r>
    </w:p>
    <w:p w14:paraId="692390F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19</w:t>
      </w:r>
      <w:r>
        <w:rPr>
          <w:rFonts w:hint="eastAsia"/>
          <w:bCs/>
          <w:sz w:val="24"/>
        </w:rPr>
        <w:t>、本基金连续发生巨额赎回并暂停接受赎回申请或延缓支付赎回款项；</w:t>
      </w:r>
    </w:p>
    <w:p w14:paraId="147D1D1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20</w:t>
      </w:r>
      <w:r>
        <w:rPr>
          <w:rFonts w:hint="eastAsia"/>
          <w:bCs/>
          <w:sz w:val="24"/>
        </w:rPr>
        <w:t>、本基金暂停接受申购、赎回申请或重新接受申购、赎回申请；</w:t>
      </w:r>
    </w:p>
    <w:p w14:paraId="1ED1A82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21</w:t>
      </w:r>
      <w:r>
        <w:rPr>
          <w:rFonts w:hint="eastAsia"/>
          <w:bCs/>
          <w:sz w:val="24"/>
        </w:rPr>
        <w:t>、在发生涉及基金申购、赎回事项调整或潜在影响投资者赎回等重大事项时；</w:t>
      </w:r>
    </w:p>
    <w:p w14:paraId="6C2D1E8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22</w:t>
      </w:r>
      <w:r>
        <w:rPr>
          <w:rFonts w:hint="eastAsia"/>
          <w:bCs/>
          <w:sz w:val="24"/>
        </w:rPr>
        <w:t>、基金管理人采用摆动定价机制进行估值；</w:t>
      </w:r>
    </w:p>
    <w:p w14:paraId="19FA42D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23</w:t>
      </w:r>
      <w:r>
        <w:rPr>
          <w:rFonts w:hint="eastAsia"/>
          <w:bCs/>
          <w:sz w:val="24"/>
        </w:rPr>
        <w:t>、调整基金份额类别设置；</w:t>
      </w:r>
    </w:p>
    <w:p w14:paraId="30E32BB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24</w:t>
      </w:r>
      <w:r>
        <w:rPr>
          <w:rFonts w:hint="eastAsia"/>
          <w:bCs/>
          <w:sz w:val="24"/>
        </w:rPr>
        <w:t>、基金信息披露义务人认为可能对基金份额持有人权益或者基金份额的价格产生重大影响的其他事项或中国证监会规定的其他事项。</w:t>
      </w:r>
    </w:p>
    <w:p w14:paraId="1610DDC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（八）澄清公告</w:t>
      </w:r>
    </w:p>
    <w:p w14:paraId="2017F98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52CC5D4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（九）基金份额持有人大会决议</w:t>
      </w:r>
    </w:p>
    <w:p w14:paraId="052421B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基金份额持有人大会决定的事项，应当依法报中国证监会备案，并予以公告。</w:t>
      </w:r>
    </w:p>
    <w:p w14:paraId="562E8C6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（十）清算报告</w:t>
      </w:r>
    </w:p>
    <w:p w14:paraId="52CC145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基金合同终止的，基金管理人应当依法组织基金财产清算小组对基金财产进行清算并</w:t>
      </w:r>
      <w:proofErr w:type="gramStart"/>
      <w:r>
        <w:rPr>
          <w:rFonts w:hint="eastAsia"/>
          <w:bCs/>
          <w:sz w:val="24"/>
        </w:rPr>
        <w:t>作出</w:t>
      </w:r>
      <w:proofErr w:type="gramEnd"/>
      <w:r>
        <w:rPr>
          <w:rFonts w:hint="eastAsia"/>
          <w:bCs/>
          <w:sz w:val="24"/>
        </w:rPr>
        <w:t>清算报告。基金财产清算小组应当将清算报告登载在</w:t>
      </w:r>
      <w:r>
        <w:rPr>
          <w:rFonts w:asciiTheme="minorEastAsia" w:hAnsiTheme="minorEastAsia" w:cs="Times New Roman" w:hint="eastAsia"/>
          <w:sz w:val="24"/>
          <w:szCs w:val="24"/>
        </w:rPr>
        <w:t>规定</w:t>
      </w:r>
      <w:r>
        <w:rPr>
          <w:rFonts w:hint="eastAsia"/>
          <w:bCs/>
          <w:sz w:val="24"/>
        </w:rPr>
        <w:t>网站上，并将清算报告提示性公告登载在</w:t>
      </w:r>
      <w:r>
        <w:rPr>
          <w:rFonts w:asciiTheme="minorEastAsia" w:hAnsiTheme="minorEastAsia" w:cs="Times New Roman" w:hint="eastAsia"/>
          <w:sz w:val="24"/>
          <w:szCs w:val="24"/>
        </w:rPr>
        <w:t>规定</w:t>
      </w:r>
      <w:r>
        <w:rPr>
          <w:rFonts w:hint="eastAsia"/>
          <w:bCs/>
          <w:sz w:val="24"/>
        </w:rPr>
        <w:t>报刊上。</w:t>
      </w:r>
    </w:p>
    <w:p w14:paraId="7A363DA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（十一）实施</w:t>
      </w:r>
      <w:proofErr w:type="gramStart"/>
      <w:r>
        <w:rPr>
          <w:rFonts w:hint="eastAsia"/>
          <w:bCs/>
          <w:sz w:val="24"/>
        </w:rPr>
        <w:t>侧袋机制</w:t>
      </w:r>
      <w:proofErr w:type="gramEnd"/>
      <w:r>
        <w:rPr>
          <w:rFonts w:hint="eastAsia"/>
          <w:bCs/>
          <w:sz w:val="24"/>
        </w:rPr>
        <w:t>期间的信息披露</w:t>
      </w:r>
    </w:p>
    <w:p w14:paraId="0DE811E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的，相关信息披露义务人应当根据法律法规、基金合同和招募说明书的规定进行信息披露，详见本招募说明书“侧袋机制”部分的规定。</w:t>
      </w:r>
    </w:p>
    <w:p w14:paraId="1B03837E" w14:textId="77777777" w:rsidR="009D10D8" w:rsidRDefault="009E4577">
      <w:pPr>
        <w:autoSpaceDE w:val="0"/>
        <w:autoSpaceDN w:val="0"/>
        <w:spacing w:line="360" w:lineRule="auto"/>
        <w:ind w:firstLineChars="200" w:firstLine="480"/>
        <w:textAlignment w:val="bottom"/>
        <w:rPr>
          <w:bCs/>
          <w:sz w:val="24"/>
        </w:rPr>
      </w:pPr>
      <w:r>
        <w:rPr>
          <w:rFonts w:hint="eastAsia"/>
          <w:bCs/>
          <w:sz w:val="24"/>
        </w:rPr>
        <w:lastRenderedPageBreak/>
        <w:t>（十二）基金投资股指期货的相关公告</w:t>
      </w:r>
    </w:p>
    <w:p w14:paraId="70D8319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30F27BB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（十三）基金投资国债期货的相关公告</w:t>
      </w:r>
    </w:p>
    <w:p w14:paraId="6181E96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在季度报告、中期报告、年度报告等定期报告和招募说明书（更新）等文件中披露国债期货交易情况，包括投资政策、持仓情况、损益情况、风险指标等，并充分揭示国债期货交易对本基金总体风险的影响以及是否符合既定的投资政策和投资目标。</w:t>
      </w:r>
    </w:p>
    <w:p w14:paraId="4FE5371E" w14:textId="77777777" w:rsidR="009D10D8" w:rsidRDefault="009E4577">
      <w:pPr>
        <w:spacing w:line="360" w:lineRule="auto"/>
        <w:ind w:firstLineChars="200" w:firstLine="480"/>
        <w:rPr>
          <w:bCs/>
          <w:color w:val="000000"/>
          <w:sz w:val="24"/>
        </w:rPr>
      </w:pPr>
      <w:r>
        <w:rPr>
          <w:rFonts w:hint="eastAsia"/>
          <w:bCs/>
          <w:color w:val="000000"/>
          <w:sz w:val="24"/>
        </w:rPr>
        <w:t>（十四）基金投资资产支持证券的信息披露</w:t>
      </w:r>
    </w:p>
    <w:p w14:paraId="2780540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0124CAD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（十五）基金投资股票期权的相关公告</w:t>
      </w:r>
    </w:p>
    <w:p w14:paraId="7B857CD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4B12C71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（十六）基金投资信用衍生品的信息披露</w:t>
      </w:r>
    </w:p>
    <w:p w14:paraId="2A6D200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在季度报告、中期报告、年度报告等定期报告和招募说明书（更新）等文件中披露信用衍生品的投资情况，包括投资策略、持仓情况等，并充分揭示投资信用衍生品对基金总体风险的影响以及是否符合既定的投资目标及策略。</w:t>
      </w:r>
    </w:p>
    <w:p w14:paraId="3771FEB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（十七）基金投资非公开发行股票的信息披露</w:t>
      </w:r>
    </w:p>
    <w:p w14:paraId="2B44797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基金管理人在本基金投资非公开发行股票后两个交易日内，在中国证监会</w:t>
      </w:r>
      <w:r>
        <w:rPr>
          <w:rFonts w:asciiTheme="minorEastAsia" w:hAnsiTheme="minorEastAsia" w:cs="Times New Roman" w:hint="eastAsia"/>
          <w:sz w:val="24"/>
          <w:szCs w:val="24"/>
        </w:rPr>
        <w:t>规定</w:t>
      </w:r>
      <w:r>
        <w:rPr>
          <w:rFonts w:hint="eastAsia"/>
          <w:bCs/>
          <w:sz w:val="24"/>
        </w:rPr>
        <w:t>媒介披露所投资非公开发行股票的名称、数量、总成本、账面价值，以及总成本和账面价值占基金资产净值的比例、锁定期等信息。</w:t>
      </w:r>
    </w:p>
    <w:p w14:paraId="7CF551D3" w14:textId="77777777" w:rsidR="009D10D8" w:rsidRDefault="009E4577">
      <w:pPr>
        <w:autoSpaceDE w:val="0"/>
        <w:autoSpaceDN w:val="0"/>
        <w:spacing w:line="360" w:lineRule="auto"/>
        <w:ind w:firstLineChars="200" w:firstLine="480"/>
        <w:textAlignment w:val="bottom"/>
        <w:rPr>
          <w:bCs/>
          <w:sz w:val="24"/>
        </w:rPr>
      </w:pPr>
      <w:r>
        <w:rPr>
          <w:rFonts w:hint="eastAsia"/>
          <w:bCs/>
          <w:sz w:val="24"/>
        </w:rPr>
        <w:lastRenderedPageBreak/>
        <w:t>（十八）基金参与融资业务的信息披露</w:t>
      </w:r>
    </w:p>
    <w:p w14:paraId="6A510C4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本基金参与融资业务的，基金管理人应当在季度报告、中期报告、年度报告等定期报告和招募说明书（更新）等文件中披露参与融资交易情况，包括投资策略、业务开展情况、损益情况、风险及其管理情况等。</w:t>
      </w:r>
    </w:p>
    <w:p w14:paraId="4251E18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（十九）中国证监会规定的其他信息。</w:t>
      </w:r>
    </w:p>
    <w:p w14:paraId="5A45E60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六、信息披露事务管理</w:t>
      </w:r>
    </w:p>
    <w:p w14:paraId="4696D9F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243575E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31F92B8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托管人应当按照相关法律法规、行政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3F08E47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基金管理人、基金托管人应当在</w:t>
      </w:r>
      <w:r>
        <w:rPr>
          <w:rFonts w:asciiTheme="minorEastAsia" w:hAnsiTheme="minorEastAsia" w:cs="Times New Roman" w:hint="eastAsia"/>
          <w:sz w:val="24"/>
          <w:szCs w:val="24"/>
        </w:rPr>
        <w:t>规定</w:t>
      </w:r>
      <w:r>
        <w:rPr>
          <w:rFonts w:hint="eastAsia"/>
          <w:bCs/>
          <w:sz w:val="24"/>
        </w:rPr>
        <w:t>报刊中选择一家报刊披露本基金信息。基金管理人、基金托管人应当向中国证监会基金电子披露网站报送拟披露的基金信息，并保证相关报送信息的真实、准确、完整、及时。</w:t>
      </w:r>
    </w:p>
    <w:p w14:paraId="5331891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基金管理人、基金托管人除依法在</w:t>
      </w:r>
      <w:r>
        <w:rPr>
          <w:rFonts w:asciiTheme="minorEastAsia" w:hAnsiTheme="minorEastAsia" w:cs="Times New Roman" w:hint="eastAsia"/>
          <w:sz w:val="24"/>
          <w:szCs w:val="24"/>
        </w:rPr>
        <w:t>规定</w:t>
      </w:r>
      <w:r>
        <w:rPr>
          <w:rFonts w:hint="eastAsia"/>
          <w:bCs/>
          <w:sz w:val="24"/>
        </w:rPr>
        <w:t>媒介上披露信息外，还可以根据需要在其他公共媒介披露信息，但是其他公共媒介不得早于</w:t>
      </w:r>
      <w:r>
        <w:rPr>
          <w:rFonts w:asciiTheme="minorEastAsia" w:hAnsiTheme="minorEastAsia" w:cs="Times New Roman" w:hint="eastAsia"/>
          <w:sz w:val="24"/>
          <w:szCs w:val="24"/>
        </w:rPr>
        <w:t>规定</w:t>
      </w:r>
      <w:r>
        <w:rPr>
          <w:rFonts w:hint="eastAsia"/>
          <w:bCs/>
          <w:sz w:val="24"/>
        </w:rPr>
        <w:t>媒介披露信息，并且在不同媒介上披露同一信息的内容应当一致。</w:t>
      </w:r>
    </w:p>
    <w:p w14:paraId="2E6410D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基金管理人、基金托管人除按法律法规要求披露信息外，也可着眼于为投资者决策提供有用信息的角度，在保证公平对待投资者、</w:t>
      </w:r>
      <w:proofErr w:type="gramStart"/>
      <w:r>
        <w:rPr>
          <w:rFonts w:hint="eastAsia"/>
          <w:bCs/>
          <w:sz w:val="24"/>
        </w:rPr>
        <w:t>不</w:t>
      </w:r>
      <w:proofErr w:type="gramEnd"/>
      <w:r>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4FE7D74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rFonts w:hint="eastAsia"/>
          <w:bCs/>
          <w:sz w:val="24"/>
        </w:rPr>
        <w:t>年。</w:t>
      </w:r>
    </w:p>
    <w:p w14:paraId="0C39EB2D" w14:textId="77777777" w:rsidR="009D10D8" w:rsidRDefault="009E4577">
      <w:pPr>
        <w:autoSpaceDE w:val="0"/>
        <w:autoSpaceDN w:val="0"/>
        <w:spacing w:line="360" w:lineRule="auto"/>
        <w:ind w:firstLineChars="200" w:firstLine="480"/>
        <w:textAlignment w:val="bottom"/>
        <w:rPr>
          <w:bCs/>
          <w:sz w:val="24"/>
        </w:rPr>
      </w:pPr>
      <w:r>
        <w:rPr>
          <w:rFonts w:hint="eastAsia"/>
          <w:bCs/>
          <w:sz w:val="24"/>
        </w:rPr>
        <w:lastRenderedPageBreak/>
        <w:t>七、信息披露文件的存放与查阅</w:t>
      </w:r>
    </w:p>
    <w:p w14:paraId="24FFDBE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依法必须披露的信息发布后，基金管理人、基金托管人应当按照相关法律法规规定将信息置备于公司住所，供社会公众查阅、复制。</w:t>
      </w:r>
    </w:p>
    <w:p w14:paraId="06A46D3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八、暂停或延迟信息披露的情形</w:t>
      </w:r>
    </w:p>
    <w:p w14:paraId="6CFD815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、不可抗力；</w:t>
      </w:r>
    </w:p>
    <w:p w14:paraId="545885B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、出现《基金合同》约定的暂停估值的情形时；</w:t>
      </w:r>
    </w:p>
    <w:p w14:paraId="630F3292" w14:textId="77777777" w:rsidR="009D10D8" w:rsidRDefault="009E4577">
      <w:pPr>
        <w:autoSpaceDE w:val="0"/>
        <w:autoSpaceDN w:val="0"/>
        <w:spacing w:line="360" w:lineRule="auto"/>
        <w:ind w:firstLineChars="200" w:firstLine="480"/>
        <w:textAlignment w:val="bottom"/>
        <w:rPr>
          <w:bCs/>
          <w:sz w:val="24"/>
        </w:rPr>
      </w:pPr>
      <w:r>
        <w:rPr>
          <w:bCs/>
          <w:sz w:val="24"/>
        </w:rPr>
        <w:t>3</w:t>
      </w:r>
      <w:r>
        <w:rPr>
          <w:rFonts w:hint="eastAsia"/>
          <w:bCs/>
          <w:sz w:val="24"/>
        </w:rPr>
        <w:t>、法律法规、中国证监会规定或基金合同认定的其他情形。</w:t>
      </w:r>
    </w:p>
    <w:p w14:paraId="5913EA7F" w14:textId="77777777" w:rsidR="009D10D8" w:rsidRDefault="009E4577">
      <w:pPr>
        <w:widowControl/>
        <w:jc w:val="left"/>
        <w:rPr>
          <w:bCs/>
          <w:sz w:val="24"/>
        </w:rPr>
      </w:pPr>
      <w:r>
        <w:rPr>
          <w:bCs/>
          <w:sz w:val="24"/>
        </w:rPr>
        <w:br w:type="page"/>
      </w:r>
    </w:p>
    <w:p w14:paraId="6C17F3B5" w14:textId="77777777" w:rsidR="009D10D8" w:rsidRDefault="009E4577">
      <w:pPr>
        <w:pStyle w:val="1"/>
        <w:jc w:val="center"/>
        <w:rPr>
          <w:sz w:val="30"/>
          <w:szCs w:val="30"/>
        </w:rPr>
      </w:pPr>
      <w:bookmarkStart w:id="305" w:name="_Toc173322792"/>
      <w:r>
        <w:rPr>
          <w:rFonts w:hint="eastAsia"/>
          <w:sz w:val="30"/>
          <w:szCs w:val="30"/>
        </w:rPr>
        <w:lastRenderedPageBreak/>
        <w:t>第十六部分</w:t>
      </w:r>
      <w:r>
        <w:rPr>
          <w:sz w:val="30"/>
          <w:szCs w:val="30"/>
        </w:rPr>
        <w:t xml:space="preserve">  </w:t>
      </w:r>
      <w:proofErr w:type="gramStart"/>
      <w:r>
        <w:rPr>
          <w:rFonts w:hint="eastAsia"/>
          <w:sz w:val="30"/>
          <w:szCs w:val="30"/>
        </w:rPr>
        <w:t>侧袋机制</w:t>
      </w:r>
      <w:bookmarkEnd w:id="305"/>
      <w:proofErr w:type="gramEnd"/>
    </w:p>
    <w:p w14:paraId="6DED645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一、</w:t>
      </w:r>
      <w:proofErr w:type="gramStart"/>
      <w:r>
        <w:rPr>
          <w:rFonts w:hint="eastAsia"/>
          <w:bCs/>
          <w:sz w:val="24"/>
        </w:rPr>
        <w:t>侧袋机制</w:t>
      </w:r>
      <w:proofErr w:type="gramEnd"/>
      <w:r>
        <w:rPr>
          <w:rFonts w:hint="eastAsia"/>
          <w:bCs/>
          <w:sz w:val="24"/>
        </w:rPr>
        <w:t>的实施条件</w:t>
      </w:r>
    </w:p>
    <w:p w14:paraId="472EFB3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hint="eastAsia"/>
          <w:bCs/>
          <w:sz w:val="24"/>
        </w:rPr>
        <w:t>启用侧袋机制</w:t>
      </w:r>
      <w:proofErr w:type="gramEnd"/>
      <w:r>
        <w:rPr>
          <w:rFonts w:hint="eastAsia"/>
          <w:bCs/>
          <w:sz w:val="24"/>
        </w:rPr>
        <w:t>。</w:t>
      </w:r>
    </w:p>
    <w:p w14:paraId="7067CA2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基金管理人应当在启用</w:t>
      </w:r>
      <w:proofErr w:type="gramStart"/>
      <w:r>
        <w:rPr>
          <w:rFonts w:hint="eastAsia"/>
          <w:bCs/>
          <w:sz w:val="24"/>
        </w:rPr>
        <w:t>侧袋机制</w:t>
      </w:r>
      <w:proofErr w:type="gramEnd"/>
      <w:r>
        <w:rPr>
          <w:rFonts w:hint="eastAsia"/>
          <w:bCs/>
          <w:sz w:val="24"/>
        </w:rPr>
        <w:t>后及时发布临时公告，并及时聘请符合《中华人民共和国证券法》规定的会计师事务所进行审计并披露专项审计意见。</w:t>
      </w:r>
    </w:p>
    <w:p w14:paraId="58C28F2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二、实施</w:t>
      </w:r>
      <w:proofErr w:type="gramStart"/>
      <w:r>
        <w:rPr>
          <w:rFonts w:hint="eastAsia"/>
          <w:bCs/>
          <w:sz w:val="24"/>
        </w:rPr>
        <w:t>侧袋机制</w:t>
      </w:r>
      <w:proofErr w:type="gramEnd"/>
      <w:r>
        <w:rPr>
          <w:rFonts w:hint="eastAsia"/>
          <w:bCs/>
          <w:sz w:val="24"/>
        </w:rPr>
        <w:t>期间基金份额的申购与赎回</w:t>
      </w:r>
    </w:p>
    <w:p w14:paraId="3AFAE7D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、启用</w:t>
      </w:r>
      <w:proofErr w:type="gramStart"/>
      <w:r>
        <w:rPr>
          <w:rFonts w:hint="eastAsia"/>
          <w:bCs/>
          <w:sz w:val="24"/>
        </w:rPr>
        <w:t>侧袋机制</w:t>
      </w:r>
      <w:proofErr w:type="gramEnd"/>
      <w:r>
        <w:rPr>
          <w:rFonts w:hint="eastAsia"/>
          <w:bCs/>
          <w:sz w:val="24"/>
        </w:rPr>
        <w:t>当日，基金登记机构以基金份额持有人的原有账户份额为基础，确认</w:t>
      </w:r>
      <w:proofErr w:type="gramStart"/>
      <w:r>
        <w:rPr>
          <w:rFonts w:hint="eastAsia"/>
          <w:bCs/>
          <w:sz w:val="24"/>
        </w:rPr>
        <w:t>相应侧袋账户</w:t>
      </w:r>
      <w:proofErr w:type="gramEnd"/>
      <w:r>
        <w:rPr>
          <w:rFonts w:hint="eastAsia"/>
          <w:bCs/>
          <w:sz w:val="24"/>
        </w:rPr>
        <w:t>基金份额持有人名册和份额；当日收到的申购申请，按照启用</w:t>
      </w:r>
      <w:proofErr w:type="gramStart"/>
      <w:r>
        <w:rPr>
          <w:rFonts w:hint="eastAsia"/>
          <w:bCs/>
          <w:sz w:val="24"/>
        </w:rPr>
        <w:t>侧袋机制</w:t>
      </w:r>
      <w:proofErr w:type="gramEnd"/>
      <w:r>
        <w:rPr>
          <w:rFonts w:hint="eastAsia"/>
          <w:bCs/>
          <w:sz w:val="24"/>
        </w:rPr>
        <w:t>后</w:t>
      </w:r>
      <w:proofErr w:type="gramStart"/>
      <w:r>
        <w:rPr>
          <w:rFonts w:hint="eastAsia"/>
          <w:bCs/>
          <w:sz w:val="24"/>
        </w:rPr>
        <w:t>的主袋账户</w:t>
      </w:r>
      <w:proofErr w:type="gramEnd"/>
      <w:r>
        <w:rPr>
          <w:rFonts w:hint="eastAsia"/>
          <w:bCs/>
          <w:sz w:val="24"/>
        </w:rPr>
        <w:t>份额办理；当日收到的赎回申请，仅</w:t>
      </w:r>
      <w:proofErr w:type="gramStart"/>
      <w:r>
        <w:rPr>
          <w:rFonts w:hint="eastAsia"/>
          <w:bCs/>
          <w:sz w:val="24"/>
        </w:rPr>
        <w:t>办理主袋账户</w:t>
      </w:r>
      <w:proofErr w:type="gramEnd"/>
      <w:r>
        <w:rPr>
          <w:rFonts w:hint="eastAsia"/>
          <w:bCs/>
          <w:sz w:val="24"/>
        </w:rPr>
        <w:t>的赎回申请并支付赎回款项。</w:t>
      </w:r>
    </w:p>
    <w:p w14:paraId="469D1C0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、实施</w:t>
      </w:r>
      <w:proofErr w:type="gramStart"/>
      <w:r>
        <w:rPr>
          <w:rFonts w:hint="eastAsia"/>
          <w:bCs/>
          <w:sz w:val="24"/>
        </w:rPr>
        <w:t>侧袋机制</w:t>
      </w:r>
      <w:proofErr w:type="gramEnd"/>
      <w:r>
        <w:rPr>
          <w:rFonts w:hint="eastAsia"/>
          <w:bCs/>
          <w:sz w:val="24"/>
        </w:rPr>
        <w:t>期间，基金管理人不</w:t>
      </w:r>
      <w:proofErr w:type="gramStart"/>
      <w:r>
        <w:rPr>
          <w:rFonts w:hint="eastAsia"/>
          <w:bCs/>
          <w:sz w:val="24"/>
        </w:rPr>
        <w:t>办理侧袋账户</w:t>
      </w:r>
      <w:proofErr w:type="gramEnd"/>
      <w:r>
        <w:rPr>
          <w:rFonts w:hint="eastAsia"/>
          <w:bCs/>
          <w:sz w:val="24"/>
        </w:rPr>
        <w:t>份额的申购、赎回和转换；同时，基金管理人按照基金合同和招募说明书的约定</w:t>
      </w:r>
      <w:proofErr w:type="gramStart"/>
      <w:r>
        <w:rPr>
          <w:rFonts w:hint="eastAsia"/>
          <w:bCs/>
          <w:sz w:val="24"/>
        </w:rPr>
        <w:t>办理主袋账户</w:t>
      </w:r>
      <w:proofErr w:type="gramEnd"/>
      <w:r>
        <w:rPr>
          <w:rFonts w:hint="eastAsia"/>
          <w:bCs/>
          <w:sz w:val="24"/>
        </w:rPr>
        <w:t>份额的赎回，并</w:t>
      </w:r>
      <w:proofErr w:type="gramStart"/>
      <w:r>
        <w:rPr>
          <w:rFonts w:hint="eastAsia"/>
          <w:bCs/>
          <w:sz w:val="24"/>
        </w:rPr>
        <w:t>根据主袋账户</w:t>
      </w:r>
      <w:proofErr w:type="gramEnd"/>
      <w:r>
        <w:rPr>
          <w:rFonts w:hint="eastAsia"/>
          <w:bCs/>
          <w:sz w:val="24"/>
        </w:rPr>
        <w:t>运作情况确定是否暂停申购。</w:t>
      </w:r>
    </w:p>
    <w:p w14:paraId="14498BE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、除基金管理人应</w:t>
      </w:r>
      <w:proofErr w:type="gramStart"/>
      <w:r>
        <w:rPr>
          <w:rFonts w:hint="eastAsia"/>
          <w:bCs/>
          <w:sz w:val="24"/>
        </w:rPr>
        <w:t>按照主袋账户</w:t>
      </w:r>
      <w:proofErr w:type="gramEnd"/>
      <w:r>
        <w:rPr>
          <w:rFonts w:hint="eastAsia"/>
          <w:bCs/>
          <w:sz w:val="24"/>
        </w:rPr>
        <w:t>的份额净值</w:t>
      </w:r>
      <w:proofErr w:type="gramStart"/>
      <w:r>
        <w:rPr>
          <w:rFonts w:hint="eastAsia"/>
          <w:bCs/>
          <w:sz w:val="24"/>
        </w:rPr>
        <w:t>办理主袋账户</w:t>
      </w:r>
      <w:proofErr w:type="gramEnd"/>
      <w:r>
        <w:rPr>
          <w:rFonts w:hint="eastAsia"/>
          <w:bCs/>
          <w:sz w:val="24"/>
        </w:rPr>
        <w:t>份额的申购和赎回外，本招募说明书“基金份额的申购与赎回”部分的申购、赎回规定</w:t>
      </w:r>
      <w:proofErr w:type="gramStart"/>
      <w:r>
        <w:rPr>
          <w:rFonts w:hint="eastAsia"/>
          <w:bCs/>
          <w:sz w:val="24"/>
        </w:rPr>
        <w:t>适用于主袋账户</w:t>
      </w:r>
      <w:proofErr w:type="gramEnd"/>
      <w:r>
        <w:rPr>
          <w:rFonts w:hint="eastAsia"/>
          <w:bCs/>
          <w:sz w:val="24"/>
        </w:rPr>
        <w:t>份额。巨额赎回按照单个开放</w:t>
      </w:r>
      <w:proofErr w:type="gramStart"/>
      <w:r>
        <w:rPr>
          <w:rFonts w:hint="eastAsia"/>
          <w:bCs/>
          <w:sz w:val="24"/>
        </w:rPr>
        <w:t>日内主袋账户</w:t>
      </w:r>
      <w:proofErr w:type="gramEnd"/>
      <w:r>
        <w:rPr>
          <w:rFonts w:hint="eastAsia"/>
          <w:bCs/>
          <w:sz w:val="24"/>
        </w:rPr>
        <w:t>份额净赎回申请超过前一开放</w:t>
      </w:r>
      <w:proofErr w:type="gramStart"/>
      <w:r>
        <w:rPr>
          <w:rFonts w:hint="eastAsia"/>
          <w:bCs/>
          <w:sz w:val="24"/>
        </w:rPr>
        <w:t>日主袋账户</w:t>
      </w:r>
      <w:proofErr w:type="gramEnd"/>
      <w:r>
        <w:rPr>
          <w:rFonts w:hint="eastAsia"/>
          <w:bCs/>
          <w:sz w:val="24"/>
        </w:rPr>
        <w:t>总份额的</w:t>
      </w:r>
      <w:r>
        <w:rPr>
          <w:rFonts w:hint="eastAsia"/>
          <w:bCs/>
          <w:sz w:val="24"/>
        </w:rPr>
        <w:t>10%</w:t>
      </w:r>
      <w:r>
        <w:rPr>
          <w:rFonts w:hint="eastAsia"/>
          <w:bCs/>
          <w:sz w:val="24"/>
        </w:rPr>
        <w:t>认定。</w:t>
      </w:r>
    </w:p>
    <w:p w14:paraId="6489798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三、实施</w:t>
      </w:r>
      <w:proofErr w:type="gramStart"/>
      <w:r>
        <w:rPr>
          <w:rFonts w:hint="eastAsia"/>
          <w:bCs/>
          <w:sz w:val="24"/>
        </w:rPr>
        <w:t>侧袋机制</w:t>
      </w:r>
      <w:proofErr w:type="gramEnd"/>
      <w:r>
        <w:rPr>
          <w:rFonts w:hint="eastAsia"/>
          <w:bCs/>
          <w:sz w:val="24"/>
        </w:rPr>
        <w:t>期间的基金投资</w:t>
      </w:r>
    </w:p>
    <w:p w14:paraId="0907407A" w14:textId="77777777" w:rsidR="009D10D8" w:rsidRDefault="009E4577">
      <w:pPr>
        <w:autoSpaceDE w:val="0"/>
        <w:autoSpaceDN w:val="0"/>
        <w:spacing w:line="360" w:lineRule="auto"/>
        <w:ind w:firstLineChars="200" w:firstLine="480"/>
        <w:textAlignment w:val="bottom"/>
        <w:rPr>
          <w:bCs/>
          <w:sz w:val="24"/>
        </w:rPr>
      </w:pPr>
      <w:proofErr w:type="gramStart"/>
      <w:r>
        <w:rPr>
          <w:rFonts w:hint="eastAsia"/>
          <w:bCs/>
          <w:sz w:val="24"/>
        </w:rPr>
        <w:t>侧袋机制</w:t>
      </w:r>
      <w:proofErr w:type="gramEnd"/>
      <w:r>
        <w:rPr>
          <w:rFonts w:hint="eastAsia"/>
          <w:bCs/>
          <w:sz w:val="24"/>
        </w:rPr>
        <w:t>实施期间，招募说明书“基金的投资”部分约定的投资组合比例、投资策略、组合限制、业绩比较基准、风险收益特征等约定仅</w:t>
      </w:r>
      <w:proofErr w:type="gramStart"/>
      <w:r>
        <w:rPr>
          <w:rFonts w:hint="eastAsia"/>
          <w:bCs/>
          <w:sz w:val="24"/>
        </w:rPr>
        <w:t>适用于主袋账户</w:t>
      </w:r>
      <w:proofErr w:type="gramEnd"/>
      <w:r>
        <w:rPr>
          <w:rFonts w:hint="eastAsia"/>
          <w:bCs/>
          <w:sz w:val="24"/>
        </w:rPr>
        <w:t>。基金管理人计算各项投资运作指标和基金业绩指标时仅需</w:t>
      </w:r>
      <w:proofErr w:type="gramStart"/>
      <w:r>
        <w:rPr>
          <w:rFonts w:hint="eastAsia"/>
          <w:bCs/>
          <w:sz w:val="24"/>
        </w:rPr>
        <w:t>考虑主袋账户</w:t>
      </w:r>
      <w:proofErr w:type="gramEnd"/>
      <w:r>
        <w:rPr>
          <w:rFonts w:hint="eastAsia"/>
          <w:bCs/>
          <w:sz w:val="24"/>
        </w:rPr>
        <w:t>资产。</w:t>
      </w:r>
    </w:p>
    <w:p w14:paraId="7641506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基金管理人原则上应当在</w:t>
      </w:r>
      <w:proofErr w:type="gramStart"/>
      <w:r>
        <w:rPr>
          <w:rFonts w:hint="eastAsia"/>
          <w:bCs/>
          <w:sz w:val="24"/>
        </w:rPr>
        <w:t>侧袋机制</w:t>
      </w:r>
      <w:proofErr w:type="gramEnd"/>
      <w:r>
        <w:rPr>
          <w:rFonts w:hint="eastAsia"/>
          <w:bCs/>
          <w:sz w:val="24"/>
        </w:rPr>
        <w:t>启用后</w:t>
      </w:r>
      <w:r>
        <w:rPr>
          <w:rFonts w:hint="eastAsia"/>
          <w:bCs/>
          <w:sz w:val="24"/>
        </w:rPr>
        <w:t>20</w:t>
      </w:r>
      <w:r>
        <w:rPr>
          <w:rFonts w:hint="eastAsia"/>
          <w:bCs/>
          <w:sz w:val="24"/>
        </w:rPr>
        <w:t>个交易日内完成</w:t>
      </w:r>
      <w:proofErr w:type="gramStart"/>
      <w:r>
        <w:rPr>
          <w:rFonts w:hint="eastAsia"/>
          <w:bCs/>
          <w:sz w:val="24"/>
        </w:rPr>
        <w:t>对主袋账户</w:t>
      </w:r>
      <w:proofErr w:type="gramEnd"/>
      <w:r>
        <w:rPr>
          <w:rFonts w:hint="eastAsia"/>
          <w:bCs/>
          <w:sz w:val="24"/>
        </w:rPr>
        <w:t>投资组合的调整，因资产流动性受限等中国证监会规定的情形除外。</w:t>
      </w:r>
    </w:p>
    <w:p w14:paraId="42B64F3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基金管理人不得</w:t>
      </w:r>
      <w:proofErr w:type="gramStart"/>
      <w:r>
        <w:rPr>
          <w:rFonts w:hint="eastAsia"/>
          <w:bCs/>
          <w:sz w:val="24"/>
        </w:rPr>
        <w:t>在侧袋账户</w:t>
      </w:r>
      <w:proofErr w:type="gramEnd"/>
      <w:r>
        <w:rPr>
          <w:rFonts w:hint="eastAsia"/>
          <w:bCs/>
          <w:sz w:val="24"/>
        </w:rPr>
        <w:t>中进行除特定资产处置变现以外的其他投资操作。</w:t>
      </w:r>
    </w:p>
    <w:p w14:paraId="6709DC0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四、实施</w:t>
      </w:r>
      <w:proofErr w:type="gramStart"/>
      <w:r>
        <w:rPr>
          <w:rFonts w:hint="eastAsia"/>
          <w:bCs/>
          <w:sz w:val="24"/>
        </w:rPr>
        <w:t>侧袋机制</w:t>
      </w:r>
      <w:proofErr w:type="gramEnd"/>
      <w:r>
        <w:rPr>
          <w:rFonts w:hint="eastAsia"/>
          <w:bCs/>
          <w:sz w:val="24"/>
        </w:rPr>
        <w:t>期间的基金估值</w:t>
      </w:r>
    </w:p>
    <w:p w14:paraId="004BCE3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的，基金管理人和基金托管人</w:t>
      </w:r>
      <w:proofErr w:type="gramStart"/>
      <w:r>
        <w:rPr>
          <w:rFonts w:hint="eastAsia"/>
          <w:bCs/>
          <w:sz w:val="24"/>
        </w:rPr>
        <w:t>应对主袋账户</w:t>
      </w:r>
      <w:proofErr w:type="gramEnd"/>
      <w:r>
        <w:rPr>
          <w:rFonts w:hint="eastAsia"/>
          <w:bCs/>
          <w:sz w:val="24"/>
        </w:rPr>
        <w:t>资产进行估</w:t>
      </w:r>
      <w:r>
        <w:rPr>
          <w:rFonts w:hint="eastAsia"/>
          <w:bCs/>
          <w:sz w:val="24"/>
        </w:rPr>
        <w:lastRenderedPageBreak/>
        <w:t>值并</w:t>
      </w:r>
      <w:proofErr w:type="gramStart"/>
      <w:r>
        <w:rPr>
          <w:rFonts w:hint="eastAsia"/>
          <w:bCs/>
          <w:sz w:val="24"/>
        </w:rPr>
        <w:t>披露主袋账户</w:t>
      </w:r>
      <w:proofErr w:type="gramEnd"/>
      <w:r>
        <w:rPr>
          <w:rFonts w:hint="eastAsia"/>
          <w:bCs/>
          <w:sz w:val="24"/>
        </w:rPr>
        <w:t>的基金净值信息，暂停</w:t>
      </w:r>
      <w:proofErr w:type="gramStart"/>
      <w:r>
        <w:rPr>
          <w:rFonts w:hint="eastAsia"/>
          <w:bCs/>
          <w:sz w:val="24"/>
        </w:rPr>
        <w:t>披露侧袋账户</w:t>
      </w:r>
      <w:proofErr w:type="gramEnd"/>
      <w:r>
        <w:rPr>
          <w:rFonts w:hint="eastAsia"/>
          <w:bCs/>
          <w:sz w:val="24"/>
        </w:rPr>
        <w:t>份额净值。</w:t>
      </w:r>
      <w:proofErr w:type="gramStart"/>
      <w:r>
        <w:rPr>
          <w:rFonts w:hint="eastAsia"/>
          <w:bCs/>
          <w:sz w:val="24"/>
        </w:rPr>
        <w:t>侧袋账户</w:t>
      </w:r>
      <w:proofErr w:type="gramEnd"/>
      <w:r>
        <w:rPr>
          <w:rFonts w:hint="eastAsia"/>
          <w:bCs/>
          <w:sz w:val="24"/>
        </w:rPr>
        <w:t>的会计核算应符合《企业会计准则》的相关要求。</w:t>
      </w:r>
    </w:p>
    <w:p w14:paraId="7732F89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五、</w:t>
      </w:r>
      <w:proofErr w:type="gramStart"/>
      <w:r>
        <w:rPr>
          <w:rFonts w:hint="eastAsia"/>
          <w:bCs/>
          <w:sz w:val="24"/>
        </w:rPr>
        <w:t>实施侧袋账户</w:t>
      </w:r>
      <w:proofErr w:type="gramEnd"/>
      <w:r>
        <w:rPr>
          <w:rFonts w:hint="eastAsia"/>
          <w:bCs/>
          <w:sz w:val="24"/>
        </w:rPr>
        <w:t>期间的基金费用</w:t>
      </w:r>
    </w:p>
    <w:p w14:paraId="7978505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、本基金实施</w:t>
      </w:r>
      <w:proofErr w:type="gramStart"/>
      <w:r>
        <w:rPr>
          <w:rFonts w:hint="eastAsia"/>
          <w:bCs/>
          <w:sz w:val="24"/>
        </w:rPr>
        <w:t>侧袋机制</w:t>
      </w:r>
      <w:proofErr w:type="gramEnd"/>
      <w:r>
        <w:rPr>
          <w:rFonts w:hint="eastAsia"/>
          <w:bCs/>
          <w:sz w:val="24"/>
        </w:rPr>
        <w:t>的，</w:t>
      </w:r>
      <w:proofErr w:type="gramStart"/>
      <w:r>
        <w:rPr>
          <w:rFonts w:hint="eastAsia"/>
          <w:bCs/>
          <w:sz w:val="24"/>
        </w:rPr>
        <w:t>主袋账户</w:t>
      </w:r>
      <w:proofErr w:type="gramEnd"/>
      <w:r>
        <w:rPr>
          <w:rFonts w:hint="eastAsia"/>
          <w:bCs/>
          <w:sz w:val="24"/>
        </w:rPr>
        <w:t>的管理费、托管费、销售服务费</w:t>
      </w:r>
      <w:proofErr w:type="gramStart"/>
      <w:r>
        <w:rPr>
          <w:rFonts w:hint="eastAsia"/>
          <w:bCs/>
          <w:sz w:val="24"/>
        </w:rPr>
        <w:t>按主袋账户</w:t>
      </w:r>
      <w:proofErr w:type="gramEnd"/>
      <w:r>
        <w:rPr>
          <w:rFonts w:hint="eastAsia"/>
          <w:bCs/>
          <w:sz w:val="24"/>
        </w:rPr>
        <w:t>基金资产净值作为基数计提。</w:t>
      </w:r>
    </w:p>
    <w:p w14:paraId="17AEEF6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w:t>
      </w:r>
      <w:proofErr w:type="gramStart"/>
      <w:r>
        <w:rPr>
          <w:rFonts w:hint="eastAsia"/>
          <w:bCs/>
          <w:sz w:val="24"/>
        </w:rPr>
        <w:t>与侧袋账户</w:t>
      </w:r>
      <w:proofErr w:type="gramEnd"/>
      <w:r>
        <w:rPr>
          <w:rFonts w:hint="eastAsia"/>
          <w:bCs/>
          <w:sz w:val="24"/>
        </w:rPr>
        <w:t>有关的费用可</w:t>
      </w:r>
      <w:proofErr w:type="gramStart"/>
      <w:r>
        <w:rPr>
          <w:rFonts w:hint="eastAsia"/>
          <w:bCs/>
          <w:sz w:val="24"/>
        </w:rPr>
        <w:t>从侧袋账户</w:t>
      </w:r>
      <w:proofErr w:type="gramEnd"/>
      <w:r>
        <w:rPr>
          <w:rFonts w:hint="eastAsia"/>
          <w:bCs/>
          <w:sz w:val="24"/>
        </w:rPr>
        <w:t>中列支，但应</w:t>
      </w:r>
      <w:proofErr w:type="gramStart"/>
      <w:r>
        <w:rPr>
          <w:rFonts w:hint="eastAsia"/>
          <w:bCs/>
          <w:sz w:val="24"/>
        </w:rPr>
        <w:t>待侧袋</w:t>
      </w:r>
      <w:proofErr w:type="gramEnd"/>
      <w:r>
        <w:rPr>
          <w:rFonts w:hint="eastAsia"/>
          <w:bCs/>
          <w:sz w:val="24"/>
        </w:rPr>
        <w:t>账户资产变现后方可列支，有关费用可酌情收取或减免，但不得收取管理费。</w:t>
      </w:r>
    </w:p>
    <w:p w14:paraId="2D22F52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六、</w:t>
      </w:r>
      <w:proofErr w:type="gramStart"/>
      <w:r>
        <w:rPr>
          <w:rFonts w:hint="eastAsia"/>
          <w:bCs/>
          <w:sz w:val="24"/>
        </w:rPr>
        <w:t>侧袋账户</w:t>
      </w:r>
      <w:proofErr w:type="gramEnd"/>
      <w:r>
        <w:rPr>
          <w:rFonts w:hint="eastAsia"/>
          <w:bCs/>
          <w:sz w:val="24"/>
        </w:rPr>
        <w:t>中特定资产的处置变现和支付</w:t>
      </w:r>
    </w:p>
    <w:p w14:paraId="3123652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特定资产以可出售、可转让、恢复交易等方式恢复流动性后，基金管理人应当按照基金份额持有人利益最大化原则，采取将特定资产予以处置变现等方式，及时</w:t>
      </w:r>
      <w:proofErr w:type="gramStart"/>
      <w:r>
        <w:rPr>
          <w:rFonts w:hint="eastAsia"/>
          <w:bCs/>
          <w:sz w:val="24"/>
        </w:rPr>
        <w:t>向侧袋账户</w:t>
      </w:r>
      <w:proofErr w:type="gramEnd"/>
      <w:r>
        <w:rPr>
          <w:rFonts w:hint="eastAsia"/>
          <w:bCs/>
          <w:sz w:val="24"/>
        </w:rPr>
        <w:t>份额持有人支付对应变现款项。</w:t>
      </w:r>
    </w:p>
    <w:p w14:paraId="35EC8BC5" w14:textId="77777777" w:rsidR="009D10D8" w:rsidRDefault="009E4577">
      <w:pPr>
        <w:autoSpaceDE w:val="0"/>
        <w:autoSpaceDN w:val="0"/>
        <w:spacing w:line="360" w:lineRule="auto"/>
        <w:ind w:firstLineChars="200" w:firstLine="480"/>
        <w:textAlignment w:val="bottom"/>
        <w:rPr>
          <w:bCs/>
          <w:sz w:val="24"/>
        </w:rPr>
      </w:pPr>
      <w:proofErr w:type="gramStart"/>
      <w:r>
        <w:rPr>
          <w:rFonts w:hint="eastAsia"/>
          <w:bCs/>
          <w:sz w:val="24"/>
        </w:rPr>
        <w:t>侧袋机制</w:t>
      </w:r>
      <w:proofErr w:type="gramEnd"/>
      <w:r>
        <w:rPr>
          <w:rFonts w:hint="eastAsia"/>
          <w:bCs/>
          <w:sz w:val="24"/>
        </w:rPr>
        <w:t>实施期间，</w:t>
      </w:r>
      <w:proofErr w:type="gramStart"/>
      <w:r>
        <w:rPr>
          <w:rFonts w:hint="eastAsia"/>
          <w:bCs/>
          <w:sz w:val="24"/>
        </w:rPr>
        <w:t>无论侧袋账户</w:t>
      </w:r>
      <w:proofErr w:type="gramEnd"/>
      <w:r>
        <w:rPr>
          <w:rFonts w:hint="eastAsia"/>
          <w:bCs/>
          <w:sz w:val="24"/>
        </w:rPr>
        <w:t>资产是否全部完成变现，基金管理人都应当及时</w:t>
      </w:r>
      <w:proofErr w:type="gramStart"/>
      <w:r>
        <w:rPr>
          <w:rFonts w:hint="eastAsia"/>
          <w:bCs/>
          <w:sz w:val="24"/>
        </w:rPr>
        <w:t>向侧袋账户</w:t>
      </w:r>
      <w:proofErr w:type="gramEnd"/>
      <w:r>
        <w:rPr>
          <w:rFonts w:hint="eastAsia"/>
          <w:bCs/>
          <w:sz w:val="24"/>
        </w:rPr>
        <w:t>全部份额持有人支付已变现部分对应的款项。</w:t>
      </w:r>
      <w:proofErr w:type="gramStart"/>
      <w:r>
        <w:rPr>
          <w:rFonts w:hint="eastAsia"/>
          <w:bCs/>
          <w:sz w:val="24"/>
        </w:rPr>
        <w:t>若侧袋</w:t>
      </w:r>
      <w:proofErr w:type="gramEnd"/>
      <w:r>
        <w:rPr>
          <w:rFonts w:hint="eastAsia"/>
          <w:bCs/>
          <w:sz w:val="24"/>
        </w:rPr>
        <w:t>账户资产无法一次性完成处置变现，基金管理人在每次处置变现后均应按照相关法律法规要求及时发布临时公告。</w:t>
      </w:r>
    </w:p>
    <w:p w14:paraId="4EBACF0B" w14:textId="77777777" w:rsidR="009D10D8" w:rsidRDefault="009E4577">
      <w:pPr>
        <w:autoSpaceDE w:val="0"/>
        <w:autoSpaceDN w:val="0"/>
        <w:spacing w:line="360" w:lineRule="auto"/>
        <w:ind w:firstLineChars="200" w:firstLine="480"/>
        <w:textAlignment w:val="bottom"/>
        <w:rPr>
          <w:bCs/>
          <w:sz w:val="24"/>
        </w:rPr>
      </w:pPr>
      <w:proofErr w:type="gramStart"/>
      <w:r>
        <w:rPr>
          <w:rFonts w:hint="eastAsia"/>
          <w:bCs/>
          <w:sz w:val="24"/>
        </w:rPr>
        <w:t>侧袋账户</w:t>
      </w:r>
      <w:proofErr w:type="gramEnd"/>
      <w:r>
        <w:rPr>
          <w:rFonts w:hint="eastAsia"/>
          <w:bCs/>
          <w:sz w:val="24"/>
        </w:rPr>
        <w:t>资产全部完成变现并终止</w:t>
      </w:r>
      <w:proofErr w:type="gramStart"/>
      <w:r>
        <w:rPr>
          <w:rFonts w:hint="eastAsia"/>
          <w:bCs/>
          <w:sz w:val="24"/>
        </w:rPr>
        <w:t>侧袋机制</w:t>
      </w:r>
      <w:proofErr w:type="gramEnd"/>
      <w:r>
        <w:rPr>
          <w:rFonts w:hint="eastAsia"/>
          <w:bCs/>
          <w:sz w:val="24"/>
        </w:rPr>
        <w:t>后，基金管理人应及时聘请符合《中华人民共和国证券法》规定的会计师事务所进行审计并披露专项审计意见。</w:t>
      </w:r>
    </w:p>
    <w:p w14:paraId="6FA5C7F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七、</w:t>
      </w:r>
      <w:proofErr w:type="gramStart"/>
      <w:r>
        <w:rPr>
          <w:rFonts w:hint="eastAsia"/>
          <w:bCs/>
          <w:sz w:val="24"/>
        </w:rPr>
        <w:t>侧袋机制</w:t>
      </w:r>
      <w:proofErr w:type="gramEnd"/>
      <w:r>
        <w:rPr>
          <w:rFonts w:hint="eastAsia"/>
          <w:bCs/>
          <w:sz w:val="24"/>
        </w:rPr>
        <w:t>的信息披露</w:t>
      </w:r>
    </w:p>
    <w:p w14:paraId="45F528F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、临时公告</w:t>
      </w:r>
    </w:p>
    <w:p w14:paraId="69309A1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在</w:t>
      </w:r>
      <w:proofErr w:type="gramStart"/>
      <w:r>
        <w:rPr>
          <w:rFonts w:hint="eastAsia"/>
          <w:bCs/>
          <w:sz w:val="24"/>
        </w:rPr>
        <w:t>启用侧袋机制</w:t>
      </w:r>
      <w:proofErr w:type="gramEnd"/>
      <w:r>
        <w:rPr>
          <w:rFonts w:hint="eastAsia"/>
          <w:bCs/>
          <w:sz w:val="24"/>
        </w:rPr>
        <w:t>、处置特定资产、终止</w:t>
      </w:r>
      <w:proofErr w:type="gramStart"/>
      <w:r>
        <w:rPr>
          <w:rFonts w:hint="eastAsia"/>
          <w:bCs/>
          <w:sz w:val="24"/>
        </w:rPr>
        <w:t>侧袋机制</w:t>
      </w:r>
      <w:proofErr w:type="gramEnd"/>
      <w:r>
        <w:rPr>
          <w:rFonts w:hint="eastAsia"/>
          <w:bCs/>
          <w:sz w:val="24"/>
        </w:rPr>
        <w:t>以及发生其他可能对投资者利益产生重大影响的事项后基金管理人应及时发布临时公告。</w:t>
      </w:r>
    </w:p>
    <w:p w14:paraId="089342F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、基金净值信息</w:t>
      </w:r>
    </w:p>
    <w:p w14:paraId="147CA77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基金管理人应按照招募说明书“基金的信息披露”部分规定的基金净值信息披露方式和频率</w:t>
      </w:r>
      <w:proofErr w:type="gramStart"/>
      <w:r>
        <w:rPr>
          <w:rFonts w:hint="eastAsia"/>
          <w:bCs/>
          <w:sz w:val="24"/>
        </w:rPr>
        <w:t>披露主袋账户</w:t>
      </w:r>
      <w:proofErr w:type="gramEnd"/>
      <w:r>
        <w:rPr>
          <w:rFonts w:hint="eastAsia"/>
          <w:bCs/>
          <w:sz w:val="24"/>
        </w:rPr>
        <w:t>份额的各类基金份额净值和基金份额累计净值。实施</w:t>
      </w:r>
      <w:proofErr w:type="gramStart"/>
      <w:r>
        <w:rPr>
          <w:rFonts w:hint="eastAsia"/>
          <w:bCs/>
          <w:sz w:val="24"/>
        </w:rPr>
        <w:t>侧袋机制</w:t>
      </w:r>
      <w:proofErr w:type="gramEnd"/>
      <w:r>
        <w:rPr>
          <w:rFonts w:hint="eastAsia"/>
          <w:bCs/>
          <w:sz w:val="24"/>
        </w:rPr>
        <w:t>期间本基金暂停</w:t>
      </w:r>
      <w:proofErr w:type="gramStart"/>
      <w:r>
        <w:rPr>
          <w:rFonts w:hint="eastAsia"/>
          <w:bCs/>
          <w:sz w:val="24"/>
        </w:rPr>
        <w:t>披露侧袋账户</w:t>
      </w:r>
      <w:proofErr w:type="gramEnd"/>
      <w:r>
        <w:rPr>
          <w:rFonts w:hint="eastAsia"/>
          <w:bCs/>
          <w:sz w:val="24"/>
        </w:rPr>
        <w:t>份额净值。</w:t>
      </w:r>
    </w:p>
    <w:p w14:paraId="0D3160B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、定期报告</w:t>
      </w:r>
    </w:p>
    <w:p w14:paraId="3A590AB4" w14:textId="77777777" w:rsidR="009D10D8" w:rsidRDefault="009E4577">
      <w:pPr>
        <w:autoSpaceDE w:val="0"/>
        <w:autoSpaceDN w:val="0"/>
        <w:spacing w:line="360" w:lineRule="auto"/>
        <w:ind w:firstLineChars="200" w:firstLine="480"/>
        <w:textAlignment w:val="bottom"/>
        <w:rPr>
          <w:bCs/>
          <w:sz w:val="24"/>
        </w:rPr>
      </w:pPr>
      <w:proofErr w:type="gramStart"/>
      <w:r>
        <w:rPr>
          <w:rFonts w:hint="eastAsia"/>
          <w:bCs/>
          <w:sz w:val="24"/>
        </w:rPr>
        <w:t>侧袋机制</w:t>
      </w:r>
      <w:proofErr w:type="gramEnd"/>
      <w:r>
        <w:rPr>
          <w:rFonts w:hint="eastAsia"/>
          <w:bCs/>
          <w:sz w:val="24"/>
        </w:rPr>
        <w:t>实施期间，基金管理人应当在基金定期报告中披露报告期</w:t>
      </w:r>
      <w:proofErr w:type="gramStart"/>
      <w:r>
        <w:rPr>
          <w:rFonts w:hint="eastAsia"/>
          <w:bCs/>
          <w:sz w:val="24"/>
        </w:rPr>
        <w:t>内侧袋</w:t>
      </w:r>
      <w:proofErr w:type="gramEnd"/>
      <w:r>
        <w:rPr>
          <w:rFonts w:hint="eastAsia"/>
          <w:bCs/>
          <w:sz w:val="24"/>
        </w:rPr>
        <w:t>账户相关信息，基金定期报告中的基金会计报表仅需</w:t>
      </w:r>
      <w:proofErr w:type="gramStart"/>
      <w:r>
        <w:rPr>
          <w:rFonts w:hint="eastAsia"/>
          <w:bCs/>
          <w:sz w:val="24"/>
        </w:rPr>
        <w:t>针对主袋账户</w:t>
      </w:r>
      <w:proofErr w:type="gramEnd"/>
      <w:r>
        <w:rPr>
          <w:rFonts w:hint="eastAsia"/>
          <w:bCs/>
          <w:sz w:val="24"/>
        </w:rPr>
        <w:t>进行编制。会计师事务所对基金年度报告进行审计时，应对报告期内基金</w:t>
      </w:r>
      <w:proofErr w:type="gramStart"/>
      <w:r>
        <w:rPr>
          <w:rFonts w:hint="eastAsia"/>
          <w:bCs/>
          <w:sz w:val="24"/>
        </w:rPr>
        <w:t>侧袋机制</w:t>
      </w:r>
      <w:proofErr w:type="gramEnd"/>
      <w:r>
        <w:rPr>
          <w:rFonts w:hint="eastAsia"/>
          <w:bCs/>
          <w:sz w:val="24"/>
        </w:rPr>
        <w:t>运行相关的会</w:t>
      </w:r>
      <w:r>
        <w:rPr>
          <w:rFonts w:hint="eastAsia"/>
          <w:bCs/>
          <w:sz w:val="24"/>
        </w:rPr>
        <w:lastRenderedPageBreak/>
        <w:t>计核算和年度报告披露等发表审计意见。</w:t>
      </w:r>
    </w:p>
    <w:p w14:paraId="04FC5F48" w14:textId="77777777" w:rsidR="009D10D8" w:rsidRDefault="009E4577">
      <w:pPr>
        <w:widowControl/>
        <w:jc w:val="left"/>
        <w:rPr>
          <w:bCs/>
          <w:sz w:val="24"/>
        </w:rPr>
      </w:pPr>
      <w:r>
        <w:rPr>
          <w:bCs/>
          <w:sz w:val="24"/>
        </w:rPr>
        <w:br w:type="page"/>
      </w:r>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p>
    <w:p w14:paraId="60DFEFFF" w14:textId="77777777" w:rsidR="009D10D8" w:rsidRDefault="009E4577">
      <w:pPr>
        <w:pStyle w:val="1"/>
        <w:jc w:val="center"/>
        <w:rPr>
          <w:sz w:val="30"/>
          <w:szCs w:val="30"/>
        </w:rPr>
      </w:pPr>
      <w:bookmarkStart w:id="306" w:name="_Toc416264552"/>
      <w:bookmarkStart w:id="307" w:name="_Toc12357178"/>
      <w:bookmarkStart w:id="308" w:name="_Toc263092324"/>
      <w:bookmarkStart w:id="309" w:name="_Toc214873605"/>
      <w:bookmarkStart w:id="310" w:name="_Toc21073398"/>
      <w:bookmarkStart w:id="311" w:name="_Toc147463125"/>
      <w:bookmarkStart w:id="312" w:name="_Toc173322793"/>
      <w:bookmarkStart w:id="313" w:name="_Toc93226150"/>
      <w:bookmarkStart w:id="314" w:name="_Toc92662708"/>
      <w:bookmarkStart w:id="315" w:name="_Toc17499"/>
      <w:bookmarkStart w:id="316" w:name="_Toc128310500"/>
      <w:bookmarkStart w:id="317" w:name="_Toc141703897"/>
      <w:bookmarkStart w:id="318" w:name="_Toc1043"/>
      <w:bookmarkStart w:id="319" w:name="_Toc10894"/>
      <w:bookmarkStart w:id="320" w:name="_Toc23859"/>
      <w:bookmarkStart w:id="321" w:name="_Toc31736"/>
      <w:bookmarkStart w:id="322" w:name="_Toc28961"/>
      <w:bookmarkStart w:id="323" w:name="_Toc18747"/>
      <w:bookmarkStart w:id="324" w:name="_Toc352229763"/>
      <w:bookmarkStart w:id="325" w:name="_Toc21206"/>
      <w:bookmarkStart w:id="326" w:name="_Toc18007"/>
      <w:bookmarkStart w:id="327" w:name="_Toc139991747"/>
      <w:bookmarkStart w:id="328" w:name="_Toc29695"/>
      <w:bookmarkStart w:id="329" w:name="_Toc13255"/>
      <w:r>
        <w:rPr>
          <w:rFonts w:hint="eastAsia"/>
          <w:sz w:val="30"/>
          <w:szCs w:val="30"/>
        </w:rPr>
        <w:lastRenderedPageBreak/>
        <w:t>第十七部分</w:t>
      </w:r>
      <w:r>
        <w:rPr>
          <w:sz w:val="30"/>
          <w:szCs w:val="30"/>
        </w:rPr>
        <w:t xml:space="preserve">  </w:t>
      </w:r>
      <w:r>
        <w:rPr>
          <w:rFonts w:hint="eastAsia"/>
          <w:sz w:val="30"/>
          <w:szCs w:val="30"/>
        </w:rPr>
        <w:t>风险揭示</w:t>
      </w:r>
      <w:bookmarkEnd w:id="306"/>
      <w:bookmarkEnd w:id="307"/>
      <w:bookmarkEnd w:id="308"/>
      <w:bookmarkEnd w:id="309"/>
      <w:bookmarkEnd w:id="310"/>
      <w:bookmarkEnd w:id="311"/>
      <w:bookmarkEnd w:id="312"/>
    </w:p>
    <w:p w14:paraId="0A06F53D"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Times New Roman" w:hint="eastAsia"/>
          <w:sz w:val="24"/>
          <w:szCs w:val="24"/>
        </w:rPr>
        <w:t>一、投资于本基金的主要风险</w:t>
      </w:r>
    </w:p>
    <w:p w14:paraId="47FAD257"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7C6441BF"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2D3B3D0A"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54A17DD3"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264F5A5"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0630ADA9"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1482E365"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7C5A599A"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312C66D3"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0F718C7D"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1227571A"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0A45430F" w14:textId="77777777" w:rsidR="009D10D8" w:rsidRDefault="009E4577">
      <w:pPr>
        <w:pStyle w:val="12"/>
        <w:numPr>
          <w:ilvl w:val="0"/>
          <w:numId w:val="3"/>
        </w:numPr>
        <w:adjustRightInd w:val="0"/>
        <w:snapToGrid w:val="0"/>
        <w:spacing w:line="360" w:lineRule="auto"/>
        <w:ind w:firstLineChars="0"/>
        <w:rPr>
          <w:rFonts w:asciiTheme="minorEastAsia" w:hAnsiTheme="minorEastAsia" w:cs="Arial" w:hint="eastAsia"/>
          <w:bCs/>
          <w:sz w:val="24"/>
          <w:szCs w:val="24"/>
        </w:rPr>
      </w:pPr>
      <w:r>
        <w:rPr>
          <w:rFonts w:asciiTheme="minorEastAsia" w:hAnsiTheme="minorEastAsia" w:cs="Arial" w:hint="eastAsia"/>
          <w:bCs/>
          <w:sz w:val="24"/>
          <w:szCs w:val="24"/>
        </w:rPr>
        <w:t>本基金的申购、赎回安排</w:t>
      </w:r>
    </w:p>
    <w:p w14:paraId="1E2A5C49" w14:textId="77777777" w:rsidR="009D10D8" w:rsidRDefault="009E4577">
      <w:pPr>
        <w:pStyle w:val="12"/>
        <w:numPr>
          <w:ilvl w:val="0"/>
          <w:numId w:val="3"/>
        </w:numPr>
        <w:adjustRightInd w:val="0"/>
        <w:snapToGrid w:val="0"/>
        <w:spacing w:line="360" w:lineRule="auto"/>
        <w:ind w:firstLineChars="0"/>
        <w:rPr>
          <w:rFonts w:asciiTheme="minorEastAsia" w:hAnsiTheme="minorEastAsia" w:cs="Arial" w:hint="eastAsia"/>
          <w:bCs/>
          <w:sz w:val="24"/>
          <w:szCs w:val="24"/>
        </w:rPr>
      </w:pPr>
      <w:r>
        <w:rPr>
          <w:rFonts w:asciiTheme="minorEastAsia" w:hAnsiTheme="minorEastAsia" w:cs="Arial" w:hint="eastAsia"/>
          <w:bCs/>
          <w:sz w:val="24"/>
          <w:szCs w:val="24"/>
        </w:rPr>
        <w:t>拟投资市场、行业及资产的流动性风险评估</w:t>
      </w:r>
    </w:p>
    <w:p w14:paraId="5A231B15"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投资范围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0FD2E82C"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w:t>
      </w:r>
      <w:r>
        <w:rPr>
          <w:rFonts w:asciiTheme="minorEastAsia" w:hAnsiTheme="minorEastAsia" w:cs="Arial"/>
          <w:bCs/>
          <w:sz w:val="24"/>
          <w:szCs w:val="24"/>
        </w:rPr>
        <w:t>3</w:t>
      </w:r>
      <w:r>
        <w:rPr>
          <w:rFonts w:asciiTheme="minorEastAsia" w:hAnsiTheme="minorEastAsia" w:cs="Arial" w:hint="eastAsia"/>
          <w:bCs/>
          <w:sz w:val="24"/>
          <w:szCs w:val="24"/>
        </w:rPr>
        <w:t xml:space="preserve">）巨额赎回情形下的流动性风险管理措施 </w:t>
      </w:r>
    </w:p>
    <w:p w14:paraId="292196E9"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的基金份额超过上一开放日基金总份额一定比例以上的，基金管理人有权对其采取延期办理赎回申请的措施。</w:t>
      </w:r>
    </w:p>
    <w:p w14:paraId="08A72198"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（4）实施备用的流动性风险管理工具的情形、程序及对投资者的潜在影响</w:t>
      </w:r>
    </w:p>
    <w:p w14:paraId="0EC0797F" w14:textId="44938EC4"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w:t>
      </w:r>
      <w:r w:rsidR="00514E09">
        <w:rPr>
          <w:rFonts w:asciiTheme="minorEastAsia" w:hAnsiTheme="minorEastAsia" w:cs="Arial" w:hint="eastAsia"/>
          <w:bCs/>
          <w:sz w:val="24"/>
          <w:szCs w:val="24"/>
        </w:rPr>
        <w:t>实施</w:t>
      </w:r>
      <w:proofErr w:type="gramStart"/>
      <w:r>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0901B63C"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proofErr w:type="gramStart"/>
      <w:r>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是一种流动性风险管理工具，是将特定资产分离</w:t>
      </w:r>
      <w:proofErr w:type="gramStart"/>
      <w:r>
        <w:rPr>
          <w:rFonts w:asciiTheme="minorEastAsia" w:hAnsiTheme="minorEastAsia" w:cs="Arial" w:hint="eastAsia"/>
          <w:bCs/>
          <w:sz w:val="24"/>
          <w:szCs w:val="24"/>
        </w:rPr>
        <w:t>至专门的侧袋</w:t>
      </w:r>
      <w:proofErr w:type="gramEnd"/>
      <w:r>
        <w:rPr>
          <w:rFonts w:asciiTheme="minorEastAsia" w:hAnsiTheme="minorEastAsia" w:cs="Arial" w:hint="eastAsia"/>
          <w:bCs/>
          <w:sz w:val="24"/>
          <w:szCs w:val="24"/>
        </w:rPr>
        <w:t>账户进行处置清算，并以处置变现后的款项向基金份额持有人进行支付，目的在于有效隔离并化解风险。但基金启用</w:t>
      </w:r>
      <w:proofErr w:type="gramStart"/>
      <w:r>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后，</w:t>
      </w:r>
      <w:proofErr w:type="gramStart"/>
      <w:r>
        <w:rPr>
          <w:rFonts w:asciiTheme="minorEastAsia" w:hAnsiTheme="minorEastAsia" w:cs="Arial" w:hint="eastAsia"/>
          <w:bCs/>
          <w:sz w:val="24"/>
          <w:szCs w:val="24"/>
        </w:rPr>
        <w:t>侧袋账户</w:t>
      </w:r>
      <w:proofErr w:type="gramEnd"/>
      <w:r>
        <w:rPr>
          <w:rFonts w:asciiTheme="minorEastAsia" w:hAnsiTheme="minorEastAsia" w:cs="Arial" w:hint="eastAsia"/>
          <w:bCs/>
          <w:sz w:val="24"/>
          <w:szCs w:val="24"/>
        </w:rPr>
        <w:t>份额将停止披露基金份额净值，并不得办理申购、赎回和转换，</w:t>
      </w:r>
      <w:proofErr w:type="gramStart"/>
      <w:r>
        <w:rPr>
          <w:rFonts w:asciiTheme="minorEastAsia" w:hAnsiTheme="minorEastAsia" w:cs="Arial" w:hint="eastAsia"/>
          <w:bCs/>
          <w:sz w:val="24"/>
          <w:szCs w:val="24"/>
        </w:rPr>
        <w:t>仅主袋</w:t>
      </w:r>
      <w:proofErr w:type="gramEnd"/>
      <w:r>
        <w:rPr>
          <w:rFonts w:asciiTheme="minorEastAsia" w:hAnsiTheme="minorEastAsia" w:cs="Arial" w:hint="eastAsia"/>
          <w:bCs/>
          <w:sz w:val="24"/>
          <w:szCs w:val="24"/>
        </w:rPr>
        <w:t>账户份额正常开放赎回，因此启用</w:t>
      </w:r>
      <w:proofErr w:type="gramStart"/>
      <w:r>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时持有基金份额的持有人将在启用</w:t>
      </w:r>
      <w:proofErr w:type="gramStart"/>
      <w:r>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后同时</w:t>
      </w:r>
      <w:proofErr w:type="gramStart"/>
      <w:r>
        <w:rPr>
          <w:rFonts w:asciiTheme="minorEastAsia" w:hAnsiTheme="minorEastAsia" w:cs="Arial" w:hint="eastAsia"/>
          <w:bCs/>
          <w:sz w:val="24"/>
          <w:szCs w:val="24"/>
        </w:rPr>
        <w:t>持有主袋账户</w:t>
      </w:r>
      <w:proofErr w:type="gramEnd"/>
      <w:r>
        <w:rPr>
          <w:rFonts w:asciiTheme="minorEastAsia" w:hAnsiTheme="minorEastAsia" w:cs="Arial" w:hint="eastAsia"/>
          <w:bCs/>
          <w:sz w:val="24"/>
          <w:szCs w:val="24"/>
        </w:rPr>
        <w:t>份额和</w:t>
      </w:r>
      <w:proofErr w:type="gramStart"/>
      <w:r>
        <w:rPr>
          <w:rFonts w:asciiTheme="minorEastAsia" w:hAnsiTheme="minorEastAsia" w:cs="Arial" w:hint="eastAsia"/>
          <w:bCs/>
          <w:sz w:val="24"/>
          <w:szCs w:val="24"/>
        </w:rPr>
        <w:t>侧袋</w:t>
      </w:r>
      <w:proofErr w:type="gramEnd"/>
      <w:r>
        <w:rPr>
          <w:rFonts w:asciiTheme="minorEastAsia" w:hAnsiTheme="minorEastAsia" w:cs="Arial" w:hint="eastAsia"/>
          <w:bCs/>
          <w:sz w:val="24"/>
          <w:szCs w:val="24"/>
        </w:rPr>
        <w:t>账户份额，</w:t>
      </w:r>
      <w:proofErr w:type="gramStart"/>
      <w:r>
        <w:rPr>
          <w:rFonts w:asciiTheme="minorEastAsia" w:hAnsiTheme="minorEastAsia" w:cs="Arial" w:hint="eastAsia"/>
          <w:bCs/>
          <w:sz w:val="24"/>
          <w:szCs w:val="24"/>
        </w:rPr>
        <w:t>侧袋账户</w:t>
      </w:r>
      <w:proofErr w:type="gramEnd"/>
      <w:r>
        <w:rPr>
          <w:rFonts w:asciiTheme="minorEastAsia" w:hAnsiTheme="minorEastAsia" w:cs="Arial" w:hint="eastAsia"/>
          <w:bCs/>
          <w:sz w:val="24"/>
          <w:szCs w:val="24"/>
        </w:rPr>
        <w:t>份额不能赎回，其对应特定资产的变现时间具有不确定性，最终变现价格也具有不确定性并且有可能大幅低于启用</w:t>
      </w:r>
      <w:proofErr w:type="gramStart"/>
      <w:r>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时的特定资产的估值，基金份额持有人可能因此面临损失。</w:t>
      </w:r>
    </w:p>
    <w:p w14:paraId="21B8DF02"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实施</w:t>
      </w:r>
      <w:proofErr w:type="gramStart"/>
      <w:r>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期间，因本基金不</w:t>
      </w:r>
      <w:proofErr w:type="gramStart"/>
      <w:r>
        <w:rPr>
          <w:rFonts w:asciiTheme="minorEastAsia" w:hAnsiTheme="minorEastAsia" w:cs="Arial" w:hint="eastAsia"/>
          <w:bCs/>
          <w:sz w:val="24"/>
          <w:szCs w:val="24"/>
        </w:rPr>
        <w:t>披露侧袋账户</w:t>
      </w:r>
      <w:proofErr w:type="gramEnd"/>
      <w:r>
        <w:rPr>
          <w:rFonts w:asciiTheme="minorEastAsia" w:hAnsiTheme="minorEastAsia" w:cs="Arial" w:hint="eastAsia"/>
          <w:bCs/>
          <w:sz w:val="24"/>
          <w:szCs w:val="24"/>
        </w:rPr>
        <w:t>份额的净值，即便基金管理人在基金定期报告中披露报告期末特定资产可变现净值或净值区间的，也不作为特定资产最终变现价格的承诺，因此对于特定资产的公允价值和最终变现价格，基金管理人不承担任何保证和承诺的责任。</w:t>
      </w:r>
    </w:p>
    <w:p w14:paraId="4C5026F1"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基金管理人将</w:t>
      </w:r>
      <w:proofErr w:type="gramStart"/>
      <w:r>
        <w:rPr>
          <w:rFonts w:asciiTheme="minorEastAsia" w:hAnsiTheme="minorEastAsia" w:cs="Arial" w:hint="eastAsia"/>
          <w:bCs/>
          <w:sz w:val="24"/>
          <w:szCs w:val="24"/>
        </w:rPr>
        <w:t>根据主袋账户</w:t>
      </w:r>
      <w:proofErr w:type="gramEnd"/>
      <w:r>
        <w:rPr>
          <w:rFonts w:asciiTheme="minorEastAsia" w:hAnsiTheme="minorEastAsia" w:cs="Arial" w:hint="eastAsia"/>
          <w:bCs/>
          <w:sz w:val="24"/>
          <w:szCs w:val="24"/>
        </w:rPr>
        <w:t>运作情况合理确定申购政策,因此实施</w:t>
      </w:r>
      <w:proofErr w:type="gramStart"/>
      <w:r>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后主袋账户份额存在暂停申购的可能。</w:t>
      </w:r>
    </w:p>
    <w:p w14:paraId="39F2D5E0"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启用</w:t>
      </w:r>
      <w:proofErr w:type="gramStart"/>
      <w:r>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后，基金管理人计算各项投资运作指标和基金业绩指标时仅需</w:t>
      </w:r>
      <w:proofErr w:type="gramStart"/>
      <w:r>
        <w:rPr>
          <w:rFonts w:asciiTheme="minorEastAsia" w:hAnsiTheme="minorEastAsia" w:cs="Arial" w:hint="eastAsia"/>
          <w:bCs/>
          <w:sz w:val="24"/>
          <w:szCs w:val="24"/>
        </w:rPr>
        <w:lastRenderedPageBreak/>
        <w:t>考虑主袋账户</w:t>
      </w:r>
      <w:proofErr w:type="gramEnd"/>
      <w:r>
        <w:rPr>
          <w:rFonts w:asciiTheme="minorEastAsia" w:hAnsiTheme="minorEastAsia" w:cs="Arial" w:hint="eastAsia"/>
          <w:bCs/>
          <w:sz w:val="24"/>
          <w:szCs w:val="24"/>
        </w:rPr>
        <w:t>资产，基金业绩指标应当</w:t>
      </w:r>
      <w:proofErr w:type="gramStart"/>
      <w:r>
        <w:rPr>
          <w:rFonts w:asciiTheme="minorEastAsia" w:hAnsiTheme="minorEastAsia" w:cs="Arial" w:hint="eastAsia"/>
          <w:bCs/>
          <w:sz w:val="24"/>
          <w:szCs w:val="24"/>
        </w:rPr>
        <w:t>以主袋账户</w:t>
      </w:r>
      <w:proofErr w:type="gramEnd"/>
      <w:r>
        <w:rPr>
          <w:rFonts w:asciiTheme="minorEastAsia" w:hAnsiTheme="minorEastAsia" w:cs="Arial" w:hint="eastAsia"/>
          <w:bCs/>
          <w:sz w:val="24"/>
          <w:szCs w:val="24"/>
        </w:rPr>
        <w:t>资产为基准，因此本基金披露的业绩指标不能反映特定资产的真实价值及变化情况。</w:t>
      </w:r>
    </w:p>
    <w:p w14:paraId="3403C28D"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0F4B5C57"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59222329"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0DABC685"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11EBA201"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17B2B0FF"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3D3CD5B1"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二、投资于本基金的特有风险</w:t>
      </w:r>
    </w:p>
    <w:p w14:paraId="61DEC3D6"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3A0BCF18"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、股指期货、国债期货投资风险</w:t>
      </w:r>
    </w:p>
    <w:p w14:paraId="7214AA33"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1DD2689B"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w:t>
      </w:r>
      <w:r>
        <w:rPr>
          <w:rFonts w:asciiTheme="minorEastAsia" w:hAnsiTheme="minorEastAsia" w:cs="Arial" w:hint="eastAsia"/>
          <w:bCs/>
          <w:sz w:val="24"/>
          <w:szCs w:val="24"/>
        </w:rPr>
        <w:lastRenderedPageBreak/>
        <w:t>证金，按规定将被强制平仓，可能给投资带来重大损失。</w:t>
      </w:r>
    </w:p>
    <w:p w14:paraId="2C03C260"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3、资产支持证券投资风险</w:t>
      </w:r>
    </w:p>
    <w:p w14:paraId="27449BF7"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本基金投资资产支持证券，资产支持证券（ABS）是一种债券性质的金融工具，其向投资者支付的本息来自于基础资产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0E202A53"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4、股票期权投资风险</w:t>
      </w:r>
    </w:p>
    <w:p w14:paraId="03047298"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5CACECC9"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5、存托凭证投资风险</w:t>
      </w:r>
    </w:p>
    <w:p w14:paraId="7104C45E"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5EEE49D3"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、投资信用衍生品的风险</w:t>
      </w:r>
    </w:p>
    <w:p w14:paraId="76931145"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衍生品的投资可能面临流动性风险、偿付风险以及价格波动风险。流动性风险是信用衍生品在交易转让过程中因为无法找到交易对手或交易对手较少导致难以将其变现的风险。偿付风险是在信用衍生品的存续期内，由于不可控制的市场及环境变化，创设机构可能出现经营状况不佳或创设机构的现金流与预期发生一定的偏差，从而影响信用衍生品结算的风险。价格波动风险是由于创设机</w:t>
      </w:r>
      <w:r>
        <w:rPr>
          <w:rFonts w:asciiTheme="minorEastAsia" w:hAnsiTheme="minorEastAsia" w:cs="Arial" w:hint="eastAsia"/>
          <w:bCs/>
          <w:sz w:val="24"/>
          <w:szCs w:val="24"/>
        </w:rPr>
        <w:lastRenderedPageBreak/>
        <w:t>构或所受保护债券主体经营情况出现变化，导致信用评级机构调整对创设机构或所保护债券的信用级别，引起信用衍生品交易价格波动，从而影响投资者的利益的风险。</w:t>
      </w:r>
    </w:p>
    <w:p w14:paraId="030A7A4F"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三、其他风险</w:t>
      </w:r>
    </w:p>
    <w:p w14:paraId="4402CE17"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3AA91456"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037DF8C5"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12BD42A9"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01B2FD81"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4AB3E281"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291D91D9" w14:textId="77777777" w:rsidR="009D10D8" w:rsidRDefault="009D10D8">
      <w:pPr>
        <w:widowControl/>
        <w:spacing w:line="360" w:lineRule="auto"/>
        <w:jc w:val="left"/>
        <w:rPr>
          <w:rFonts w:asciiTheme="minorEastAsia" w:hAnsiTheme="minorEastAsia" w:cs="Times New Roman" w:hint="eastAsia"/>
          <w:b/>
          <w:bCs/>
          <w:kern w:val="44"/>
          <w:sz w:val="24"/>
          <w:szCs w:val="24"/>
        </w:rPr>
        <w:sectPr w:rsidR="009D10D8">
          <w:footerReference w:type="default" r:id="rId23"/>
          <w:pgSz w:w="11906" w:h="16838"/>
          <w:pgMar w:top="1440" w:right="1800" w:bottom="1440" w:left="1800" w:header="851" w:footer="992" w:gutter="0"/>
          <w:pgNumType w:chapStyle="1"/>
          <w:cols w:space="720"/>
          <w:docGrid w:type="lines" w:linePitch="312"/>
        </w:sectPr>
      </w:pPr>
    </w:p>
    <w:p w14:paraId="6E70FEC8" w14:textId="77777777" w:rsidR="009D10D8" w:rsidRDefault="009E4577">
      <w:pPr>
        <w:pStyle w:val="1"/>
        <w:ind w:firstLine="600"/>
        <w:jc w:val="center"/>
      </w:pPr>
      <w:bookmarkStart w:id="330" w:name="_Toc173322794"/>
      <w:r>
        <w:rPr>
          <w:rFonts w:hint="eastAsia"/>
          <w:sz w:val="30"/>
          <w:szCs w:val="30"/>
        </w:rPr>
        <w:lastRenderedPageBreak/>
        <w:t>第十八部分</w:t>
      </w:r>
      <w:r>
        <w:rPr>
          <w:sz w:val="30"/>
          <w:szCs w:val="30"/>
        </w:rPr>
        <w:t xml:space="preserve">  </w:t>
      </w:r>
      <w:bookmarkEnd w:id="313"/>
      <w:bookmarkEnd w:id="314"/>
      <w:r>
        <w:rPr>
          <w:rFonts w:hint="eastAsia"/>
          <w:sz w:val="30"/>
          <w:szCs w:val="30"/>
        </w:rPr>
        <w:t>基金合同的变更、终止与基金财产的清算</w:t>
      </w:r>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p>
    <w:p w14:paraId="7FEB2D66" w14:textId="77777777" w:rsidR="009D10D8" w:rsidRDefault="009E4577">
      <w:pPr>
        <w:autoSpaceDE w:val="0"/>
        <w:autoSpaceDN w:val="0"/>
        <w:spacing w:line="360" w:lineRule="auto"/>
        <w:ind w:firstLineChars="200" w:firstLine="480"/>
        <w:textAlignment w:val="bottom"/>
        <w:rPr>
          <w:bCs/>
          <w:sz w:val="24"/>
        </w:rPr>
      </w:pPr>
      <w:bookmarkStart w:id="331" w:name="_Toc79392639"/>
      <w:bookmarkStart w:id="332" w:name="_Toc8512"/>
      <w:bookmarkStart w:id="333" w:name="_Toc92662709"/>
      <w:bookmarkStart w:id="334" w:name="_Toc3056"/>
      <w:bookmarkStart w:id="335" w:name="_Toc141703898"/>
      <w:bookmarkStart w:id="336" w:name="_Toc352229764"/>
      <w:bookmarkStart w:id="337" w:name="_Toc139991748"/>
      <w:bookmarkStart w:id="338" w:name="_Toc11802"/>
      <w:bookmarkStart w:id="339" w:name="_Toc31866"/>
      <w:bookmarkStart w:id="340" w:name="_Toc1421"/>
      <w:bookmarkStart w:id="341" w:name="_Toc29289"/>
      <w:bookmarkStart w:id="342" w:name="_Toc93226151"/>
      <w:bookmarkStart w:id="343" w:name="_Toc21351"/>
      <w:bookmarkStart w:id="344" w:name="_Toc1173"/>
      <w:bookmarkStart w:id="345" w:name="_Toc128310501"/>
      <w:bookmarkStart w:id="346" w:name="_Toc12028"/>
      <w:bookmarkStart w:id="347" w:name="_Toc193"/>
      <w:bookmarkStart w:id="348" w:name="_Toc11049"/>
      <w:r>
        <w:rPr>
          <w:bCs/>
          <w:sz w:val="24"/>
        </w:rPr>
        <w:t>一、《基金合同》的变更</w:t>
      </w:r>
      <w:bookmarkEnd w:id="331"/>
    </w:p>
    <w:p w14:paraId="7C398DE0" w14:textId="77777777" w:rsidR="009D10D8" w:rsidRDefault="009E4577">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w:t>
      </w:r>
      <w:r>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4704B2E6" w14:textId="77777777" w:rsidR="009D10D8" w:rsidRDefault="009E4577">
      <w:pPr>
        <w:autoSpaceDE w:val="0"/>
        <w:autoSpaceDN w:val="0"/>
        <w:spacing w:line="360" w:lineRule="auto"/>
        <w:ind w:firstLineChars="200" w:firstLine="480"/>
        <w:textAlignment w:val="bottom"/>
        <w:rPr>
          <w:bCs/>
          <w:sz w:val="24"/>
        </w:rPr>
      </w:pP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proofErr w:type="gramStart"/>
      <w:r>
        <w:rPr>
          <w:bCs/>
          <w:sz w:val="24"/>
        </w:rPr>
        <w:t>自决议</w:t>
      </w:r>
      <w:proofErr w:type="gramEnd"/>
      <w:r>
        <w:rPr>
          <w:bCs/>
          <w:sz w:val="24"/>
        </w:rPr>
        <w:t>生效后</w:t>
      </w:r>
      <w:r>
        <w:rPr>
          <w:rFonts w:hint="eastAsia"/>
          <w:bCs/>
          <w:sz w:val="24"/>
        </w:rPr>
        <w:t>依照《信息披露办法》的有关规定</w:t>
      </w:r>
      <w:r>
        <w:rPr>
          <w:bCs/>
          <w:sz w:val="24"/>
        </w:rPr>
        <w:t>在</w:t>
      </w:r>
      <w:r>
        <w:rPr>
          <w:rFonts w:asciiTheme="minorEastAsia" w:hAnsiTheme="minorEastAsia" w:cs="Times New Roman" w:hint="eastAsia"/>
          <w:sz w:val="24"/>
          <w:szCs w:val="24"/>
        </w:rPr>
        <w:t>规定</w:t>
      </w:r>
      <w:r>
        <w:rPr>
          <w:bCs/>
          <w:sz w:val="24"/>
        </w:rPr>
        <w:t>媒介公告。</w:t>
      </w:r>
    </w:p>
    <w:p w14:paraId="1A500A62" w14:textId="77777777" w:rsidR="009D10D8" w:rsidRDefault="009E4577">
      <w:pPr>
        <w:autoSpaceDE w:val="0"/>
        <w:autoSpaceDN w:val="0"/>
        <w:spacing w:line="360" w:lineRule="auto"/>
        <w:ind w:firstLineChars="200" w:firstLine="480"/>
        <w:textAlignment w:val="bottom"/>
        <w:rPr>
          <w:bCs/>
          <w:sz w:val="24"/>
        </w:rPr>
      </w:pPr>
      <w:r>
        <w:rPr>
          <w:bCs/>
          <w:sz w:val="24"/>
        </w:rPr>
        <w:t>二、《基金合同》的终止事由</w:t>
      </w:r>
    </w:p>
    <w:p w14:paraId="0BAB0980" w14:textId="77777777" w:rsidR="009D10D8" w:rsidRDefault="009E4577">
      <w:pPr>
        <w:autoSpaceDE w:val="0"/>
        <w:autoSpaceDN w:val="0"/>
        <w:spacing w:line="360" w:lineRule="auto"/>
        <w:ind w:firstLineChars="200" w:firstLine="480"/>
        <w:textAlignment w:val="bottom"/>
        <w:rPr>
          <w:bCs/>
          <w:sz w:val="24"/>
        </w:rPr>
      </w:pPr>
      <w:r>
        <w:rPr>
          <w:bCs/>
          <w:sz w:val="24"/>
        </w:rPr>
        <w:t>有下列情形之一的</w:t>
      </w:r>
      <w:r>
        <w:rPr>
          <w:rFonts w:hint="eastAsia"/>
          <w:bCs/>
          <w:sz w:val="24"/>
        </w:rPr>
        <w:t>，经履行相关程序后</w:t>
      </w:r>
      <w:r>
        <w:rPr>
          <w:bCs/>
          <w:sz w:val="24"/>
        </w:rPr>
        <w:t>，《基金合同》应当终止：</w:t>
      </w:r>
    </w:p>
    <w:p w14:paraId="3B983A4F" w14:textId="77777777" w:rsidR="009D10D8" w:rsidRDefault="009E4577">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5A01B520" w14:textId="77777777" w:rsidR="009D10D8" w:rsidRDefault="009E4577">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0E8E70F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14:paraId="099022C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7993C3FF" w14:textId="77777777" w:rsidR="009D10D8" w:rsidRDefault="009E4577">
      <w:pPr>
        <w:autoSpaceDE w:val="0"/>
        <w:autoSpaceDN w:val="0"/>
        <w:spacing w:line="360" w:lineRule="auto"/>
        <w:ind w:firstLineChars="200" w:firstLine="480"/>
        <w:textAlignment w:val="bottom"/>
        <w:rPr>
          <w:bCs/>
          <w:sz w:val="24"/>
        </w:rPr>
      </w:pPr>
      <w:r>
        <w:rPr>
          <w:bCs/>
          <w:sz w:val="24"/>
        </w:rPr>
        <w:t>三、基金财产的清算</w:t>
      </w:r>
    </w:p>
    <w:p w14:paraId="34D31050" w14:textId="77777777" w:rsidR="009D10D8" w:rsidRDefault="009E4577">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20259E83" w14:textId="77777777" w:rsidR="009D10D8" w:rsidRDefault="009E4577">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、基金财产清算小组组成：基金财产清算小组成员由基金管理人、基金托管人、具有证券</w:t>
      </w:r>
      <w:r>
        <w:rPr>
          <w:rFonts w:hint="eastAsia"/>
          <w:bCs/>
          <w:sz w:val="24"/>
        </w:rPr>
        <w:t>、期货</w:t>
      </w:r>
      <w:r>
        <w:rPr>
          <w:bCs/>
          <w:sz w:val="24"/>
        </w:rPr>
        <w:t>相关业务资格的注册会计师、律师以及中国证监会指定的人员组成。基金财产清算小组可以聘用必要的工作人员。</w:t>
      </w:r>
    </w:p>
    <w:p w14:paraId="5E3ECC13" w14:textId="77777777" w:rsidR="009D10D8" w:rsidRDefault="009E4577">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2A27CF7E" w14:textId="77777777" w:rsidR="009D10D8" w:rsidRDefault="009E4577">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544FDF67" w14:textId="77777777" w:rsidR="009D10D8" w:rsidRDefault="009E4577">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r>
        <w:rPr>
          <w:rFonts w:hint="eastAsia"/>
          <w:bCs/>
          <w:sz w:val="24"/>
        </w:rPr>
        <w:t>财产</w:t>
      </w:r>
      <w:r>
        <w:rPr>
          <w:bCs/>
          <w:sz w:val="24"/>
        </w:rPr>
        <w:t>；</w:t>
      </w:r>
    </w:p>
    <w:p w14:paraId="173A48F7" w14:textId="77777777" w:rsidR="009D10D8" w:rsidRDefault="009E4577">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320DD757" w14:textId="77777777" w:rsidR="009D10D8" w:rsidRDefault="009E4577">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580AF381" w14:textId="77777777" w:rsidR="009D10D8" w:rsidRDefault="009E4577">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14:paraId="372C7FF8" w14:textId="77777777" w:rsidR="009D10D8" w:rsidRDefault="009E4577">
      <w:pPr>
        <w:autoSpaceDE w:val="0"/>
        <w:autoSpaceDN w:val="0"/>
        <w:spacing w:line="360" w:lineRule="auto"/>
        <w:ind w:firstLineChars="200" w:firstLine="480"/>
        <w:textAlignment w:val="bottom"/>
        <w:rPr>
          <w:bCs/>
          <w:sz w:val="24"/>
        </w:rPr>
      </w:pPr>
      <w:r>
        <w:rPr>
          <w:bCs/>
          <w:sz w:val="24"/>
        </w:rPr>
        <w:lastRenderedPageBreak/>
        <w:t>（</w:t>
      </w:r>
      <w:r>
        <w:rPr>
          <w:bCs/>
          <w:sz w:val="24"/>
        </w:rPr>
        <w:t>5</w:t>
      </w:r>
      <w:r>
        <w:rPr>
          <w:bCs/>
          <w:sz w:val="24"/>
        </w:rPr>
        <w:t>）聘请会计师事务所对清算报告进行外部审计，聘请律师事务所对清算报告出具法律意见书；</w:t>
      </w:r>
    </w:p>
    <w:p w14:paraId="41361A58" w14:textId="77777777" w:rsidR="009D10D8" w:rsidRDefault="009E4577">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539D8639" w14:textId="77777777" w:rsidR="009D10D8" w:rsidRDefault="009E4577">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5D3313E5" w14:textId="77777777" w:rsidR="009D10D8" w:rsidRDefault="009E4577">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r>
        <w:rPr>
          <w:rFonts w:hint="eastAsia"/>
          <w:bCs/>
          <w:sz w:val="24"/>
        </w:rPr>
        <w:t>，但因本基金所持证券的流动性受到限制而不能及时变现的，清算期限相应顺延</w:t>
      </w:r>
      <w:r>
        <w:rPr>
          <w:bCs/>
          <w:sz w:val="24"/>
        </w:rPr>
        <w:t>。</w:t>
      </w:r>
    </w:p>
    <w:p w14:paraId="0B8F1435" w14:textId="77777777" w:rsidR="009D10D8" w:rsidRDefault="009E4577">
      <w:pPr>
        <w:autoSpaceDE w:val="0"/>
        <w:autoSpaceDN w:val="0"/>
        <w:spacing w:line="360" w:lineRule="auto"/>
        <w:ind w:firstLineChars="200" w:firstLine="480"/>
        <w:textAlignment w:val="bottom"/>
        <w:rPr>
          <w:bCs/>
          <w:sz w:val="24"/>
        </w:rPr>
      </w:pPr>
      <w:r>
        <w:rPr>
          <w:bCs/>
          <w:sz w:val="24"/>
        </w:rPr>
        <w:t>四、清算费用</w:t>
      </w:r>
    </w:p>
    <w:p w14:paraId="0B06EAD5" w14:textId="77777777" w:rsidR="009D10D8" w:rsidRDefault="009E4577">
      <w:pPr>
        <w:autoSpaceDE w:val="0"/>
        <w:autoSpaceDN w:val="0"/>
        <w:spacing w:line="360" w:lineRule="auto"/>
        <w:ind w:firstLineChars="200" w:firstLine="480"/>
        <w:textAlignment w:val="bottom"/>
        <w:rPr>
          <w:bCs/>
          <w:sz w:val="24"/>
        </w:rPr>
      </w:pPr>
      <w:r>
        <w:rPr>
          <w:bCs/>
          <w:sz w:val="24"/>
        </w:rPr>
        <w:t>清算费用是指基金财产清算小组在进行基金</w:t>
      </w:r>
      <w:r>
        <w:rPr>
          <w:rFonts w:hint="eastAsia"/>
          <w:bCs/>
          <w:sz w:val="24"/>
        </w:rPr>
        <w:t>财产</w:t>
      </w:r>
      <w:r>
        <w:rPr>
          <w:bCs/>
          <w:sz w:val="24"/>
        </w:rPr>
        <w:t>清算过程中发生的所有合理费用，清算费用由基金财产清算小组优先从基金</w:t>
      </w:r>
      <w:r>
        <w:rPr>
          <w:rFonts w:hint="eastAsia"/>
          <w:bCs/>
          <w:sz w:val="24"/>
        </w:rPr>
        <w:t>剩余</w:t>
      </w:r>
      <w:r>
        <w:rPr>
          <w:bCs/>
          <w:sz w:val="24"/>
        </w:rPr>
        <w:t>财产中支付。</w:t>
      </w:r>
    </w:p>
    <w:p w14:paraId="236B9BFD" w14:textId="77777777" w:rsidR="009D10D8" w:rsidRDefault="009E4577">
      <w:pPr>
        <w:autoSpaceDE w:val="0"/>
        <w:autoSpaceDN w:val="0"/>
        <w:spacing w:line="360" w:lineRule="auto"/>
        <w:ind w:firstLineChars="200" w:firstLine="480"/>
        <w:textAlignment w:val="bottom"/>
        <w:rPr>
          <w:bCs/>
          <w:sz w:val="24"/>
        </w:rPr>
      </w:pPr>
      <w:r>
        <w:rPr>
          <w:bCs/>
          <w:sz w:val="24"/>
        </w:rPr>
        <w:t>五、基金财产清算剩余资产的分配</w:t>
      </w:r>
    </w:p>
    <w:p w14:paraId="724BEBA2" w14:textId="77777777" w:rsidR="009D10D8" w:rsidRDefault="009E4577">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659BA4EE" w14:textId="77777777" w:rsidR="009D10D8" w:rsidRDefault="009E4577">
      <w:pPr>
        <w:autoSpaceDE w:val="0"/>
        <w:autoSpaceDN w:val="0"/>
        <w:spacing w:line="360" w:lineRule="auto"/>
        <w:ind w:firstLineChars="200" w:firstLine="480"/>
        <w:textAlignment w:val="bottom"/>
        <w:rPr>
          <w:bCs/>
          <w:sz w:val="24"/>
        </w:rPr>
      </w:pPr>
      <w:r>
        <w:rPr>
          <w:bCs/>
          <w:sz w:val="24"/>
        </w:rPr>
        <w:t>六、基金财产清算的公告</w:t>
      </w:r>
    </w:p>
    <w:p w14:paraId="1F131AB3" w14:textId="77777777" w:rsidR="009D10D8" w:rsidRDefault="009E4577">
      <w:pPr>
        <w:autoSpaceDE w:val="0"/>
        <w:autoSpaceDN w:val="0"/>
        <w:spacing w:line="360" w:lineRule="auto"/>
        <w:ind w:firstLineChars="200" w:firstLine="480"/>
        <w:textAlignment w:val="bottom"/>
        <w:rPr>
          <w:bCs/>
          <w:sz w:val="24"/>
        </w:rPr>
      </w:pPr>
      <w:r>
        <w:rPr>
          <w:bCs/>
          <w:sz w:val="24"/>
        </w:rPr>
        <w:t>清算过程中的有关重大事项须及时公告；基金财产清算报告</w:t>
      </w:r>
      <w:proofErr w:type="gramStart"/>
      <w:r>
        <w:rPr>
          <w:bCs/>
          <w:sz w:val="24"/>
        </w:rPr>
        <w:t>经</w:t>
      </w:r>
      <w:r>
        <w:rPr>
          <w:rFonts w:hint="eastAsia"/>
          <w:bCs/>
          <w:sz w:val="24"/>
        </w:rPr>
        <w:t>符合</w:t>
      </w:r>
      <w:proofErr w:type="gramEnd"/>
      <w:r>
        <w:rPr>
          <w:rFonts w:hint="eastAsia"/>
          <w:bCs/>
          <w:sz w:val="24"/>
        </w:rPr>
        <w:t>《中华人民共和国证券法》规定的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Pr>
          <w:rFonts w:hint="eastAsia"/>
          <w:bCs/>
          <w:sz w:val="24"/>
        </w:rPr>
        <w:t>，基金财产清算小组应当将清算报告登载在规定网站上，并将清算报告提示性公告登载在规定报刊上</w:t>
      </w:r>
      <w:r>
        <w:rPr>
          <w:bCs/>
          <w:sz w:val="24"/>
        </w:rPr>
        <w:t>。</w:t>
      </w:r>
    </w:p>
    <w:p w14:paraId="3AF40F82" w14:textId="77777777" w:rsidR="009D10D8" w:rsidRDefault="009E4577">
      <w:pPr>
        <w:autoSpaceDE w:val="0"/>
        <w:autoSpaceDN w:val="0"/>
        <w:spacing w:line="360" w:lineRule="auto"/>
        <w:ind w:firstLineChars="200" w:firstLine="480"/>
        <w:textAlignment w:val="bottom"/>
        <w:rPr>
          <w:bCs/>
          <w:sz w:val="24"/>
        </w:rPr>
      </w:pPr>
      <w:r>
        <w:rPr>
          <w:bCs/>
          <w:sz w:val="24"/>
        </w:rPr>
        <w:t>七、基金财产清算账册及文件的保存</w:t>
      </w:r>
    </w:p>
    <w:p w14:paraId="4003B6D5"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bCs/>
          <w:sz w:val="24"/>
        </w:rPr>
        <w:t>基金财产清算账册及有关文件由基金托管人保存</w:t>
      </w:r>
      <w:r>
        <w:rPr>
          <w:rFonts w:hint="eastAsia"/>
          <w:bCs/>
          <w:sz w:val="24"/>
        </w:rPr>
        <w:t>不低于法律法规规定的最低期限</w:t>
      </w:r>
      <w:r>
        <w:rPr>
          <w:rFonts w:asciiTheme="minorEastAsia" w:hAnsiTheme="minorEastAsia" w:cs="Times New Roman" w:hint="eastAsia"/>
          <w:sz w:val="24"/>
          <w:szCs w:val="24"/>
        </w:rPr>
        <w:t>。</w:t>
      </w:r>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p>
    <w:p w14:paraId="1707FCB6" w14:textId="77777777" w:rsidR="009D10D8" w:rsidRDefault="009D10D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9D10D8">
          <w:footerReference w:type="default" r:id="rId24"/>
          <w:pgSz w:w="11906" w:h="16838"/>
          <w:pgMar w:top="1440" w:right="1800" w:bottom="1440" w:left="1800" w:header="851" w:footer="992" w:gutter="0"/>
          <w:pgNumType w:chapStyle="1"/>
          <w:cols w:space="720"/>
          <w:docGrid w:type="lines" w:linePitch="312"/>
        </w:sectPr>
      </w:pPr>
      <w:bookmarkStart w:id="349" w:name="_Toc214873607"/>
      <w:bookmarkStart w:id="350" w:name="_Toc263092326"/>
      <w:bookmarkStart w:id="351" w:name="_Toc416264553"/>
      <w:bookmarkStart w:id="352" w:name="_Toc25647"/>
      <w:bookmarkStart w:id="353" w:name="_Toc98560364"/>
      <w:bookmarkStart w:id="354" w:name="_Toc6237"/>
      <w:bookmarkStart w:id="355" w:name="_Toc22978"/>
      <w:bookmarkStart w:id="356" w:name="_Toc7170"/>
      <w:bookmarkStart w:id="357" w:name="_Toc123051465"/>
      <w:bookmarkStart w:id="358" w:name="_Toc352229765"/>
      <w:bookmarkStart w:id="359" w:name="_Toc9005"/>
      <w:bookmarkStart w:id="360" w:name="_Toc11113"/>
      <w:bookmarkStart w:id="361" w:name="_Toc123112247"/>
      <w:bookmarkStart w:id="362" w:name="_Toc123102466"/>
      <w:bookmarkStart w:id="363" w:name="_Toc8059"/>
      <w:bookmarkStart w:id="364" w:name="_Toc139991749"/>
      <w:bookmarkStart w:id="365" w:name="_Toc10006"/>
      <w:bookmarkStart w:id="366" w:name="_Toc29891"/>
      <w:bookmarkStart w:id="367" w:name="_Toc27464"/>
      <w:bookmarkStart w:id="368" w:name="_Toc8049"/>
      <w:bookmarkStart w:id="369" w:name="_Toc141703899"/>
    </w:p>
    <w:p w14:paraId="28768C43" w14:textId="77777777" w:rsidR="009D10D8" w:rsidRDefault="009E4577">
      <w:pPr>
        <w:pStyle w:val="1"/>
        <w:jc w:val="center"/>
        <w:rPr>
          <w:sz w:val="30"/>
          <w:szCs w:val="30"/>
        </w:rPr>
      </w:pPr>
      <w:bookmarkStart w:id="370" w:name="_Toc173322795"/>
      <w:r>
        <w:rPr>
          <w:rFonts w:hint="eastAsia"/>
          <w:sz w:val="30"/>
          <w:szCs w:val="30"/>
        </w:rPr>
        <w:lastRenderedPageBreak/>
        <w:t>第十九部分</w:t>
      </w:r>
      <w:r>
        <w:rPr>
          <w:sz w:val="30"/>
          <w:szCs w:val="30"/>
        </w:rPr>
        <w:t xml:space="preserve">  </w:t>
      </w:r>
      <w:r>
        <w:rPr>
          <w:rFonts w:hint="eastAsia"/>
          <w:sz w:val="30"/>
          <w:szCs w:val="30"/>
        </w:rPr>
        <w:t>基金合同的内容摘要</w:t>
      </w:r>
      <w:bookmarkEnd w:id="349"/>
      <w:bookmarkEnd w:id="350"/>
      <w:bookmarkEnd w:id="351"/>
      <w:bookmarkEnd w:id="370"/>
    </w:p>
    <w:p w14:paraId="66EFBE61" w14:textId="77777777" w:rsidR="009D10D8" w:rsidRDefault="009E4577" w:rsidP="00212156">
      <w:pPr>
        <w:widowControl/>
        <w:spacing w:line="360" w:lineRule="auto"/>
        <w:ind w:firstLineChars="200" w:firstLine="480"/>
        <w:jc w:val="left"/>
        <w:outlineLvl w:val="1"/>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一、基金份额持有人、基金管理人和基金托管人的权利、义务</w:t>
      </w:r>
    </w:p>
    <w:p w14:paraId="1667797D"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1AAC799E"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1、根据《基金法》、《运作办法》及其他有关规定，基金管理人的权利包括但不限于：</w:t>
      </w:r>
    </w:p>
    <w:p w14:paraId="65C267A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（1）依法募集资金；</w:t>
      </w:r>
    </w:p>
    <w:p w14:paraId="6E0E856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14:paraId="3E2061D6"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14:paraId="7B56292D"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（4）销售基金份额；</w:t>
      </w:r>
    </w:p>
    <w:p w14:paraId="3376ACC4"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（5）按照规定召集基金份额持有人大会；</w:t>
      </w:r>
    </w:p>
    <w:p w14:paraId="6ACEBA2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17C7AFE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（7）在基金托管人更换时，提名新的基金托管人；</w:t>
      </w:r>
    </w:p>
    <w:p w14:paraId="62B2F23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14:paraId="06036A5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4C13928D"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14:paraId="25EA0A3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（11）在《基金合同》约定的范围内，拒绝或暂停受理申购、赎回或转换申请； </w:t>
      </w:r>
    </w:p>
    <w:p w14:paraId="1E975F9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14:paraId="3039E0E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（13）在法律法规允许的前提下，为基金的利益依法为基金进行融资；</w:t>
      </w:r>
    </w:p>
    <w:p w14:paraId="377572E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（14）以基金管理人的名义，代表基金份额持有人的利益行使诉讼权利或者实施其他法律行为；</w:t>
      </w:r>
      <w:r>
        <w:rPr>
          <w:rFonts w:asciiTheme="minorEastAsia" w:hAnsiTheme="minorEastAsia" w:cs="Times New Roman" w:hint="eastAsia"/>
          <w:bCs/>
          <w:sz w:val="24"/>
          <w:szCs w:val="24"/>
        </w:rPr>
        <w:tab/>
      </w:r>
    </w:p>
    <w:p w14:paraId="2FC5ED3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（15）选择、更换律师事务所、会计师事务所、证券/期货经纪商或其他为基金提供服务的外部机构；</w:t>
      </w:r>
      <w:r>
        <w:rPr>
          <w:rFonts w:asciiTheme="minorEastAsia" w:hAnsiTheme="minorEastAsia" w:cs="Times New Roman" w:hint="eastAsia"/>
          <w:bCs/>
          <w:sz w:val="24"/>
          <w:szCs w:val="24"/>
        </w:rPr>
        <w:tab/>
      </w:r>
    </w:p>
    <w:p w14:paraId="572A6D5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（16）在符合有关法律、法规的前提下，制订和调整有关基金认购、申购、赎回、转换、</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过户、转托管和收益分配等业务规则；</w:t>
      </w:r>
    </w:p>
    <w:p w14:paraId="11B2517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（17）法律法规及中国证监会规定的和《基金合同》约定的其他权利。</w:t>
      </w:r>
    </w:p>
    <w:p w14:paraId="00EC236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2、根据《基金法》、《运作办法》及其他有关规定，基金管理人的义务包括但不限于：</w:t>
      </w:r>
    </w:p>
    <w:p w14:paraId="7E17638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62526A4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（2）办理基金备案手续；</w:t>
      </w:r>
    </w:p>
    <w:p w14:paraId="0EC4977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14:paraId="26F2758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3E92E38E"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w:t>
      </w:r>
      <w:proofErr w:type="gramStart"/>
      <w:r>
        <w:rPr>
          <w:rFonts w:asciiTheme="minorEastAsia" w:hAnsiTheme="minorEastAsia" w:cs="Times New Roman" w:hint="eastAsia"/>
          <w:bCs/>
          <w:sz w:val="24"/>
          <w:szCs w:val="24"/>
        </w:rPr>
        <w:t>独立,</w:t>
      </w:r>
      <w:proofErr w:type="gramEnd"/>
      <w:r>
        <w:rPr>
          <w:rFonts w:asciiTheme="minorEastAsia" w:hAnsiTheme="minorEastAsia" w:cs="Times New Roman" w:hint="eastAsia"/>
          <w:bCs/>
          <w:sz w:val="24"/>
          <w:szCs w:val="24"/>
        </w:rPr>
        <w:t>对所管理的不同基金分别管理，分别记账，进行证券投资；</w:t>
      </w:r>
    </w:p>
    <w:p w14:paraId="2430849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45AA18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（7）依法接受基金托管人的监督；</w:t>
      </w:r>
    </w:p>
    <w:p w14:paraId="53F4166E"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（8）采取适当合理的措施使计算基金份额认购、申购、赎回和注销价格的方法符合《基金合同》等法律文件的规定，按有关规定计算并公告基金净值信息，确定基金份额申购、赎回的价格；</w:t>
      </w:r>
    </w:p>
    <w:p w14:paraId="560D57F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（9）进行基金会计核算并编制基金财务会计报告；</w:t>
      </w:r>
    </w:p>
    <w:p w14:paraId="58F5A9E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（10）编制季度报告、中期报告和年度报告；</w:t>
      </w:r>
    </w:p>
    <w:p w14:paraId="6383DBB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（11）严格按照《基金法》、《基金合同》及其他有关规定，履行信息披露及报告义务；</w:t>
      </w:r>
    </w:p>
    <w:p w14:paraId="549091F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w:t>
      </w:r>
      <w:r>
        <w:rPr>
          <w:rFonts w:asciiTheme="minorEastAsia" w:hAnsiTheme="minorEastAsia" w:cs="Times New Roman" w:hint="eastAsia"/>
          <w:bCs/>
          <w:sz w:val="24"/>
          <w:szCs w:val="24"/>
        </w:rPr>
        <w:lastRenderedPageBreak/>
        <w:t>向他人泄露，但依法向监管机构、司法机关及审计、法律等外部专业顾问提供的除外；</w:t>
      </w:r>
    </w:p>
    <w:p w14:paraId="493C50B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（13）按《基金合同》的约定确定基金收益分配方案，及时向基金份额持有人分配基金收益；</w:t>
      </w:r>
    </w:p>
    <w:p w14:paraId="29F1B88D"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（14）按规定受理申购与赎回申请，及时、足额支付赎回款项；</w:t>
      </w:r>
    </w:p>
    <w:p w14:paraId="3941CFE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2CD223EB" w14:textId="10A094A6"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（16）按规定保存基金财产管理业务活动的会计账册、报表、记录和其他相关资料</w:t>
      </w:r>
      <w:r w:rsidR="00D2224D" w:rsidRPr="00D2224D">
        <w:rPr>
          <w:rFonts w:asciiTheme="minorEastAsia" w:hAnsiTheme="minorEastAsia" w:cs="Times New Roman" w:hint="eastAsia"/>
          <w:bCs/>
          <w:sz w:val="24"/>
          <w:szCs w:val="24"/>
        </w:rPr>
        <w:t>不少于法定最低期限</w:t>
      </w:r>
      <w:r>
        <w:rPr>
          <w:rFonts w:asciiTheme="minorEastAsia" w:hAnsiTheme="minorEastAsia" w:cs="Times New Roman" w:hint="eastAsia"/>
          <w:bCs/>
          <w:sz w:val="24"/>
          <w:szCs w:val="24"/>
        </w:rPr>
        <w:t>；</w:t>
      </w:r>
    </w:p>
    <w:p w14:paraId="14B8B50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D05B266"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14:paraId="2E99B944"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14:paraId="5A6520B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74A61E5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23E60EF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14:paraId="4BD84E2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r>
        <w:rPr>
          <w:rFonts w:asciiTheme="minorEastAsia" w:hAnsiTheme="minorEastAsia" w:cs="Times New Roman" w:hint="eastAsia"/>
          <w:bCs/>
          <w:sz w:val="24"/>
          <w:szCs w:val="24"/>
        </w:rPr>
        <w:tab/>
      </w:r>
    </w:p>
    <w:p w14:paraId="443A174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（24）基金在募集期间未能达到基金的备案条件，《基金合同》不能生效，基金管理人承担全部募集费用，将已募集资金并加计银行同期活期存款利息在基金募集期结束后30日内退还基金认购人；</w:t>
      </w:r>
    </w:p>
    <w:p w14:paraId="039B45ED"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（25）执行生效的基金份额持有人大会的决议；</w:t>
      </w:r>
    </w:p>
    <w:p w14:paraId="76D64DBE"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（26）建立并保存基金份额持有人名册；</w:t>
      </w:r>
    </w:p>
    <w:p w14:paraId="1671582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（27）法律法规及中国证监会规定的和《基金合同》约定的其他义务。</w:t>
      </w:r>
    </w:p>
    <w:p w14:paraId="154F99D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w:t>
      </w:r>
      <w:r>
        <w:rPr>
          <w:rFonts w:asciiTheme="minorEastAsia" w:hAnsiTheme="minorEastAsia" w:cs="Times New Roman" w:hint="eastAsia"/>
          <w:bCs/>
          <w:sz w:val="24"/>
          <w:szCs w:val="24"/>
        </w:rPr>
        <w:tab/>
        <w:t>基金托管人的权利与义务</w:t>
      </w:r>
    </w:p>
    <w:p w14:paraId="29CCFC56"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1、根据《基金法》、《运作办法》及其他有关规定，基金托管人的权利包括但不限于：</w:t>
      </w:r>
    </w:p>
    <w:p w14:paraId="37F92A1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（1）自《基金合同》生效之日起，依法</w:t>
      </w:r>
      <w:proofErr w:type="gramStart"/>
      <w:r>
        <w:rPr>
          <w:rFonts w:asciiTheme="minorEastAsia" w:hAnsiTheme="minorEastAsia" w:cs="Times New Roman" w:hint="eastAsia"/>
          <w:bCs/>
          <w:sz w:val="24"/>
          <w:szCs w:val="24"/>
        </w:rPr>
        <w:t>律法规</w:t>
      </w:r>
      <w:proofErr w:type="gramEnd"/>
      <w:r>
        <w:rPr>
          <w:rFonts w:asciiTheme="minorEastAsia" w:hAnsiTheme="minorEastAsia" w:cs="Times New Roman" w:hint="eastAsia"/>
          <w:bCs/>
          <w:sz w:val="24"/>
          <w:szCs w:val="24"/>
        </w:rPr>
        <w:t>和《基金合同》的规定安全保管基金财产；</w:t>
      </w:r>
    </w:p>
    <w:p w14:paraId="6CCF71D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14:paraId="6D4F30A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2095D2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（4）根据相关市场规则，为基金开设证券账户及其他投资所需账户，为基金办理证券交易资金清算；</w:t>
      </w:r>
    </w:p>
    <w:p w14:paraId="0C47010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（5）提议召开或召集基金份额持有人大会；</w:t>
      </w:r>
    </w:p>
    <w:p w14:paraId="1AFF1FF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（6）在基金管理人更换时，提名新的基金管理人；</w:t>
      </w:r>
    </w:p>
    <w:p w14:paraId="4879357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（7）法律法规及中国证监会规定的和《基金合同》约定的其他权利。</w:t>
      </w:r>
    </w:p>
    <w:p w14:paraId="6D04288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2、根据《基金法》、《运作办法》及其他有关规定，基金托管人的义务包括但不限于：</w:t>
      </w:r>
    </w:p>
    <w:p w14:paraId="5393EC9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（1）以诚实信用、勤勉尽责的原则持有并安全保管基金财产；</w:t>
      </w:r>
    </w:p>
    <w:p w14:paraId="6CE8D23E"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3AD68FD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54599DC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（4）除依据《基金法》、《基金合同》、《托管协议》及其他有关规定外，不得利用基金财产为自己及任何第三人谋取利益，不得委托第三人托管基金财产；</w:t>
      </w:r>
    </w:p>
    <w:p w14:paraId="0D0781C4"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（5）保管由基金管理人代表基金签订的与基金有关的重大合同及有关凭证；</w:t>
      </w:r>
    </w:p>
    <w:p w14:paraId="7409E9D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（6）按规定开设基金财产的资金账户、证券账户、期货账户等投资所需账户，按照《基金合同》、《托管协议》的约定，根据基金管理人的投资指令，及时办理清算、交割事宜；</w:t>
      </w:r>
    </w:p>
    <w:p w14:paraId="3B5C81F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保守基金商业秘密，除《基金法》、《基金合同》、《托管协议》及其他有关规定另有规定外，在基金信息公开披露前予以保密，不得向他人泄露，但依法向监管机构、司法机关及审计、法律等外部专业顾问提供的除外；</w:t>
      </w:r>
    </w:p>
    <w:p w14:paraId="66F2EF04"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（8）复核、审查基金管理人计算的基金资产净值、各类基金份额净值、基金份额申购、赎回价格；</w:t>
      </w:r>
    </w:p>
    <w:p w14:paraId="10C86A3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（9）办理与基金托管业务活动有关的信息披露事项；</w:t>
      </w:r>
    </w:p>
    <w:p w14:paraId="739E5EF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1DAE3E64"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（11）保存基金托管业务活动的记录、账册、报表和其他相关资料不低于法律法规规定的最低期限；</w:t>
      </w:r>
    </w:p>
    <w:p w14:paraId="409C443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（12）从基金管理人或其委托的登记机构处接收并保存基金份额持有人名册；</w:t>
      </w:r>
    </w:p>
    <w:p w14:paraId="45F0D8AD"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（13）按规定制作相关账册并与基金管理人核对；</w:t>
      </w:r>
    </w:p>
    <w:p w14:paraId="43B54CA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14:paraId="1D495F8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22E3A4B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（16）按照法律法规和《基金合同》及《托管协议》的规定监督基金管理人的投资运作；</w:t>
      </w:r>
    </w:p>
    <w:p w14:paraId="12333AC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（17）参加基金财产清算小组，参与基金财产的保管、清理、估价、变现和分配；</w:t>
      </w:r>
    </w:p>
    <w:p w14:paraId="5261C70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0C1CDA8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（19）因违反《基金合同》及《托管协议》导致基金财产损失时，应承担赔偿责任，其赔偿责任不因其退任而免除；</w:t>
      </w:r>
    </w:p>
    <w:p w14:paraId="49F8C42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（20）按规定监督基金管理人按法律法规和《基金合同》规定履行自己的义务，基金管理人因违反《基金合同》造成基金财产损失时，应为基金份额持有人利益向基金管理人追偿；</w:t>
      </w:r>
    </w:p>
    <w:p w14:paraId="678A458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（21）执行生效的基金份额持有人大会的决议；</w:t>
      </w:r>
    </w:p>
    <w:p w14:paraId="3E9AA78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（22）法律法规及中国证监会规定的和《基金合同》约定的其他义务。</w:t>
      </w:r>
    </w:p>
    <w:p w14:paraId="4E19010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（三）基金份额持有人的权利和义务</w:t>
      </w:r>
    </w:p>
    <w:p w14:paraId="3049BC2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基金投资者持有本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份额的行为即视为对《基金合同》的承认和接受，基金投资者</w:t>
      </w:r>
      <w:proofErr w:type="gramStart"/>
      <w:r>
        <w:rPr>
          <w:rFonts w:asciiTheme="minorEastAsia" w:hAnsiTheme="minorEastAsia" w:cs="Times New Roman" w:hint="eastAsia"/>
          <w:bCs/>
          <w:sz w:val="24"/>
          <w:szCs w:val="24"/>
        </w:rPr>
        <w:t>自依据</w:t>
      </w:r>
      <w:proofErr w:type="gramEnd"/>
      <w:r>
        <w:rPr>
          <w:rFonts w:asciiTheme="minorEastAsia" w:hAnsiTheme="minorEastAsia" w:cs="Times New Roman" w:hint="eastAsia"/>
          <w:bCs/>
          <w:sz w:val="24"/>
          <w:szCs w:val="24"/>
        </w:rPr>
        <w:t>《基金合同》取得基金份额，即成为本基金的基金份额持有人和《基金合同》的当事人，直至其不再持有本基金的基金份额。基金份额持有人作为《基金合同》当事人并不以在《基金合同》上书面签章或签字为必要条件。</w:t>
      </w:r>
    </w:p>
    <w:p w14:paraId="17C487CE"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同一类别每份基金份额具有同等的合法权益。</w:t>
      </w:r>
    </w:p>
    <w:p w14:paraId="699A969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14:paraId="6A8F235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（1）分享基金财产收益；</w:t>
      </w:r>
    </w:p>
    <w:p w14:paraId="104CE68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（2）参与分配清算后的剩余基金财产；</w:t>
      </w:r>
    </w:p>
    <w:p w14:paraId="71349BE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（3）依照法律及基金合同的约定转让或者申请赎回其持有的基金份额；</w:t>
      </w:r>
    </w:p>
    <w:p w14:paraId="0A4E35CE"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（4）按照规定要求召开基金份额持有人大会或者召集基金份额持有人大会；</w:t>
      </w:r>
    </w:p>
    <w:p w14:paraId="7572D28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14:paraId="5104B70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（6）查阅或者复制公开披露的基金信息资料；</w:t>
      </w:r>
    </w:p>
    <w:p w14:paraId="3CEE63C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（7）监督基金管理人的投资运作；</w:t>
      </w:r>
    </w:p>
    <w:p w14:paraId="2076BA2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（8）对基金管理人、基金托管人、基金服务机构损害其合法权益的行为依法提起诉讼或仲裁；</w:t>
      </w:r>
    </w:p>
    <w:p w14:paraId="05CF995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（9）法律法规及中国证监会规定的和《基金合同》约定的其他权利。</w:t>
      </w:r>
    </w:p>
    <w:p w14:paraId="0839B90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14:paraId="297B2984"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（1）认真阅读并遵守《基金合同》、招募说明书等信息披露文件；</w:t>
      </w:r>
    </w:p>
    <w:p w14:paraId="74F471B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60BC2FC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（3）关注基金信息披露，及时行使权利和履行义务；</w:t>
      </w:r>
    </w:p>
    <w:p w14:paraId="2E81060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（4）交纳基金认购、申购款项及法律法规和《基金合同》所规定的费用；</w:t>
      </w:r>
    </w:p>
    <w:p w14:paraId="26D24C76"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（5）在其持有的基金份额范围内，承担基金亏损或者《基金合同》终止的有限责任；</w:t>
      </w:r>
    </w:p>
    <w:p w14:paraId="6CCC0AA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（6）不从事任何有损基金及其他《基金合同》当事人合法权益的活动；</w:t>
      </w:r>
    </w:p>
    <w:p w14:paraId="6AC0B26E"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（7）执行生效的基金份额持有人大会的决议；</w:t>
      </w:r>
    </w:p>
    <w:p w14:paraId="7D8A0E2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（8）返还在基金交易过程中因任何原因获得的不当得利；</w:t>
      </w:r>
    </w:p>
    <w:p w14:paraId="344F145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（9）法律法规及中国证监会规定的和《基金合同》约定的其他义务。</w:t>
      </w:r>
    </w:p>
    <w:p w14:paraId="58CB28FD" w14:textId="77777777" w:rsidR="009D10D8" w:rsidRDefault="009E4577" w:rsidP="00212156">
      <w:pPr>
        <w:widowControl/>
        <w:spacing w:line="360" w:lineRule="auto"/>
        <w:ind w:firstLineChars="200" w:firstLine="480"/>
        <w:jc w:val="left"/>
        <w:outlineLvl w:val="1"/>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二、基金份额持有人大会召集、议事及表决的程序和规则</w:t>
      </w:r>
    </w:p>
    <w:p w14:paraId="04F0494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11D19635" w14:textId="7B73602B" w:rsidR="0030641D" w:rsidRDefault="0030641D">
      <w:pPr>
        <w:widowControl/>
        <w:spacing w:line="360" w:lineRule="auto"/>
        <w:ind w:firstLineChars="200" w:firstLine="480"/>
        <w:jc w:val="left"/>
        <w:rPr>
          <w:rFonts w:asciiTheme="minorEastAsia" w:hAnsiTheme="minorEastAsia" w:cs="Times New Roman" w:hint="eastAsia"/>
          <w:bCs/>
          <w:sz w:val="24"/>
          <w:szCs w:val="24"/>
        </w:rPr>
      </w:pPr>
      <w:r w:rsidRPr="0030641D">
        <w:rPr>
          <w:rFonts w:asciiTheme="minorEastAsia" w:hAnsiTheme="minorEastAsia" w:cs="Times New Roman" w:hint="eastAsia"/>
          <w:bCs/>
          <w:sz w:val="24"/>
          <w:szCs w:val="24"/>
        </w:rPr>
        <w:t>本基金未设立基金份额持有人大会的日常机构，如今后设立基金份额持有人大会的日常机构，按照相关法律法规的要求执行</w:t>
      </w:r>
      <w:r>
        <w:rPr>
          <w:rFonts w:asciiTheme="minorEastAsia" w:hAnsiTheme="minorEastAsia" w:cs="Times New Roman" w:hint="eastAsia"/>
          <w:bCs/>
          <w:sz w:val="24"/>
          <w:szCs w:val="24"/>
        </w:rPr>
        <w:t>。</w:t>
      </w:r>
    </w:p>
    <w:p w14:paraId="2B99203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（一）召开事由</w:t>
      </w:r>
    </w:p>
    <w:p w14:paraId="2C765FA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1、当出现或需要决定下列事由之一的，应当召开基金份额持有人大会，法律法规或中国证监会另有规定或基金合同另有约定的除外：</w:t>
      </w:r>
    </w:p>
    <w:p w14:paraId="5440A34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（1）终止基金合同；</w:t>
      </w:r>
    </w:p>
    <w:p w14:paraId="4EC475D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（2）更换基金管理人；</w:t>
      </w:r>
    </w:p>
    <w:p w14:paraId="61E9A8E6"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（3）更换基金托管人；</w:t>
      </w:r>
    </w:p>
    <w:p w14:paraId="5C0159B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（4）转换基金运作方式；</w:t>
      </w:r>
    </w:p>
    <w:p w14:paraId="3ADAC8D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（5）调整基金管理人、基金托管人的报酬标准或提高销售服务费；</w:t>
      </w:r>
    </w:p>
    <w:p w14:paraId="7657F5B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（6）变更基金类别；</w:t>
      </w:r>
    </w:p>
    <w:p w14:paraId="277B236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（7）本基金与其他基金的合并；</w:t>
      </w:r>
    </w:p>
    <w:p w14:paraId="3A094AA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（8）变更基金投资目标、范围或策略；</w:t>
      </w:r>
    </w:p>
    <w:p w14:paraId="1180EF2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（9）变更基金份额持有人大会程序；</w:t>
      </w:r>
    </w:p>
    <w:p w14:paraId="1A62D3B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（10）基金管理人或基金托管人要求召开基金份额持有人大会；</w:t>
      </w:r>
    </w:p>
    <w:p w14:paraId="5C61616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（11）单独或合计持有本基金总份额10%以上（含10%）基金份额的基金份额持有人（以基金管理人收到提议当日的基金份额计算，下同）就同一事项书面要求召开基金份额持有人大会；</w:t>
      </w:r>
    </w:p>
    <w:p w14:paraId="1EE1CC2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（12）对基金合同当事人权利和义务产生重大影响的其他事项；</w:t>
      </w:r>
    </w:p>
    <w:p w14:paraId="576124E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14:paraId="44D1384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2969333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（1）法律法规要求增加的基金费用的收取；</w:t>
      </w:r>
    </w:p>
    <w:p w14:paraId="43DEB7F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（2）调整本基金的申购费率、调低赎回费率或销售服务费率；</w:t>
      </w:r>
    </w:p>
    <w:p w14:paraId="5245848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w:t>
      </w:r>
      <w:proofErr w:type="gramStart"/>
      <w:r>
        <w:rPr>
          <w:rFonts w:asciiTheme="minorEastAsia" w:hAnsiTheme="minorEastAsia" w:cs="Times New Roman" w:hint="eastAsia"/>
          <w:bCs/>
          <w:sz w:val="24"/>
          <w:szCs w:val="24"/>
        </w:rPr>
        <w:t>因相应</w:t>
      </w:r>
      <w:proofErr w:type="gramEnd"/>
      <w:r>
        <w:rPr>
          <w:rFonts w:asciiTheme="minorEastAsia" w:hAnsiTheme="minorEastAsia" w:cs="Times New Roman" w:hint="eastAsia"/>
          <w:bCs/>
          <w:sz w:val="24"/>
          <w:szCs w:val="24"/>
        </w:rPr>
        <w:t>的法律法规发生变动而应当对《基金合同》进行修改；</w:t>
      </w:r>
    </w:p>
    <w:p w14:paraId="4FF9450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（4）对《基金合同》的修改对基金份额持有人利益无实质性不利影响或修改不涉及《基金合同》当事人权利义务关系发生重大变化；</w:t>
      </w:r>
    </w:p>
    <w:p w14:paraId="28D9A9D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（5）增加新的基金份额类别、调整现有基金份额类别的费率或者停止现有基金份额类别的销售等，或对基金份额分类办法及规则进行调整；</w:t>
      </w:r>
    </w:p>
    <w:p w14:paraId="41552220" w14:textId="242A8D33"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（6）基金管理人、销售机构、登记机构调整有关基金认购、申购、赎回、转换、</w:t>
      </w:r>
      <w:r w:rsidR="0030641D" w:rsidRPr="0030641D">
        <w:rPr>
          <w:rFonts w:asciiTheme="minorEastAsia" w:hAnsiTheme="minorEastAsia" w:cs="Times New Roman" w:hint="eastAsia"/>
          <w:bCs/>
          <w:sz w:val="24"/>
          <w:szCs w:val="24"/>
        </w:rPr>
        <w:t>基金交易、</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过户、转托管等业务的规则；</w:t>
      </w:r>
    </w:p>
    <w:p w14:paraId="7A0B05F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（7）推出新业务或服务；</w:t>
      </w:r>
    </w:p>
    <w:p w14:paraId="13F15EA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（8）按照法律法规和《基金合同》规定不需召开基金份额持有人大会的其他情形。</w:t>
      </w:r>
    </w:p>
    <w:p w14:paraId="2DC8F8D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（二）会议召集人及召集方式</w:t>
      </w:r>
    </w:p>
    <w:p w14:paraId="1200527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14:paraId="31675AD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2、基金管理人未按规定召集或不能召集时，由基金托管人召集；</w:t>
      </w:r>
    </w:p>
    <w:p w14:paraId="6514E73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w:t>
      </w:r>
      <w:r>
        <w:rPr>
          <w:rFonts w:asciiTheme="minorEastAsia" w:hAnsiTheme="minorEastAsia" w:cs="Times New Roman" w:hint="eastAsia"/>
          <w:bCs/>
          <w:sz w:val="24"/>
          <w:szCs w:val="24"/>
        </w:rPr>
        <w:lastRenderedPageBreak/>
        <w:t>由基金托管人自行召集，并自出具书面决定之日起60日内召开并告知基金管理人，基金管理人应当配合；</w:t>
      </w:r>
    </w:p>
    <w:p w14:paraId="6DF7CFA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 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56E6E26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7287AED4"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6、基金份额持有人会议的召集人负责选择确定开会时间、地点、方式和权益登记日。</w:t>
      </w:r>
    </w:p>
    <w:p w14:paraId="5A4AE41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（三）召开基金份额持有人大会的通知时间、通知内容、通知方式</w:t>
      </w:r>
    </w:p>
    <w:p w14:paraId="061C2D2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1、召开基金份额持有人大会，召集人应于会议召开前30日，在</w:t>
      </w:r>
      <w:r>
        <w:rPr>
          <w:rFonts w:asciiTheme="minorEastAsia" w:hAnsiTheme="minorEastAsia" w:cs="Times New Roman" w:hint="eastAsia"/>
          <w:sz w:val="24"/>
          <w:szCs w:val="24"/>
        </w:rPr>
        <w:t>规定</w:t>
      </w:r>
      <w:r>
        <w:rPr>
          <w:rFonts w:asciiTheme="minorEastAsia" w:hAnsiTheme="minorEastAsia" w:cs="Times New Roman" w:hint="eastAsia"/>
          <w:bCs/>
          <w:sz w:val="24"/>
          <w:szCs w:val="24"/>
        </w:rPr>
        <w:t>报刊和</w:t>
      </w:r>
      <w:r>
        <w:rPr>
          <w:rFonts w:asciiTheme="minorEastAsia" w:hAnsiTheme="minorEastAsia" w:cs="Times New Roman" w:hint="eastAsia"/>
          <w:sz w:val="24"/>
          <w:szCs w:val="24"/>
        </w:rPr>
        <w:t>规定</w:t>
      </w:r>
      <w:r>
        <w:rPr>
          <w:rFonts w:asciiTheme="minorEastAsia" w:hAnsiTheme="minorEastAsia" w:cs="Times New Roman" w:hint="eastAsia"/>
          <w:bCs/>
          <w:sz w:val="24"/>
          <w:szCs w:val="24"/>
        </w:rPr>
        <w:t>网站上公告。基金份额持有人大会通知应至少载明以下内容：</w:t>
      </w:r>
    </w:p>
    <w:p w14:paraId="01FC136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（1）会议召开的时间、地点和会议形式；</w:t>
      </w:r>
    </w:p>
    <w:p w14:paraId="3E7FE8D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（2）会议</w:t>
      </w:r>
      <w:proofErr w:type="gramStart"/>
      <w:r>
        <w:rPr>
          <w:rFonts w:asciiTheme="minorEastAsia" w:hAnsiTheme="minorEastAsia" w:cs="Times New Roman" w:hint="eastAsia"/>
          <w:bCs/>
          <w:sz w:val="24"/>
          <w:szCs w:val="24"/>
        </w:rPr>
        <w:t>拟审议</w:t>
      </w:r>
      <w:proofErr w:type="gramEnd"/>
      <w:r>
        <w:rPr>
          <w:rFonts w:asciiTheme="minorEastAsia" w:hAnsiTheme="minorEastAsia" w:cs="Times New Roman" w:hint="eastAsia"/>
          <w:bCs/>
          <w:sz w:val="24"/>
          <w:szCs w:val="24"/>
        </w:rPr>
        <w:t>的事项、议事程序和表决方式；</w:t>
      </w:r>
    </w:p>
    <w:p w14:paraId="4C139ACE"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（3）有权出席基金份额持有人大会的基金份额持有人的权益登记日；</w:t>
      </w:r>
    </w:p>
    <w:p w14:paraId="2726AB8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（4）授权委托证明的内容要求（包括但不限于代理人身份，代理权限和代理有效期限等）、送达时间和地点；</w:t>
      </w:r>
    </w:p>
    <w:p w14:paraId="118E1F1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（5）会务常设联系人姓名及联系电话；</w:t>
      </w:r>
    </w:p>
    <w:p w14:paraId="144BD48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（6）出席会议者必须准备的文件和必须履行的手续；</w:t>
      </w:r>
    </w:p>
    <w:p w14:paraId="3C242B36"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（7）召集人需要通知的其他事项。</w:t>
      </w:r>
    </w:p>
    <w:p w14:paraId="529A81F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0C79E324"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Theme="minorEastAsia" w:hAnsiTheme="minorEastAsia" w:cs="Times New Roman" w:hint="eastAsia"/>
          <w:bCs/>
          <w:sz w:val="24"/>
          <w:szCs w:val="24"/>
        </w:rPr>
        <w:t>拒不派</w:t>
      </w:r>
      <w:proofErr w:type="gramEnd"/>
      <w:r>
        <w:rPr>
          <w:rFonts w:asciiTheme="minorEastAsia" w:hAnsiTheme="minorEastAsia" w:cs="Times New Roman" w:hint="eastAsia"/>
          <w:bCs/>
          <w:sz w:val="24"/>
          <w:szCs w:val="24"/>
        </w:rPr>
        <w:t>代表对书面表决意见的计票进行监督的，不影响表决意见的计票效力。</w:t>
      </w:r>
    </w:p>
    <w:p w14:paraId="3B0B84D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（四）基金份额持有人出席会议的方式</w:t>
      </w:r>
    </w:p>
    <w:p w14:paraId="43F3FEC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0280F30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27F72C6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06E55DD"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w:t>
      </w:r>
    </w:p>
    <w:p w14:paraId="33E0DAD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54388F5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通讯开会。通讯开会系指基金份额持有人将其对表决事项的投票以书面形式或基金合同约定的其他方式在表决截止日以前送达至召集人指定的地址。通讯开会应以书面方式或基金合同约定的其他方式进行表决。</w:t>
      </w:r>
    </w:p>
    <w:p w14:paraId="18DF2A7D"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在同时符合以下条件时，通讯开会的方式视为有效：</w:t>
      </w:r>
    </w:p>
    <w:p w14:paraId="446DADE4"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14:paraId="3EB4CB4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38E87A7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（3）本人直接出具书面意见或授权他人代表出具书面意见的，基金份额持有人所持有的基金份额不小于在权益登记日基金总份额的二分之一（含二分之一）；</w:t>
      </w:r>
    </w:p>
    <w:p w14:paraId="49AF7FE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若本人直接出具书面意见或授权他人代表出具书面意见的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以上（含三分之一）基金份额的持有人直接出具书面意见或授权他人代表出具书面意见；</w:t>
      </w:r>
    </w:p>
    <w:p w14:paraId="6CCB664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上述第（3）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521EF6E6"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08F2B864"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4、在会议召开方式上，本基金亦可采用其他非现场方式或者以现场方式与非现场方式相结合的方式召开基金份额持有人大会，会议程序比照现场开会和通讯方式开会的程序进行。</w:t>
      </w:r>
    </w:p>
    <w:p w14:paraId="629877D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（五）议事内容与程序</w:t>
      </w:r>
    </w:p>
    <w:p w14:paraId="0E3A770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1、议事内容及提案权</w:t>
      </w:r>
    </w:p>
    <w:p w14:paraId="73F628E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458C176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2A6BDE5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基金份额持有人大会不得对未事先公告的议事内容进行表决。</w:t>
      </w:r>
    </w:p>
    <w:p w14:paraId="073E2B8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2、议事程序</w:t>
      </w:r>
    </w:p>
    <w:p w14:paraId="7718345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w:t>
      </w:r>
    </w:p>
    <w:p w14:paraId="769D52E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50%以上（含50%）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的决议的效力。</w:t>
      </w:r>
    </w:p>
    <w:p w14:paraId="0C81A16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会议召集人应当制作出席会议人员的签名册。签名</w:t>
      </w:r>
      <w:proofErr w:type="gramStart"/>
      <w:r>
        <w:rPr>
          <w:rFonts w:asciiTheme="minorEastAsia" w:hAnsiTheme="minorEastAsia" w:cs="Times New Roman" w:hint="eastAsia"/>
          <w:bCs/>
          <w:sz w:val="24"/>
          <w:szCs w:val="24"/>
        </w:rPr>
        <w:t>册</w:t>
      </w:r>
      <w:proofErr w:type="gramEnd"/>
      <w:r>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641A15F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（2）通讯开会</w:t>
      </w:r>
    </w:p>
    <w:p w14:paraId="57CA1A0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7F560C5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（六）表决</w:t>
      </w:r>
    </w:p>
    <w:p w14:paraId="232502A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基金份额持有人所持每份基金份额有一票表决权。</w:t>
      </w:r>
    </w:p>
    <w:p w14:paraId="5DE2D93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基金份额持有人大会决议分为一般决议和特别决议：</w:t>
      </w:r>
    </w:p>
    <w:p w14:paraId="62B30C8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09F5A90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3062850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基金份额持有人大会采取记名方式进行投票表决。</w:t>
      </w:r>
    </w:p>
    <w:p w14:paraId="4E953CD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4E4B2CBD"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3500307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（七）计票</w:t>
      </w:r>
    </w:p>
    <w:p w14:paraId="634F3A76"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w:t>
      </w:r>
    </w:p>
    <w:p w14:paraId="7182B1C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DEB3B9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14:paraId="045A0C7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（3）如果会议主持人或基金份额持有人或代理人对于提交的表决结果有怀疑，可以在宣布表决结果后立即对所投票</w:t>
      </w:r>
      <w:proofErr w:type="gramStart"/>
      <w:r>
        <w:rPr>
          <w:rFonts w:asciiTheme="minorEastAsia" w:hAnsiTheme="minorEastAsia" w:cs="Times New Roman" w:hint="eastAsia"/>
          <w:bCs/>
          <w:sz w:val="24"/>
          <w:szCs w:val="24"/>
        </w:rPr>
        <w:t>数要求</w:t>
      </w:r>
      <w:proofErr w:type="gramEnd"/>
      <w:r>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0D9CE75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14:paraId="576360E6"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2、通讯开会</w:t>
      </w:r>
    </w:p>
    <w:p w14:paraId="1A893A2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cs="Times New Roman" w:hint="eastAsia"/>
          <w:bCs/>
          <w:sz w:val="24"/>
          <w:szCs w:val="24"/>
        </w:rPr>
        <w:t>人拒派</w:t>
      </w:r>
      <w:proofErr w:type="gramEnd"/>
      <w:r>
        <w:rPr>
          <w:rFonts w:asciiTheme="minorEastAsia" w:hAnsiTheme="minorEastAsia" w:cs="Times New Roman" w:hint="eastAsia"/>
          <w:bCs/>
          <w:sz w:val="24"/>
          <w:szCs w:val="24"/>
        </w:rPr>
        <w:t>代表对书面表决意见的计票进行监督的，不影响计票和表决结果。</w:t>
      </w:r>
    </w:p>
    <w:p w14:paraId="1D89123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（八）生效与公告</w:t>
      </w:r>
    </w:p>
    <w:p w14:paraId="2E8D4B6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14:paraId="7D91C24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基金份额持有人大会的决议自表决通过之日起生效。</w:t>
      </w:r>
    </w:p>
    <w:p w14:paraId="5BD7B35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基金份额持有人大会决议自生效之日起依照《信息披露办法》的有关规定在</w:t>
      </w:r>
      <w:r>
        <w:rPr>
          <w:rFonts w:asciiTheme="minorEastAsia" w:hAnsiTheme="minorEastAsia" w:cs="Times New Roman" w:hint="eastAsia"/>
          <w:sz w:val="24"/>
          <w:szCs w:val="24"/>
        </w:rPr>
        <w:t>规定</w:t>
      </w:r>
      <w:r>
        <w:rPr>
          <w:rFonts w:asciiTheme="minorEastAsia" w:hAnsiTheme="minorEastAsia" w:cs="Times New Roman" w:hint="eastAsia"/>
          <w:bCs/>
          <w:sz w:val="24"/>
          <w:szCs w:val="24"/>
        </w:rPr>
        <w:t>媒介上公告。如果采用通讯方式进行表决，在公告基金份额持有人大会决议时，必须将公证书全文、公证机构、公证员姓名等一同公告。</w:t>
      </w:r>
    </w:p>
    <w:p w14:paraId="7D076F8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214FBD2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（九）实施</w:t>
      </w: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期间基金份额持有人大会的特殊约定</w:t>
      </w:r>
    </w:p>
    <w:p w14:paraId="0B196DD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若本基金</w:t>
      </w:r>
      <w:proofErr w:type="gramStart"/>
      <w:r>
        <w:rPr>
          <w:rFonts w:asciiTheme="minorEastAsia" w:hAnsiTheme="minorEastAsia" w:cs="Times New Roman" w:hint="eastAsia"/>
          <w:bCs/>
          <w:sz w:val="24"/>
          <w:szCs w:val="24"/>
        </w:rPr>
        <w:t>实施侧袋机制</w:t>
      </w:r>
      <w:proofErr w:type="gramEnd"/>
      <w:r>
        <w:rPr>
          <w:rFonts w:asciiTheme="minorEastAsia" w:hAnsiTheme="minorEastAsia" w:cs="Times New Roman" w:hint="eastAsia"/>
          <w:bCs/>
          <w:sz w:val="24"/>
          <w:szCs w:val="24"/>
        </w:rPr>
        <w:t>，</w:t>
      </w:r>
      <w:proofErr w:type="gramStart"/>
      <w:r>
        <w:rPr>
          <w:rFonts w:asciiTheme="minorEastAsia" w:hAnsiTheme="minorEastAsia" w:cs="Times New Roman" w:hint="eastAsia"/>
          <w:bCs/>
          <w:sz w:val="24"/>
          <w:szCs w:val="24"/>
        </w:rPr>
        <w:t>则相关</w:t>
      </w:r>
      <w:proofErr w:type="gramEnd"/>
      <w:r>
        <w:rPr>
          <w:rFonts w:asciiTheme="minorEastAsia" w:hAnsiTheme="minorEastAsia" w:cs="Times New Roman" w:hint="eastAsia"/>
          <w:bCs/>
          <w:sz w:val="24"/>
          <w:szCs w:val="24"/>
        </w:rPr>
        <w:t>基金份额或表决权的比例</w:t>
      </w:r>
      <w:proofErr w:type="gramStart"/>
      <w:r>
        <w:rPr>
          <w:rFonts w:asciiTheme="minorEastAsia" w:hAnsiTheme="minorEastAsia" w:cs="Times New Roman" w:hint="eastAsia"/>
          <w:bCs/>
          <w:sz w:val="24"/>
          <w:szCs w:val="24"/>
        </w:rPr>
        <w:t>指主袋份额</w:t>
      </w:r>
      <w:proofErr w:type="gramEnd"/>
      <w:r>
        <w:rPr>
          <w:rFonts w:asciiTheme="minorEastAsia" w:hAnsiTheme="minorEastAsia" w:cs="Times New Roman" w:hint="eastAsia"/>
          <w:bCs/>
          <w:sz w:val="24"/>
          <w:szCs w:val="24"/>
        </w:rPr>
        <w:t>持有</w:t>
      </w:r>
      <w:proofErr w:type="gramStart"/>
      <w:r>
        <w:rPr>
          <w:rFonts w:asciiTheme="minorEastAsia" w:hAnsiTheme="minorEastAsia" w:cs="Times New Roman" w:hint="eastAsia"/>
          <w:bCs/>
          <w:sz w:val="24"/>
          <w:szCs w:val="24"/>
        </w:rPr>
        <w:t>人和侧袋份额</w:t>
      </w:r>
      <w:proofErr w:type="gramEnd"/>
      <w:r>
        <w:rPr>
          <w:rFonts w:asciiTheme="minorEastAsia" w:hAnsiTheme="minorEastAsia" w:cs="Times New Roman" w:hint="eastAsia"/>
          <w:bCs/>
          <w:sz w:val="24"/>
          <w:szCs w:val="24"/>
        </w:rPr>
        <w:t>持有人分别持有或代表的基金份额或表决权符合该等比例，但</w:t>
      </w:r>
      <w:proofErr w:type="gramStart"/>
      <w:r>
        <w:rPr>
          <w:rFonts w:asciiTheme="minorEastAsia" w:hAnsiTheme="minorEastAsia" w:cs="Times New Roman" w:hint="eastAsia"/>
          <w:bCs/>
          <w:sz w:val="24"/>
          <w:szCs w:val="24"/>
        </w:rPr>
        <w:t>若相关</w:t>
      </w:r>
      <w:proofErr w:type="gramEnd"/>
      <w:r>
        <w:rPr>
          <w:rFonts w:asciiTheme="minorEastAsia" w:hAnsiTheme="minorEastAsia" w:cs="Times New Roman" w:hint="eastAsia"/>
          <w:bCs/>
          <w:sz w:val="24"/>
          <w:szCs w:val="24"/>
        </w:rPr>
        <w:t>基金份额持有人大会召集和审议事项不</w:t>
      </w:r>
      <w:proofErr w:type="gramStart"/>
      <w:r>
        <w:rPr>
          <w:rFonts w:asciiTheme="minorEastAsia" w:hAnsiTheme="minorEastAsia" w:cs="Times New Roman" w:hint="eastAsia"/>
          <w:bCs/>
          <w:sz w:val="24"/>
          <w:szCs w:val="24"/>
        </w:rPr>
        <w:t>涉及侧袋账户</w:t>
      </w:r>
      <w:proofErr w:type="gramEnd"/>
      <w:r>
        <w:rPr>
          <w:rFonts w:asciiTheme="minorEastAsia" w:hAnsiTheme="minorEastAsia" w:cs="Times New Roman" w:hint="eastAsia"/>
          <w:bCs/>
          <w:sz w:val="24"/>
          <w:szCs w:val="24"/>
        </w:rPr>
        <w:t>的，则仅</w:t>
      </w:r>
      <w:proofErr w:type="gramStart"/>
      <w:r>
        <w:rPr>
          <w:rFonts w:asciiTheme="minorEastAsia" w:hAnsiTheme="minorEastAsia" w:cs="Times New Roman" w:hint="eastAsia"/>
          <w:bCs/>
          <w:sz w:val="24"/>
          <w:szCs w:val="24"/>
        </w:rPr>
        <w:t>指主袋份额</w:t>
      </w:r>
      <w:proofErr w:type="gramEnd"/>
      <w:r>
        <w:rPr>
          <w:rFonts w:asciiTheme="minorEastAsia" w:hAnsiTheme="minorEastAsia" w:cs="Times New Roman" w:hint="eastAsia"/>
          <w:bCs/>
          <w:sz w:val="24"/>
          <w:szCs w:val="24"/>
        </w:rPr>
        <w:t>持有人持有或代表的基金份额或表决权符合该等比例：</w:t>
      </w:r>
    </w:p>
    <w:p w14:paraId="6997D30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1、基金份额持有人行使提议权、召集权、提名权所需单独或合计代表相关基金份额10%以上（含10%）；</w:t>
      </w:r>
    </w:p>
    <w:p w14:paraId="0087B26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2、现场开会的到会者在权益登记日代表的基金份额不少于本基金在权益登记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基金份额的二分之一（含二分之一）；</w:t>
      </w:r>
    </w:p>
    <w:p w14:paraId="70D3BA6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3、通讯开会的直接出具书面意见或授权他人代表出具书面意见的基金份额持有人所持有的基金份额不小于在权益登记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基金份额的二分之一（含二分之一）；</w:t>
      </w:r>
    </w:p>
    <w:p w14:paraId="05A23ED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4、在参与基金份额持有人大会投票的基金份额持有人所持有的基金份额小于在权益登记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3C505E4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5、现场开会由出席大会的基金份额持有人和代理人所持表决权的50%以上（含50%）选举产生一名基金份额持有人作为该次基金份额持有人大会的主持人；</w:t>
      </w:r>
    </w:p>
    <w:p w14:paraId="723E4DF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5B41099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6918D29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同</w:t>
      </w:r>
      <w:proofErr w:type="gramStart"/>
      <w:r>
        <w:rPr>
          <w:rFonts w:asciiTheme="minorEastAsia" w:hAnsiTheme="minorEastAsia" w:cs="Times New Roman" w:hint="eastAsia"/>
          <w:bCs/>
          <w:sz w:val="24"/>
          <w:szCs w:val="24"/>
        </w:rPr>
        <w:t>一主侧袋账户</w:t>
      </w:r>
      <w:proofErr w:type="gramEnd"/>
      <w:r>
        <w:rPr>
          <w:rFonts w:asciiTheme="minorEastAsia" w:hAnsiTheme="minorEastAsia" w:cs="Times New Roman" w:hint="eastAsia"/>
          <w:bCs/>
          <w:sz w:val="24"/>
          <w:szCs w:val="24"/>
        </w:rPr>
        <w:t>内的每份基金份额具有平等的表决权。</w:t>
      </w:r>
    </w:p>
    <w:p w14:paraId="7854FA8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（十）本部</w:t>
      </w:r>
      <w:proofErr w:type="gramStart"/>
      <w:r>
        <w:rPr>
          <w:rFonts w:asciiTheme="minorEastAsia" w:hAnsiTheme="minorEastAsia" w:cs="Times New Roman" w:hint="eastAsia"/>
          <w:bCs/>
          <w:sz w:val="24"/>
          <w:szCs w:val="24"/>
        </w:rPr>
        <w:t>分关于</w:t>
      </w:r>
      <w:proofErr w:type="gramEnd"/>
      <w:r>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6F1BBB92" w14:textId="77777777" w:rsidR="009D10D8" w:rsidRDefault="009E4577" w:rsidP="00212156">
      <w:pPr>
        <w:widowControl/>
        <w:spacing w:line="360" w:lineRule="auto"/>
        <w:ind w:firstLineChars="200" w:firstLine="480"/>
        <w:jc w:val="left"/>
        <w:outlineLvl w:val="1"/>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三、基金合同解除和终止的事由、程序以及基金财产清算方式</w:t>
      </w:r>
    </w:p>
    <w:p w14:paraId="15F7C89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（一）《基金合同》的变更</w:t>
      </w:r>
    </w:p>
    <w:p w14:paraId="5DD77976"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Pr>
          <w:rFonts w:asciiTheme="minorEastAsia" w:hAnsiTheme="minorEastAsia" w:cs="Times New Roman" w:hint="eastAsia"/>
          <w:bCs/>
          <w:sz w:val="24"/>
          <w:szCs w:val="24"/>
        </w:rPr>
        <w:t>开基金</w:t>
      </w:r>
      <w:proofErr w:type="gramEnd"/>
      <w:r>
        <w:rPr>
          <w:rFonts w:asciiTheme="minorEastAsia" w:hAnsiTheme="minorEastAsia" w:cs="Times New Roman" w:hint="eastAsia"/>
          <w:bCs/>
          <w:sz w:val="24"/>
          <w:szCs w:val="24"/>
        </w:rPr>
        <w:t>份额持有人大会决议通过。对于法律法规规定和基金合同约定可不经基金份额持有人大会决议通过的事项，由基金管理人和基金托管人同意后变更并公告，并报中国证监会备案。</w:t>
      </w:r>
    </w:p>
    <w:p w14:paraId="2E5B8294"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2、关于《基金合同》变更的基金份额持有人大会决议自生效后方可执行，并</w:t>
      </w:r>
      <w:proofErr w:type="gramStart"/>
      <w:r>
        <w:rPr>
          <w:rFonts w:asciiTheme="minorEastAsia" w:hAnsiTheme="minorEastAsia" w:cs="Times New Roman" w:hint="eastAsia"/>
          <w:bCs/>
          <w:sz w:val="24"/>
          <w:szCs w:val="24"/>
        </w:rPr>
        <w:t>自决议</w:t>
      </w:r>
      <w:proofErr w:type="gramEnd"/>
      <w:r>
        <w:rPr>
          <w:rFonts w:asciiTheme="minorEastAsia" w:hAnsiTheme="minorEastAsia" w:cs="Times New Roman" w:hint="eastAsia"/>
          <w:bCs/>
          <w:sz w:val="24"/>
          <w:szCs w:val="24"/>
        </w:rPr>
        <w:t>生效后依照《信息披露办法》的有关规定在</w:t>
      </w:r>
      <w:r>
        <w:rPr>
          <w:rFonts w:asciiTheme="minorEastAsia" w:hAnsiTheme="minorEastAsia" w:cs="Times New Roman" w:hint="eastAsia"/>
          <w:sz w:val="24"/>
          <w:szCs w:val="24"/>
        </w:rPr>
        <w:t>规定</w:t>
      </w:r>
      <w:r>
        <w:rPr>
          <w:rFonts w:asciiTheme="minorEastAsia" w:hAnsiTheme="minorEastAsia" w:cs="Times New Roman" w:hint="eastAsia"/>
          <w:bCs/>
          <w:sz w:val="24"/>
          <w:szCs w:val="24"/>
        </w:rPr>
        <w:t>媒介公告。</w:t>
      </w:r>
    </w:p>
    <w:p w14:paraId="07AD3206"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（二）《基金合同》的终止事由</w:t>
      </w:r>
    </w:p>
    <w:p w14:paraId="1A64C3E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有下列情形之一的，经履行相关程序后，《基金合同》应当终止：</w:t>
      </w:r>
    </w:p>
    <w:p w14:paraId="26BB755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1、基金份额持有人大会决定终止的；</w:t>
      </w:r>
    </w:p>
    <w:p w14:paraId="0090717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14:paraId="405D3E7D"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3、《基金合同》约定的其他情形；</w:t>
      </w:r>
    </w:p>
    <w:p w14:paraId="543328F6"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4、相关法律法规和中国证监会规定的其他情况。</w:t>
      </w:r>
    </w:p>
    <w:p w14:paraId="49B74BB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（三）基金财产的清算</w:t>
      </w:r>
    </w:p>
    <w:p w14:paraId="17E0B05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21D9623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2B9A318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5569BA9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4、基金财产清算程序：</w:t>
      </w:r>
    </w:p>
    <w:p w14:paraId="54280A7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（1）《基金合同》终止情形出现时，由基金财产清算小组统一接管基金财产；</w:t>
      </w:r>
    </w:p>
    <w:p w14:paraId="1F259E3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（2）对基金财产和债权债务进行清理和确认；</w:t>
      </w:r>
    </w:p>
    <w:p w14:paraId="013385E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（3）对基金财产进行估值和变现；</w:t>
      </w:r>
    </w:p>
    <w:p w14:paraId="30A524F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（4）制作清算报告；</w:t>
      </w:r>
    </w:p>
    <w:p w14:paraId="4A890CF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（5）聘请会计师事务所对清算报告进行外部审计，聘请律师事务所对清算报告出具法律意见书；</w:t>
      </w:r>
    </w:p>
    <w:p w14:paraId="06C2A21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（6）将清算报告报中国证监会备案并公告；</w:t>
      </w:r>
    </w:p>
    <w:p w14:paraId="73D19D1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（7）对基金剩余财产进行分配。</w:t>
      </w:r>
    </w:p>
    <w:p w14:paraId="4B84F09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5、基金财产清算的期限为6个月，但因本基金所持证券的流动性受到限制而不能及时变现的，清算期限相应顺延。</w:t>
      </w:r>
    </w:p>
    <w:p w14:paraId="460EE4B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（四）清算费用</w:t>
      </w:r>
    </w:p>
    <w:p w14:paraId="44681C3D"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清算费用是指基金财产清算小组在进行基金财产清算过程中发生的所有合理费用，清算费用由基金财产清算小组优先从基金剩余财产中支付。</w:t>
      </w:r>
    </w:p>
    <w:p w14:paraId="6910240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（五）基金财产清算剩余资产的分配</w:t>
      </w:r>
    </w:p>
    <w:p w14:paraId="2B421E0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22866F9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（六）基金财产清算的公告</w:t>
      </w:r>
    </w:p>
    <w:p w14:paraId="1A74FD6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清算过程中的有关重大事项须及时公告；基金财产清算报告</w:t>
      </w:r>
      <w:proofErr w:type="gramStart"/>
      <w:r>
        <w:rPr>
          <w:rFonts w:asciiTheme="minorEastAsia" w:hAnsiTheme="minorEastAsia" w:cs="Times New Roman" w:hint="eastAsia"/>
          <w:bCs/>
          <w:sz w:val="24"/>
          <w:szCs w:val="24"/>
        </w:rPr>
        <w:t>经符合</w:t>
      </w:r>
      <w:proofErr w:type="gramEnd"/>
      <w:r>
        <w:rPr>
          <w:rFonts w:asciiTheme="minorEastAsia" w:hAnsiTheme="minorEastAsia" w:cs="Times New Roman" w:hint="eastAsia"/>
          <w:bCs/>
          <w:sz w:val="24"/>
          <w:szCs w:val="24"/>
        </w:rPr>
        <w:t>《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w:t>
      </w:r>
      <w:r>
        <w:rPr>
          <w:rFonts w:asciiTheme="minorEastAsia" w:hAnsiTheme="minorEastAsia" w:cs="Times New Roman" w:hint="eastAsia"/>
          <w:sz w:val="24"/>
          <w:szCs w:val="24"/>
        </w:rPr>
        <w:t>规定</w:t>
      </w:r>
      <w:r>
        <w:rPr>
          <w:rFonts w:asciiTheme="minorEastAsia" w:hAnsiTheme="minorEastAsia" w:cs="Times New Roman" w:hint="eastAsia"/>
          <w:bCs/>
          <w:sz w:val="24"/>
          <w:szCs w:val="24"/>
        </w:rPr>
        <w:t>网站上，并将清算报告提示性公告登载在</w:t>
      </w:r>
      <w:r>
        <w:rPr>
          <w:rFonts w:asciiTheme="minorEastAsia" w:hAnsiTheme="minorEastAsia" w:cs="Times New Roman" w:hint="eastAsia"/>
          <w:sz w:val="24"/>
          <w:szCs w:val="24"/>
        </w:rPr>
        <w:t>规定</w:t>
      </w:r>
      <w:r>
        <w:rPr>
          <w:rFonts w:asciiTheme="minorEastAsia" w:hAnsiTheme="minorEastAsia" w:cs="Times New Roman" w:hint="eastAsia"/>
          <w:bCs/>
          <w:sz w:val="24"/>
          <w:szCs w:val="24"/>
        </w:rPr>
        <w:t>报刊上。</w:t>
      </w:r>
    </w:p>
    <w:p w14:paraId="15294B2E"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（七）基金财产清算账册及文件的保存</w:t>
      </w:r>
    </w:p>
    <w:p w14:paraId="6C35EE7D"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基金财产清算账册及有关文件由基金托管人保存不低于法律法规规定的最低期限。</w:t>
      </w:r>
    </w:p>
    <w:p w14:paraId="6C0B15E3" w14:textId="77777777" w:rsidR="009D10D8" w:rsidRDefault="009E4577" w:rsidP="00212156">
      <w:pPr>
        <w:widowControl/>
        <w:spacing w:line="360" w:lineRule="auto"/>
        <w:ind w:firstLineChars="200" w:firstLine="480"/>
        <w:jc w:val="left"/>
        <w:outlineLvl w:val="1"/>
        <w:rPr>
          <w:rFonts w:asciiTheme="minorEastAsia" w:hAnsiTheme="minorEastAsia" w:cs="Times New Roman" w:hint="eastAsia"/>
          <w:bCs/>
          <w:sz w:val="24"/>
          <w:szCs w:val="24"/>
        </w:rPr>
      </w:pPr>
      <w:r>
        <w:rPr>
          <w:rFonts w:asciiTheme="minorEastAsia" w:hAnsiTheme="minorEastAsia" w:cs="Times New Roman" w:hint="eastAsia"/>
          <w:bCs/>
          <w:sz w:val="24"/>
          <w:szCs w:val="24"/>
        </w:rPr>
        <w:t>四、争议解决方式</w:t>
      </w:r>
    </w:p>
    <w:p w14:paraId="005395A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各方当事人同意，因《基金合同》而产生的或与《基金合同》有关的一切争议，基金合同当事人应尽量通过协商、调解途径解决。不愿或者不能通过协商、调解解决的，任何一方均有权将争议提交深圳国际仲裁院，按照深圳国际仲裁院届时有效的仲裁规则进行仲裁。仲裁地点为深圳市。仲裁裁决是终局的，对各方当事人均有约束力，除非仲裁裁决另有规定，仲裁费用由败诉方承担。</w:t>
      </w:r>
    </w:p>
    <w:p w14:paraId="21A03E8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争议处理期间，基金管理人、基金托管人应恪守各自的职责，继续忠实、勤勉、尽责地履行基金合同规定的义务，维护基金份额持有人的合法权益。</w:t>
      </w:r>
    </w:p>
    <w:p w14:paraId="1B8C3A6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《基金合同》受中国法律（为本基金合同之目的，在此不包括香港、澳门特别行政区和台湾地区法律）管辖并从其解释。</w:t>
      </w:r>
    </w:p>
    <w:p w14:paraId="6DA97CD3" w14:textId="77777777" w:rsidR="009D10D8" w:rsidRDefault="009E4577" w:rsidP="00212156">
      <w:pPr>
        <w:widowControl/>
        <w:spacing w:line="360" w:lineRule="auto"/>
        <w:ind w:firstLineChars="200" w:firstLine="480"/>
        <w:jc w:val="left"/>
        <w:outlineLvl w:val="1"/>
        <w:rPr>
          <w:rFonts w:asciiTheme="minorEastAsia" w:hAnsiTheme="minorEastAsia" w:cs="Times New Roman" w:hint="eastAsia"/>
          <w:bCs/>
          <w:sz w:val="24"/>
          <w:szCs w:val="24"/>
        </w:rPr>
      </w:pPr>
      <w:r>
        <w:rPr>
          <w:rFonts w:asciiTheme="minorEastAsia" w:hAnsiTheme="minorEastAsia" w:cs="Times New Roman" w:hint="eastAsia"/>
          <w:bCs/>
          <w:sz w:val="24"/>
          <w:szCs w:val="24"/>
        </w:rPr>
        <w:t>五、基金合同存放地和投资者取得基金合同的方式</w:t>
      </w:r>
    </w:p>
    <w:p w14:paraId="1A268AB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《基金合同》可印制成册，供投资者在基金管理人、基金托管人、销售机构的办公场所和营业场所查阅。</w:t>
      </w:r>
    </w:p>
    <w:p w14:paraId="53A43CDC" w14:textId="77777777" w:rsidR="009D10D8" w:rsidRDefault="009E4577">
      <w:pPr>
        <w:widowControl/>
        <w:jc w:val="left"/>
        <w:rPr>
          <w:rFonts w:asciiTheme="minorEastAsia" w:hAnsiTheme="minorEastAsia" w:cs="Times New Roman" w:hint="eastAsia"/>
          <w:bCs/>
          <w:sz w:val="24"/>
          <w:szCs w:val="24"/>
        </w:rPr>
      </w:pPr>
      <w:r>
        <w:rPr>
          <w:rFonts w:asciiTheme="minorEastAsia" w:hAnsiTheme="minorEastAsia" w:cs="Times New Roman"/>
          <w:bCs/>
          <w:sz w:val="24"/>
          <w:szCs w:val="24"/>
        </w:rPr>
        <w:br w:type="page"/>
      </w:r>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p>
    <w:p w14:paraId="5EBFAE78" w14:textId="77777777" w:rsidR="009D10D8" w:rsidRDefault="009E4577">
      <w:pPr>
        <w:pStyle w:val="1"/>
        <w:jc w:val="center"/>
        <w:rPr>
          <w:sz w:val="30"/>
          <w:szCs w:val="30"/>
        </w:rPr>
      </w:pPr>
      <w:bookmarkStart w:id="371" w:name="_Toc263092327"/>
      <w:bookmarkStart w:id="372" w:name="_Toc214873614"/>
      <w:bookmarkStart w:id="373" w:name="_Toc416264554"/>
      <w:bookmarkStart w:id="374" w:name="_Toc173322796"/>
      <w:bookmarkStart w:id="375" w:name="_Toc27058"/>
      <w:bookmarkStart w:id="376" w:name="_Toc139991750"/>
      <w:bookmarkStart w:id="377" w:name="_Toc79392641"/>
      <w:bookmarkStart w:id="378" w:name="_Toc21240"/>
      <w:bookmarkStart w:id="379" w:name="_Toc7367"/>
      <w:bookmarkStart w:id="380" w:name="_Toc23166"/>
      <w:bookmarkStart w:id="381" w:name="_Toc98560365"/>
      <w:bookmarkStart w:id="382" w:name="_Toc23022"/>
      <w:bookmarkStart w:id="383" w:name="_Toc13398"/>
      <w:bookmarkStart w:id="384" w:name="_Toc123112248"/>
      <w:bookmarkStart w:id="385" w:name="_Toc30645"/>
      <w:bookmarkStart w:id="386" w:name="_Toc12191"/>
      <w:bookmarkStart w:id="387" w:name="_Toc8710"/>
      <w:bookmarkStart w:id="388" w:name="_Toc48649720"/>
      <w:bookmarkStart w:id="389" w:name="_Toc28549"/>
      <w:bookmarkStart w:id="390" w:name="_Toc141703901"/>
      <w:bookmarkStart w:id="391" w:name="_Toc123102467"/>
      <w:bookmarkStart w:id="392" w:name="_Toc123051466"/>
      <w:bookmarkStart w:id="393" w:name="_Toc9708"/>
      <w:bookmarkStart w:id="394" w:name="_Toc352229766"/>
      <w:r>
        <w:rPr>
          <w:rFonts w:hint="eastAsia"/>
          <w:sz w:val="30"/>
          <w:szCs w:val="30"/>
        </w:rPr>
        <w:lastRenderedPageBreak/>
        <w:t>第二十部分</w:t>
      </w:r>
      <w:r>
        <w:rPr>
          <w:sz w:val="30"/>
          <w:szCs w:val="30"/>
        </w:rPr>
        <w:t xml:space="preserve">  </w:t>
      </w:r>
      <w:r>
        <w:rPr>
          <w:rFonts w:hint="eastAsia"/>
          <w:sz w:val="30"/>
          <w:szCs w:val="30"/>
        </w:rPr>
        <w:t>基金托管协议的内容摘要</w:t>
      </w:r>
      <w:bookmarkEnd w:id="371"/>
      <w:bookmarkEnd w:id="372"/>
      <w:bookmarkEnd w:id="373"/>
      <w:bookmarkEnd w:id="374"/>
    </w:p>
    <w:p w14:paraId="7A9516AB" w14:textId="77777777" w:rsidR="009D10D8" w:rsidRDefault="009E4577" w:rsidP="00212156">
      <w:pPr>
        <w:adjustRightInd w:val="0"/>
        <w:snapToGrid w:val="0"/>
        <w:spacing w:line="360" w:lineRule="auto"/>
        <w:ind w:firstLineChars="200" w:firstLine="482"/>
        <w:outlineLvl w:val="1"/>
        <w:rPr>
          <w:rFonts w:asciiTheme="minorEastAsia" w:hAnsiTheme="minorEastAsia" w:cs="Arial" w:hint="eastAsia"/>
          <w:b/>
          <w:sz w:val="24"/>
          <w:szCs w:val="24"/>
        </w:rPr>
      </w:pPr>
      <w:r>
        <w:rPr>
          <w:rFonts w:asciiTheme="minorEastAsia" w:hAnsiTheme="minorEastAsia" w:cs="Arial" w:hint="eastAsia"/>
          <w:b/>
          <w:sz w:val="24"/>
          <w:szCs w:val="24"/>
        </w:rPr>
        <w:t>一、托管协议当事人</w:t>
      </w:r>
    </w:p>
    <w:p w14:paraId="44939F99" w14:textId="77777777" w:rsidR="009D10D8" w:rsidRDefault="009E4577">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（一）基金管理人</w:t>
      </w:r>
    </w:p>
    <w:p w14:paraId="6E5E85A0" w14:textId="77777777" w:rsidR="009D10D8" w:rsidRDefault="009E4577">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名称：富荣基金管理有限公司</w:t>
      </w:r>
    </w:p>
    <w:p w14:paraId="3B392B2F" w14:textId="7CBE3E2B" w:rsidR="009D10D8" w:rsidRDefault="009E4577">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住所：</w:t>
      </w:r>
      <w:r w:rsidR="00023057" w:rsidRPr="00023057">
        <w:rPr>
          <w:rFonts w:asciiTheme="minorEastAsia" w:hAnsiTheme="minorEastAsia" w:cs="Arial" w:hint="eastAsia"/>
          <w:kern w:val="0"/>
          <w:sz w:val="24"/>
          <w:szCs w:val="24"/>
        </w:rPr>
        <w:t>广东省广州市南沙区横</w:t>
      </w:r>
      <w:proofErr w:type="gramStart"/>
      <w:r w:rsidR="00023057" w:rsidRPr="00023057">
        <w:rPr>
          <w:rFonts w:asciiTheme="minorEastAsia" w:hAnsiTheme="minorEastAsia" w:cs="Arial" w:hint="eastAsia"/>
          <w:kern w:val="0"/>
          <w:sz w:val="24"/>
          <w:szCs w:val="24"/>
        </w:rPr>
        <w:t>沥</w:t>
      </w:r>
      <w:proofErr w:type="gramEnd"/>
      <w:r w:rsidR="00023057" w:rsidRPr="00023057">
        <w:rPr>
          <w:rFonts w:asciiTheme="minorEastAsia" w:hAnsiTheme="minorEastAsia" w:cs="Arial" w:hint="eastAsia"/>
          <w:kern w:val="0"/>
          <w:sz w:val="24"/>
          <w:szCs w:val="24"/>
        </w:rPr>
        <w:t>镇汇通二街2号3110房</w:t>
      </w:r>
    </w:p>
    <w:p w14:paraId="1B3A7ED2" w14:textId="2964034A" w:rsidR="009D10D8" w:rsidRDefault="009E4577">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w:t>
      </w:r>
      <w:r w:rsidR="00023057">
        <w:rPr>
          <w:rFonts w:asciiTheme="minorEastAsia" w:hAnsiTheme="minorEastAsia" w:cs="Arial" w:hint="eastAsia"/>
          <w:kern w:val="0"/>
          <w:sz w:val="24"/>
          <w:szCs w:val="24"/>
        </w:rPr>
        <w:t>王亦伟</w:t>
      </w:r>
    </w:p>
    <w:p w14:paraId="2E20027A" w14:textId="77777777" w:rsidR="009D10D8" w:rsidRDefault="009E4577">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设立日期：2016年1月25日</w:t>
      </w:r>
      <w:r>
        <w:rPr>
          <w:rFonts w:asciiTheme="minorEastAsia" w:hAnsiTheme="minorEastAsia" w:cs="Arial" w:hint="eastAsia"/>
          <w:kern w:val="0"/>
          <w:sz w:val="24"/>
          <w:szCs w:val="24"/>
        </w:rPr>
        <w:tab/>
      </w:r>
    </w:p>
    <w:p w14:paraId="1D0BC10A" w14:textId="77777777" w:rsidR="009D10D8" w:rsidRDefault="009E4577">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批准设立机关及批准设立文号：中国证监会证监许可【2015】3118号</w:t>
      </w:r>
    </w:p>
    <w:p w14:paraId="66F95161" w14:textId="77777777" w:rsidR="009D10D8" w:rsidRDefault="009E4577">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组织形式：有限责任公司</w:t>
      </w:r>
    </w:p>
    <w:p w14:paraId="05B3F1A6" w14:textId="77777777" w:rsidR="009D10D8" w:rsidRDefault="009E4577">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634A26FF" w14:textId="77777777" w:rsidR="009D10D8" w:rsidRDefault="009E4577">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存续期限：永续经营</w:t>
      </w:r>
    </w:p>
    <w:p w14:paraId="2EC6FF98" w14:textId="77777777" w:rsidR="009D10D8" w:rsidRDefault="009E4577">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联系电话：0755-84356633</w:t>
      </w:r>
    </w:p>
    <w:p w14:paraId="234846D5" w14:textId="77777777" w:rsidR="009D10D8" w:rsidRDefault="009E4577">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（二）基金托管人</w:t>
      </w:r>
    </w:p>
    <w:p w14:paraId="26D22056" w14:textId="77777777"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名称：</w:t>
      </w:r>
      <w:proofErr w:type="gramStart"/>
      <w:r>
        <w:rPr>
          <w:rFonts w:ascii="宋体" w:hAnsi="宋体" w:hint="eastAsia"/>
          <w:color w:val="000000"/>
          <w:sz w:val="24"/>
        </w:rPr>
        <w:t>浙商银行</w:t>
      </w:r>
      <w:proofErr w:type="gramEnd"/>
      <w:r>
        <w:rPr>
          <w:rFonts w:ascii="宋体" w:hAnsi="宋体" w:hint="eastAsia"/>
          <w:color w:val="000000"/>
          <w:sz w:val="24"/>
        </w:rPr>
        <w:t>股份有限公司</w:t>
      </w:r>
    </w:p>
    <w:p w14:paraId="662F5D9B" w14:textId="77777777"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住所：浙江省杭州市</w:t>
      </w:r>
      <w:proofErr w:type="gramStart"/>
      <w:r>
        <w:rPr>
          <w:rFonts w:ascii="宋体" w:hAnsi="宋体" w:hint="eastAsia"/>
          <w:color w:val="000000"/>
          <w:sz w:val="24"/>
        </w:rPr>
        <w:t>萧山区鸿宁</w:t>
      </w:r>
      <w:proofErr w:type="gramEnd"/>
      <w:r>
        <w:rPr>
          <w:rFonts w:ascii="宋体" w:hAnsi="宋体" w:hint="eastAsia"/>
          <w:color w:val="000000"/>
          <w:sz w:val="24"/>
        </w:rPr>
        <w:t>路1788号</w:t>
      </w:r>
    </w:p>
    <w:p w14:paraId="4226DF65" w14:textId="103974D0"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法定代表人：张荣森（代为履行法定代表人职责）</w:t>
      </w:r>
    </w:p>
    <w:p w14:paraId="68550898" w14:textId="074308F6"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电话：0571-</w:t>
      </w:r>
      <w:r>
        <w:rPr>
          <w:rFonts w:ascii="宋体" w:hAnsi="宋体"/>
          <w:color w:val="000000"/>
          <w:sz w:val="24"/>
        </w:rPr>
        <w:t>88269636</w:t>
      </w:r>
    </w:p>
    <w:p w14:paraId="2137A66F" w14:textId="77777777"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传真：0571-88268688</w:t>
      </w:r>
    </w:p>
    <w:p w14:paraId="6EF8A36C" w14:textId="31BB7E17"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联系人：林彬</w:t>
      </w:r>
    </w:p>
    <w:p w14:paraId="53A261CA" w14:textId="77777777"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成立时间：1993年4月16日</w:t>
      </w:r>
    </w:p>
    <w:p w14:paraId="178E7075" w14:textId="77777777"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组织形式：股份有限公司（上市）</w:t>
      </w:r>
    </w:p>
    <w:p w14:paraId="4E7CE576" w14:textId="00E0FF18"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注册资本：人民币</w:t>
      </w:r>
      <w:r>
        <w:rPr>
          <w:rFonts w:ascii="宋体" w:hAnsi="宋体"/>
          <w:color w:val="000000"/>
          <w:sz w:val="24"/>
        </w:rPr>
        <w:t>21,268,696,778</w:t>
      </w:r>
      <w:r>
        <w:rPr>
          <w:rFonts w:ascii="宋体" w:hAnsi="宋体" w:hint="eastAsia"/>
          <w:color w:val="000000"/>
          <w:sz w:val="24"/>
        </w:rPr>
        <w:t>元</w:t>
      </w:r>
    </w:p>
    <w:p w14:paraId="287BB91C" w14:textId="77777777"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批准设立机关和设立文号：中国银行业监督管理委员会；</w:t>
      </w:r>
      <w:proofErr w:type="gramStart"/>
      <w:r>
        <w:rPr>
          <w:rFonts w:ascii="宋体" w:hAnsi="宋体" w:hint="eastAsia"/>
          <w:color w:val="000000"/>
          <w:sz w:val="24"/>
        </w:rPr>
        <w:t>银监复【2004】</w:t>
      </w:r>
      <w:proofErr w:type="gramEnd"/>
      <w:r>
        <w:rPr>
          <w:rFonts w:ascii="宋体" w:hAnsi="宋体" w:hint="eastAsia"/>
          <w:color w:val="000000"/>
          <w:sz w:val="24"/>
        </w:rPr>
        <w:t>91号</w:t>
      </w:r>
    </w:p>
    <w:p w14:paraId="2D792776" w14:textId="77777777"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存续期间：持续经营</w:t>
      </w:r>
    </w:p>
    <w:p w14:paraId="1BEBADDD" w14:textId="77777777"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基金托管资格批文及文号：《关于核准浙商银行股份有限公司证券投资基金托管资格的批复》；证监许可【2013】1519号</w:t>
      </w:r>
    </w:p>
    <w:p w14:paraId="3B79C284" w14:textId="77777777"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经营范围：吸收公众存款；发放短期、中期和长期贷款；办理国内外结算；办理票据承兑与贴现；发行金融债券；代理发行、代理兑付、承销政府债券；买</w:t>
      </w:r>
      <w:r>
        <w:rPr>
          <w:rFonts w:ascii="宋体" w:hAnsi="宋体" w:hint="eastAsia"/>
          <w:color w:val="000000"/>
          <w:sz w:val="24"/>
        </w:rPr>
        <w:lastRenderedPageBreak/>
        <w:t>卖政府债券、金融债券；从事同业拆借；买卖、代理买卖外汇；从事银行卡业务；提供信用证服务及担保；代理收付款项及代理保险业务；提供保管箱服务；经国务院银行业监督管理机构批准的其他业务。经国家外汇管理局批准，可以经营结汇、售汇业务。（依法须经批准的项目，经相关部门批准后方可开展经营活动。）</w:t>
      </w:r>
    </w:p>
    <w:p w14:paraId="49280384" w14:textId="77777777" w:rsidR="009D10D8" w:rsidRDefault="009E4577" w:rsidP="00212156">
      <w:pPr>
        <w:adjustRightInd w:val="0"/>
        <w:snapToGrid w:val="0"/>
        <w:spacing w:line="360" w:lineRule="auto"/>
        <w:ind w:leftChars="200" w:left="420"/>
        <w:outlineLvl w:val="1"/>
        <w:rPr>
          <w:rFonts w:asciiTheme="minorEastAsia" w:hAnsiTheme="minorEastAsia" w:cs="Arial" w:hint="eastAsia"/>
          <w:b/>
          <w:sz w:val="24"/>
          <w:szCs w:val="24"/>
        </w:rPr>
      </w:pPr>
      <w:r>
        <w:rPr>
          <w:rFonts w:asciiTheme="minorEastAsia" w:hAnsiTheme="minorEastAsia" w:cs="Arial" w:hint="eastAsia"/>
          <w:b/>
          <w:sz w:val="24"/>
          <w:szCs w:val="24"/>
        </w:rPr>
        <w:t>二、基金托管人对基金管理人的业务监督和核查</w:t>
      </w:r>
    </w:p>
    <w:p w14:paraId="1F1BB652" w14:textId="77777777" w:rsidR="009D10D8" w:rsidRDefault="009E4577">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（一）基金托管人对基金管理人的投资行为行使监督权</w:t>
      </w:r>
    </w:p>
    <w:p w14:paraId="052E39B1" w14:textId="77777777" w:rsidR="009D10D8" w:rsidRDefault="009E4577">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w:t>
      </w:r>
      <w:r>
        <w:rPr>
          <w:rFonts w:asciiTheme="minorEastAsia" w:hAnsiTheme="minorEastAsia" w:cs="Arial" w:hint="eastAsia"/>
          <w:color w:val="000000"/>
          <w:sz w:val="24"/>
          <w:szCs w:val="24"/>
        </w:rPr>
        <w:t>、基金托管人根据有关法律法规的规定和基金合同的约定，对下述基金投资范围、投资对象进行监督。</w:t>
      </w:r>
    </w:p>
    <w:p w14:paraId="5967DCDE" w14:textId="77777777" w:rsidR="009D10D8" w:rsidRDefault="009E4577">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009118E1" w14:textId="77777777" w:rsidR="009D10D8" w:rsidRDefault="009E4577">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本基金将投资于以下金融工具：</w:t>
      </w:r>
    </w:p>
    <w:p w14:paraId="59741640" w14:textId="77777777" w:rsidR="009D10D8" w:rsidRDefault="009E4577">
      <w:pPr>
        <w:widowControl/>
        <w:spacing w:line="324" w:lineRule="auto"/>
        <w:ind w:firstLineChars="200" w:firstLine="480"/>
        <w:jc w:val="left"/>
        <w:rPr>
          <w:bCs/>
          <w:sz w:val="24"/>
        </w:rPr>
      </w:pPr>
      <w:r>
        <w:rPr>
          <w:rFonts w:hint="eastAsia"/>
          <w:bCs/>
          <w:sz w:val="24"/>
        </w:rPr>
        <w:t>本基金的投资范围为具有良好流动性的金融工具，包括国内依法发行上市的股票（包括主板、创业板以及其他经中国证监会允许发行上市的股票、存托凭证）、债券（包括国债、地方政府债、金融债、企业债、公司债、政府支持债券、政府支持机构债、公开发行的次级债、可转换债券（含分离交易可转债）、可交换债券、央行票据、中期票据、短期融资</w:t>
      </w:r>
      <w:proofErr w:type="gramStart"/>
      <w:r>
        <w:rPr>
          <w:rFonts w:hint="eastAsia"/>
          <w:bCs/>
          <w:sz w:val="24"/>
        </w:rPr>
        <w:t>券</w:t>
      </w:r>
      <w:proofErr w:type="gramEnd"/>
      <w:r>
        <w:rPr>
          <w:rFonts w:hint="eastAsia"/>
          <w:bCs/>
          <w:sz w:val="24"/>
        </w:rPr>
        <w:t>（包括超短期融资</w:t>
      </w:r>
      <w:proofErr w:type="gramStart"/>
      <w:r>
        <w:rPr>
          <w:rFonts w:hint="eastAsia"/>
          <w:bCs/>
          <w:sz w:val="24"/>
        </w:rPr>
        <w:t>券</w:t>
      </w:r>
      <w:proofErr w:type="gramEnd"/>
      <w:r>
        <w:rPr>
          <w:rFonts w:hint="eastAsia"/>
          <w:bCs/>
          <w:sz w:val="24"/>
        </w:rPr>
        <w:t>）以及法律法规或中国证监会允许投资的其他债券类金融工具）、资产支持证券、债券回购、同业存单、银行存款（包括协议存款、定期存款及其他银行存款）、货币市场工具、股指期货、国债期货、信用衍生品、股票期权以及法律法规或中国证监会允许基金投资的其他金融工具</w:t>
      </w:r>
      <w:r>
        <w:rPr>
          <w:rFonts w:hint="eastAsia"/>
          <w:bCs/>
          <w:sz w:val="24"/>
        </w:rPr>
        <w:t>(</w:t>
      </w:r>
      <w:r>
        <w:rPr>
          <w:rFonts w:hint="eastAsia"/>
          <w:bCs/>
          <w:sz w:val="24"/>
        </w:rPr>
        <w:t>但须符合中国证监会相关规定</w:t>
      </w:r>
      <w:r>
        <w:rPr>
          <w:rFonts w:hint="eastAsia"/>
          <w:bCs/>
          <w:sz w:val="24"/>
        </w:rPr>
        <w:t>)</w:t>
      </w:r>
      <w:r>
        <w:rPr>
          <w:rFonts w:hint="eastAsia"/>
          <w:bCs/>
          <w:sz w:val="24"/>
        </w:rPr>
        <w:t>。</w:t>
      </w:r>
    </w:p>
    <w:p w14:paraId="55867D07" w14:textId="04C24D7E" w:rsidR="009D10D8" w:rsidRDefault="009E4577">
      <w:pPr>
        <w:widowControl/>
        <w:spacing w:line="324" w:lineRule="auto"/>
        <w:ind w:firstLineChars="200" w:firstLine="480"/>
        <w:jc w:val="left"/>
        <w:rPr>
          <w:bCs/>
          <w:sz w:val="24"/>
        </w:rPr>
      </w:pPr>
      <w:r>
        <w:rPr>
          <w:rFonts w:hint="eastAsia"/>
          <w:bCs/>
          <w:sz w:val="24"/>
        </w:rPr>
        <w:t>本基金可根据相关法律法规和基金合同的约定参与融资业务。</w:t>
      </w:r>
    </w:p>
    <w:p w14:paraId="23774A70" w14:textId="77777777" w:rsidR="009D10D8" w:rsidRDefault="009E4577">
      <w:pPr>
        <w:widowControl/>
        <w:spacing w:line="324" w:lineRule="auto"/>
        <w:ind w:firstLineChars="200" w:firstLine="480"/>
        <w:jc w:val="left"/>
        <w:rPr>
          <w:bCs/>
          <w:sz w:val="24"/>
        </w:rPr>
      </w:pPr>
      <w:r>
        <w:rPr>
          <w:rFonts w:hint="eastAsia"/>
          <w:bCs/>
          <w:sz w:val="24"/>
        </w:rPr>
        <w:t>如果法律法规或监管机构以后允许基金投资其他品种，基金管理人在履行适当程序后，可以将其纳入投资范围。</w:t>
      </w:r>
    </w:p>
    <w:p w14:paraId="326F7CCF" w14:textId="77777777" w:rsidR="009D10D8" w:rsidRDefault="009E4577">
      <w:pPr>
        <w:adjustRightInd w:val="0"/>
        <w:snapToGrid w:val="0"/>
        <w:spacing w:line="360" w:lineRule="auto"/>
        <w:ind w:firstLineChars="200" w:firstLine="480"/>
        <w:rPr>
          <w:bCs/>
          <w:sz w:val="24"/>
        </w:rPr>
      </w:pPr>
      <w:r>
        <w:rPr>
          <w:rFonts w:hint="eastAsia"/>
          <w:bCs/>
          <w:sz w:val="24"/>
        </w:rPr>
        <w:t>2</w:t>
      </w:r>
      <w:r>
        <w:rPr>
          <w:rFonts w:hint="eastAsia"/>
          <w:bCs/>
          <w:sz w:val="24"/>
        </w:rPr>
        <w:t>、基金托管人根据有关法律法规的规定及基金合同的约定对下述基金投融资比例进行监督：</w:t>
      </w:r>
    </w:p>
    <w:p w14:paraId="7A13EE08" w14:textId="77777777" w:rsidR="009D10D8" w:rsidRDefault="009E4577">
      <w:pPr>
        <w:adjustRightInd w:val="0"/>
        <w:snapToGrid w:val="0"/>
        <w:spacing w:line="360" w:lineRule="auto"/>
        <w:ind w:firstLineChars="200" w:firstLine="480"/>
        <w:rPr>
          <w:bCs/>
          <w:sz w:val="24"/>
        </w:rPr>
      </w:pPr>
      <w:proofErr w:type="spellStart"/>
      <w:r>
        <w:rPr>
          <w:rFonts w:hint="eastAsia"/>
          <w:bCs/>
          <w:sz w:val="24"/>
        </w:rPr>
        <w:t>i</w:t>
      </w:r>
      <w:proofErr w:type="spellEnd"/>
      <w:r>
        <w:rPr>
          <w:rFonts w:hint="eastAsia"/>
          <w:bCs/>
          <w:sz w:val="24"/>
        </w:rPr>
        <w:t>.</w:t>
      </w:r>
      <w:r>
        <w:rPr>
          <w:rFonts w:hint="eastAsia"/>
          <w:bCs/>
          <w:sz w:val="24"/>
        </w:rPr>
        <w:t>按法律法规的规定及基金合同的约定，本基金的投资资产配置比例为：</w:t>
      </w:r>
    </w:p>
    <w:p w14:paraId="699FAB21" w14:textId="3EFBCE56" w:rsidR="009D10D8" w:rsidRDefault="009E4577">
      <w:pPr>
        <w:adjustRightInd w:val="0"/>
        <w:snapToGrid w:val="0"/>
        <w:spacing w:line="360" w:lineRule="auto"/>
        <w:ind w:firstLineChars="200" w:firstLine="480"/>
        <w:rPr>
          <w:bCs/>
          <w:sz w:val="24"/>
        </w:rPr>
      </w:pPr>
      <w:r>
        <w:rPr>
          <w:rFonts w:hint="eastAsia"/>
          <w:bCs/>
          <w:sz w:val="24"/>
        </w:rPr>
        <w:t>股票资产占基金资产的比例为</w:t>
      </w:r>
      <w:r>
        <w:rPr>
          <w:rFonts w:hint="eastAsia"/>
          <w:bCs/>
          <w:sz w:val="24"/>
        </w:rPr>
        <w:t>60%-95%</w:t>
      </w:r>
      <w:r>
        <w:rPr>
          <w:rFonts w:hint="eastAsia"/>
          <w:bCs/>
          <w:sz w:val="24"/>
        </w:rPr>
        <w:t>。每个交易日日终在扣除股指期货、国债期货、股票期权合约需缴纳的交易保证金以后，基金保留的现金或投资于到期日在一年以内的政府债券的比例合计不低于基金资产净值的</w:t>
      </w:r>
      <w:r>
        <w:rPr>
          <w:rFonts w:hint="eastAsia"/>
          <w:bCs/>
          <w:sz w:val="24"/>
        </w:rPr>
        <w:t>5%</w:t>
      </w:r>
      <w:r>
        <w:rPr>
          <w:rFonts w:hint="eastAsia"/>
          <w:bCs/>
          <w:sz w:val="24"/>
        </w:rPr>
        <w:t>，本基金所指</w:t>
      </w:r>
      <w:r>
        <w:rPr>
          <w:rFonts w:hint="eastAsia"/>
          <w:bCs/>
          <w:sz w:val="24"/>
        </w:rPr>
        <w:lastRenderedPageBreak/>
        <w:t>的现金不包括结算备付金、存出保证金、应收申购款等。</w:t>
      </w:r>
    </w:p>
    <w:p w14:paraId="2D750581" w14:textId="77777777" w:rsidR="009D10D8" w:rsidRDefault="009E4577">
      <w:pPr>
        <w:adjustRightInd w:val="0"/>
        <w:snapToGrid w:val="0"/>
        <w:spacing w:line="360" w:lineRule="auto"/>
        <w:ind w:firstLineChars="200" w:firstLine="480"/>
        <w:rPr>
          <w:bCs/>
          <w:sz w:val="24"/>
        </w:rPr>
      </w:pPr>
      <w:r>
        <w:rPr>
          <w:rFonts w:hint="eastAsia"/>
          <w:bCs/>
          <w:sz w:val="24"/>
        </w:rPr>
        <w:t>如未来法律法规或监管机构对投资比例要求有变更的，基金管理人在履行适当程序后，本基金的投资组合比例可进行相应调整。</w:t>
      </w:r>
    </w:p>
    <w:p w14:paraId="7D60EAA5" w14:textId="77777777" w:rsidR="009D10D8" w:rsidRDefault="009E4577">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ii.根据法律法规的规定及基金合同的约定，本基金投资组合遵循以下投资限制：</w:t>
      </w:r>
    </w:p>
    <w:p w14:paraId="0A16B268" w14:textId="77777777" w:rsidR="009D10D8" w:rsidRDefault="009E4577">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（1）股票资产占基金资产的比例为60%-95%；</w:t>
      </w:r>
    </w:p>
    <w:p w14:paraId="23C6FA01" w14:textId="77777777" w:rsidR="009D10D8" w:rsidRDefault="009E4577">
      <w:pPr>
        <w:spacing w:line="360" w:lineRule="auto"/>
        <w:ind w:firstLineChars="200" w:firstLine="480"/>
        <w:rPr>
          <w:bCs/>
          <w:sz w:val="24"/>
        </w:rPr>
      </w:pPr>
      <w:r>
        <w:rPr>
          <w:rFonts w:asciiTheme="minorEastAsia" w:hAnsiTheme="minorEastAsia" w:cs="Arial" w:hint="eastAsia"/>
          <w:color w:val="000000"/>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2371B103" w14:textId="77777777" w:rsidR="009D10D8" w:rsidRDefault="009E4577">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5BA07FDA" w14:textId="77777777" w:rsidR="009D10D8" w:rsidRDefault="009E4577">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3755BE24" w14:textId="77777777" w:rsidR="009D10D8" w:rsidRDefault="009E4577">
      <w:pPr>
        <w:spacing w:line="360" w:lineRule="auto"/>
        <w:ind w:firstLineChars="200" w:firstLine="480"/>
        <w:rPr>
          <w:bCs/>
          <w:sz w:val="24"/>
        </w:rPr>
      </w:pPr>
      <w:r>
        <w:rPr>
          <w:bCs/>
          <w:sz w:val="24"/>
        </w:rPr>
        <w:t>（</w:t>
      </w:r>
      <w:r>
        <w:rPr>
          <w:bCs/>
          <w:sz w:val="24"/>
        </w:rPr>
        <w:t>5</w:t>
      </w:r>
      <w:r>
        <w:rPr>
          <w:bCs/>
          <w:sz w:val="24"/>
        </w:rPr>
        <w:t>）本基金投资于同一原始权益人的各类资产支持证券的比例，不得超过基金资产净值的</w:t>
      </w:r>
      <w:r>
        <w:rPr>
          <w:bCs/>
          <w:sz w:val="24"/>
        </w:rPr>
        <w:t>10</w:t>
      </w:r>
      <w:r>
        <w:rPr>
          <w:bCs/>
          <w:sz w:val="24"/>
        </w:rPr>
        <w:t>％；</w:t>
      </w:r>
    </w:p>
    <w:p w14:paraId="6F6C2CCA" w14:textId="77777777" w:rsidR="009D10D8" w:rsidRDefault="009E4577">
      <w:pPr>
        <w:spacing w:line="360" w:lineRule="auto"/>
        <w:ind w:firstLineChars="200" w:firstLine="480"/>
        <w:rPr>
          <w:bCs/>
          <w:sz w:val="24"/>
        </w:rPr>
      </w:pPr>
      <w:r>
        <w:rPr>
          <w:bCs/>
          <w:sz w:val="24"/>
        </w:rPr>
        <w:t>（</w:t>
      </w:r>
      <w:r>
        <w:rPr>
          <w:bCs/>
          <w:sz w:val="24"/>
        </w:rPr>
        <w:t>6</w:t>
      </w:r>
      <w:r>
        <w:rPr>
          <w:bCs/>
          <w:sz w:val="24"/>
        </w:rPr>
        <w:t>）本基金持有的全部资产支持证券，其市值不得超过基金资产净值的</w:t>
      </w:r>
      <w:r>
        <w:rPr>
          <w:bCs/>
          <w:sz w:val="24"/>
        </w:rPr>
        <w:t>20</w:t>
      </w:r>
      <w:r>
        <w:rPr>
          <w:bCs/>
          <w:sz w:val="24"/>
        </w:rPr>
        <w:t>％；</w:t>
      </w:r>
    </w:p>
    <w:p w14:paraId="23FF26B0" w14:textId="77777777" w:rsidR="009D10D8" w:rsidRDefault="009E4577">
      <w:pPr>
        <w:spacing w:line="360" w:lineRule="auto"/>
        <w:ind w:firstLineChars="200" w:firstLine="480"/>
        <w:rPr>
          <w:bCs/>
          <w:sz w:val="24"/>
        </w:rPr>
      </w:pPr>
      <w:r>
        <w:rPr>
          <w:bCs/>
          <w:sz w:val="24"/>
        </w:rPr>
        <w:t>（</w:t>
      </w:r>
      <w:r>
        <w:rPr>
          <w:bCs/>
          <w:sz w:val="24"/>
        </w:rPr>
        <w:t>7</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0E7BF798" w14:textId="77777777" w:rsidR="009D10D8" w:rsidRDefault="009E4577">
      <w:pPr>
        <w:spacing w:line="360" w:lineRule="auto"/>
        <w:ind w:firstLineChars="200" w:firstLine="480"/>
        <w:rPr>
          <w:bCs/>
          <w:sz w:val="24"/>
        </w:rPr>
      </w:pPr>
      <w:r>
        <w:rPr>
          <w:bCs/>
          <w:sz w:val="24"/>
        </w:rPr>
        <w:t>（</w:t>
      </w:r>
      <w:r>
        <w:rPr>
          <w:bCs/>
          <w:sz w:val="24"/>
        </w:rPr>
        <w:t>8</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44D64AE6" w14:textId="77777777" w:rsidR="009D10D8" w:rsidRDefault="009E4577">
      <w:pPr>
        <w:spacing w:line="360" w:lineRule="auto"/>
        <w:ind w:firstLineChars="200" w:firstLine="480"/>
        <w:rPr>
          <w:bCs/>
          <w:sz w:val="24"/>
        </w:rPr>
      </w:pPr>
      <w:r>
        <w:rPr>
          <w:bCs/>
          <w:sz w:val="24"/>
        </w:rPr>
        <w:t>（</w:t>
      </w:r>
      <w:r>
        <w:rPr>
          <w:bCs/>
          <w:sz w:val="24"/>
        </w:rPr>
        <w:t>9</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6C043ABC" w14:textId="77777777" w:rsidR="009D10D8" w:rsidRDefault="009E4577">
      <w:pPr>
        <w:spacing w:line="360" w:lineRule="auto"/>
        <w:ind w:firstLineChars="200" w:firstLine="480"/>
        <w:rPr>
          <w:bCs/>
          <w:sz w:val="24"/>
        </w:rPr>
      </w:pPr>
      <w:r>
        <w:rPr>
          <w:bCs/>
          <w:sz w:val="24"/>
        </w:rPr>
        <w:t>（</w:t>
      </w:r>
      <w:r>
        <w:rPr>
          <w:bCs/>
          <w:sz w:val="24"/>
        </w:rPr>
        <w:t>10</w:t>
      </w:r>
      <w:r>
        <w:rPr>
          <w:bCs/>
          <w:sz w:val="24"/>
        </w:rPr>
        <w:t>）基金财产参与股票发行申购，本基金所申报的金额不超过本基金的总资产，本基金所申报的股票数量不超过拟发行股票公司本次发行股票的总量；</w:t>
      </w:r>
    </w:p>
    <w:p w14:paraId="794E2EB0" w14:textId="77777777" w:rsidR="009D10D8" w:rsidRDefault="009E4577">
      <w:pPr>
        <w:spacing w:line="360" w:lineRule="auto"/>
        <w:ind w:firstLineChars="200" w:firstLine="480"/>
        <w:rPr>
          <w:bCs/>
          <w:sz w:val="24"/>
        </w:rPr>
      </w:pPr>
      <w:r>
        <w:rPr>
          <w:bCs/>
          <w:sz w:val="24"/>
        </w:rPr>
        <w:t>（</w:t>
      </w:r>
      <w:r>
        <w:rPr>
          <w:bCs/>
          <w:sz w:val="24"/>
        </w:rPr>
        <w:t>11</w:t>
      </w:r>
      <w:r>
        <w:rPr>
          <w:bCs/>
          <w:sz w:val="24"/>
        </w:rPr>
        <w:t>）本基金进入全国银行间同业市场进行债券回购的资金余额不得超过基金资产净值的</w:t>
      </w:r>
      <w:r>
        <w:rPr>
          <w:bCs/>
          <w:sz w:val="24"/>
        </w:rPr>
        <w:t>40%</w:t>
      </w:r>
      <w:r>
        <w:rPr>
          <w:rFonts w:hint="eastAsia"/>
          <w:bCs/>
          <w:sz w:val="24"/>
        </w:rPr>
        <w:t>；本基金在全国银行间同业市场的债券回购最长期限为</w:t>
      </w:r>
      <w:r>
        <w:rPr>
          <w:rFonts w:hint="eastAsia"/>
          <w:bCs/>
          <w:sz w:val="24"/>
        </w:rPr>
        <w:t>1</w:t>
      </w:r>
      <w:r>
        <w:rPr>
          <w:rFonts w:hint="eastAsia"/>
          <w:bCs/>
          <w:sz w:val="24"/>
        </w:rPr>
        <w:t>年，债券回购到期后不得展期</w:t>
      </w:r>
      <w:r>
        <w:rPr>
          <w:bCs/>
          <w:sz w:val="24"/>
        </w:rPr>
        <w:t>；</w:t>
      </w:r>
    </w:p>
    <w:p w14:paraId="47620176" w14:textId="77777777" w:rsidR="009D10D8" w:rsidRDefault="009E4577">
      <w:pPr>
        <w:spacing w:line="360" w:lineRule="auto"/>
        <w:ind w:firstLineChars="200" w:firstLine="480"/>
        <w:rPr>
          <w:bCs/>
          <w:sz w:val="24"/>
        </w:rPr>
      </w:pPr>
      <w:r>
        <w:rPr>
          <w:rFonts w:hint="eastAsia"/>
          <w:bCs/>
          <w:sz w:val="24"/>
        </w:rPr>
        <w:t>（</w:t>
      </w:r>
      <w:r>
        <w:rPr>
          <w:rFonts w:hint="eastAsia"/>
          <w:bCs/>
          <w:sz w:val="24"/>
        </w:rPr>
        <w:t>12</w:t>
      </w:r>
      <w:r>
        <w:rPr>
          <w:rFonts w:hint="eastAsia"/>
          <w:bCs/>
          <w:sz w:val="24"/>
        </w:rPr>
        <w:t>）本基金参与股指期货、国债期货交易依据下列标准建构组合：</w:t>
      </w:r>
    </w:p>
    <w:p w14:paraId="15DED886" w14:textId="77777777" w:rsidR="009D10D8" w:rsidRDefault="009E4577">
      <w:pPr>
        <w:spacing w:line="360" w:lineRule="auto"/>
        <w:ind w:firstLineChars="200" w:firstLine="480"/>
        <w:rPr>
          <w:bCs/>
          <w:sz w:val="24"/>
        </w:rPr>
      </w:pPr>
      <w:r>
        <w:rPr>
          <w:rFonts w:hint="eastAsia"/>
          <w:bCs/>
          <w:sz w:val="24"/>
        </w:rPr>
        <w:t>1</w:t>
      </w:r>
      <w:r>
        <w:rPr>
          <w:rFonts w:hint="eastAsia"/>
          <w:bCs/>
          <w:sz w:val="24"/>
        </w:rPr>
        <w:t>）在任何交易日日终，持有的买入国债期货和股指期货合约价值与有价证</w:t>
      </w:r>
      <w:r>
        <w:rPr>
          <w:rFonts w:hint="eastAsia"/>
          <w:bCs/>
          <w:sz w:val="24"/>
        </w:rPr>
        <w:lastRenderedPageBreak/>
        <w:t>券市值之和不得超过基金资产净值的</w:t>
      </w:r>
      <w:r>
        <w:rPr>
          <w:rFonts w:hint="eastAsia"/>
          <w:bCs/>
          <w:sz w:val="24"/>
        </w:rPr>
        <w:t>95%</w:t>
      </w:r>
      <w:r>
        <w:rPr>
          <w:rFonts w:hint="eastAsia"/>
          <w:bCs/>
          <w:sz w:val="24"/>
        </w:rPr>
        <w:t>，其中，有价证券指股票、债券（不含到期日在一年以内的政府债券）、资产支持证券、买入返售金融资产（不含质押式回购）等；</w:t>
      </w:r>
    </w:p>
    <w:p w14:paraId="21253930" w14:textId="77777777" w:rsidR="009D10D8" w:rsidRDefault="009E4577">
      <w:pPr>
        <w:spacing w:line="360" w:lineRule="auto"/>
        <w:ind w:firstLineChars="200" w:firstLine="480"/>
        <w:rPr>
          <w:bCs/>
          <w:sz w:val="24"/>
        </w:rPr>
      </w:pPr>
      <w:r>
        <w:rPr>
          <w:rFonts w:hint="eastAsia"/>
          <w:bCs/>
          <w:sz w:val="24"/>
        </w:rPr>
        <w:t>2</w:t>
      </w:r>
      <w:r>
        <w:rPr>
          <w:rFonts w:hint="eastAsia"/>
          <w:bCs/>
          <w:sz w:val="24"/>
        </w:rPr>
        <w:t>）在任何交易日日终，持有的买入股指期货合约价值，不得超过基金资产净值的</w:t>
      </w:r>
      <w:r>
        <w:rPr>
          <w:rFonts w:hint="eastAsia"/>
          <w:bCs/>
          <w:sz w:val="24"/>
        </w:rPr>
        <w:t>10%</w:t>
      </w:r>
      <w:r>
        <w:rPr>
          <w:rFonts w:hint="eastAsia"/>
          <w:bCs/>
          <w:sz w:val="24"/>
        </w:rPr>
        <w:t>；在任何交易日日终，持有的买入国债期货合约价值，不得超过基金资产净值的</w:t>
      </w:r>
      <w:r>
        <w:rPr>
          <w:rFonts w:hint="eastAsia"/>
          <w:bCs/>
          <w:sz w:val="24"/>
        </w:rPr>
        <w:t>15%</w:t>
      </w:r>
      <w:r>
        <w:rPr>
          <w:rFonts w:hint="eastAsia"/>
          <w:bCs/>
          <w:sz w:val="24"/>
        </w:rPr>
        <w:t>；</w:t>
      </w:r>
    </w:p>
    <w:p w14:paraId="2C0FBC3B" w14:textId="77777777" w:rsidR="009D10D8" w:rsidRDefault="009E4577">
      <w:pPr>
        <w:spacing w:line="360" w:lineRule="auto"/>
        <w:ind w:firstLineChars="200" w:firstLine="480"/>
        <w:rPr>
          <w:bCs/>
          <w:sz w:val="24"/>
        </w:rPr>
      </w:pPr>
      <w:r>
        <w:rPr>
          <w:rFonts w:hint="eastAsia"/>
          <w:bCs/>
          <w:sz w:val="24"/>
        </w:rPr>
        <w:t>3</w:t>
      </w:r>
      <w:r>
        <w:rPr>
          <w:rFonts w:hint="eastAsia"/>
          <w:bCs/>
          <w:sz w:val="24"/>
        </w:rPr>
        <w:t>）在任何交易日日终，持有的卖出股指期货合约价值不得超过基金持有的股票总市值的</w:t>
      </w:r>
      <w:r>
        <w:rPr>
          <w:rFonts w:hint="eastAsia"/>
          <w:bCs/>
          <w:sz w:val="24"/>
        </w:rPr>
        <w:t>20%</w:t>
      </w:r>
      <w:r>
        <w:rPr>
          <w:rFonts w:hint="eastAsia"/>
          <w:bCs/>
          <w:sz w:val="24"/>
        </w:rPr>
        <w:t>；在任何交易日日终，持有的卖出国债期货合约价值不得超过基金持有的债券总市值的</w:t>
      </w:r>
      <w:r>
        <w:rPr>
          <w:rFonts w:hint="eastAsia"/>
          <w:bCs/>
          <w:sz w:val="24"/>
        </w:rPr>
        <w:t>30%</w:t>
      </w:r>
      <w:r>
        <w:rPr>
          <w:rFonts w:hint="eastAsia"/>
          <w:bCs/>
          <w:sz w:val="24"/>
        </w:rPr>
        <w:t>；</w:t>
      </w:r>
    </w:p>
    <w:p w14:paraId="72B4FC72" w14:textId="77777777" w:rsidR="009D10D8" w:rsidRDefault="009E4577">
      <w:pPr>
        <w:spacing w:line="360" w:lineRule="auto"/>
        <w:ind w:firstLineChars="200" w:firstLine="480"/>
        <w:rPr>
          <w:bCs/>
          <w:sz w:val="24"/>
        </w:rPr>
      </w:pPr>
      <w:r>
        <w:rPr>
          <w:rFonts w:hint="eastAsia"/>
          <w:bCs/>
          <w:sz w:val="24"/>
        </w:rPr>
        <w:t>4</w:t>
      </w:r>
      <w:r>
        <w:rPr>
          <w:rFonts w:hint="eastAsia"/>
          <w:bCs/>
          <w:sz w:val="24"/>
        </w:rPr>
        <w:t>）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24459987" w14:textId="77777777" w:rsidR="009D10D8" w:rsidRDefault="009E4577">
      <w:pPr>
        <w:spacing w:line="360" w:lineRule="auto"/>
        <w:ind w:firstLineChars="200" w:firstLine="480"/>
        <w:rPr>
          <w:bCs/>
          <w:sz w:val="24"/>
        </w:rPr>
      </w:pPr>
      <w:r>
        <w:rPr>
          <w:rFonts w:hint="eastAsia"/>
          <w:bCs/>
          <w:sz w:val="24"/>
        </w:rPr>
        <w:t>5</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1D1F8A1D" w14:textId="77777777" w:rsidR="009D10D8" w:rsidRDefault="009E4577">
      <w:pPr>
        <w:spacing w:line="360" w:lineRule="auto"/>
        <w:ind w:firstLineChars="200" w:firstLine="480"/>
        <w:rPr>
          <w:bCs/>
          <w:sz w:val="24"/>
        </w:rPr>
      </w:pPr>
      <w:r>
        <w:rPr>
          <w:rFonts w:hint="eastAsia"/>
          <w:bCs/>
          <w:sz w:val="24"/>
        </w:rPr>
        <w:t>（</w:t>
      </w:r>
      <w:r>
        <w:rPr>
          <w:rFonts w:hint="eastAsia"/>
          <w:bCs/>
          <w:sz w:val="24"/>
        </w:rPr>
        <w:t>13</w:t>
      </w:r>
      <w:r>
        <w:rPr>
          <w:rFonts w:hint="eastAsia"/>
          <w:bCs/>
          <w:sz w:val="24"/>
        </w:rPr>
        <w:t>）本基金投资流通受限证券，基金管理人应事先根据中国证监会相关规定，在首次投资前与基金托管人签订风险控制补充协议，并明确基金投资流通受限证券的比例，根据比例进行投资；</w:t>
      </w:r>
    </w:p>
    <w:p w14:paraId="5E024B9B" w14:textId="77777777" w:rsidR="009D10D8" w:rsidRDefault="009E4577">
      <w:pPr>
        <w:spacing w:line="360" w:lineRule="auto"/>
        <w:ind w:firstLineChars="200" w:firstLine="480"/>
        <w:rPr>
          <w:bCs/>
          <w:sz w:val="24"/>
        </w:rPr>
      </w:pPr>
      <w:r>
        <w:rPr>
          <w:rFonts w:hint="eastAsia"/>
          <w:bCs/>
          <w:sz w:val="24"/>
        </w:rPr>
        <w:t>（</w:t>
      </w:r>
      <w:r>
        <w:rPr>
          <w:rFonts w:hint="eastAsia"/>
          <w:bCs/>
          <w:sz w:val="24"/>
        </w:rPr>
        <w:t>14</w:t>
      </w:r>
      <w:r>
        <w:rPr>
          <w:rFonts w:hint="eastAsia"/>
          <w:bCs/>
          <w:sz w:val="24"/>
        </w:rPr>
        <w:t>）本基金</w:t>
      </w:r>
      <w:proofErr w:type="gramStart"/>
      <w:r>
        <w:rPr>
          <w:rFonts w:hint="eastAsia"/>
          <w:bCs/>
          <w:sz w:val="24"/>
        </w:rPr>
        <w:t>不</w:t>
      </w:r>
      <w:proofErr w:type="gramEnd"/>
      <w:r>
        <w:rPr>
          <w:rFonts w:hint="eastAsia"/>
          <w:bCs/>
          <w:sz w:val="24"/>
        </w:rPr>
        <w:t>持有具有信用保护卖方属性的信用衍生品，</w:t>
      </w:r>
      <w:proofErr w:type="gramStart"/>
      <w:r>
        <w:rPr>
          <w:rFonts w:hint="eastAsia"/>
          <w:bCs/>
          <w:sz w:val="24"/>
        </w:rPr>
        <w:t>不</w:t>
      </w:r>
      <w:proofErr w:type="gramEnd"/>
      <w:r>
        <w:rPr>
          <w:rFonts w:hint="eastAsia"/>
          <w:bCs/>
          <w:sz w:val="24"/>
        </w:rPr>
        <w:t>持有合约类信用衍生品。投资信用衍生品名义本金不得超过本基金对应受保护债券面值的</w:t>
      </w:r>
      <w:r>
        <w:rPr>
          <w:rFonts w:hint="eastAsia"/>
          <w:bCs/>
          <w:sz w:val="24"/>
        </w:rPr>
        <w:t>100%</w:t>
      </w:r>
      <w:r>
        <w:rPr>
          <w:rFonts w:hint="eastAsia"/>
          <w:bCs/>
          <w:sz w:val="24"/>
        </w:rPr>
        <w:t>，投资于同一信用保护卖方的各类信用衍生品名义本金合计不得超过基金净值的</w:t>
      </w:r>
      <w:r>
        <w:rPr>
          <w:rFonts w:hint="eastAsia"/>
          <w:bCs/>
          <w:sz w:val="24"/>
        </w:rPr>
        <w:t>10%</w:t>
      </w:r>
      <w:r>
        <w:rPr>
          <w:rFonts w:hint="eastAsia"/>
          <w:bCs/>
          <w:sz w:val="24"/>
        </w:rPr>
        <w:t>。因证券市场波动、证券发行人合并、基金规模变动等基金管理人之外的因素，致使基金投资比例不符合上述规定投资比例的，基金管理人应该在三个月内进行调整；</w:t>
      </w:r>
    </w:p>
    <w:p w14:paraId="191B67AE" w14:textId="77777777" w:rsidR="009D10D8" w:rsidRDefault="009E4577">
      <w:pPr>
        <w:spacing w:line="360" w:lineRule="auto"/>
        <w:ind w:firstLineChars="200" w:firstLine="480"/>
        <w:rPr>
          <w:bCs/>
          <w:sz w:val="24"/>
        </w:rPr>
      </w:pPr>
      <w:r>
        <w:rPr>
          <w:rFonts w:hint="eastAsia"/>
          <w:bCs/>
          <w:sz w:val="24"/>
        </w:rPr>
        <w:t>（</w:t>
      </w:r>
      <w:r>
        <w:rPr>
          <w:rFonts w:hint="eastAsia"/>
          <w:bCs/>
          <w:sz w:val="24"/>
        </w:rPr>
        <w:t>1</w:t>
      </w:r>
      <w:r>
        <w:rPr>
          <w:bCs/>
          <w:sz w:val="24"/>
        </w:rPr>
        <w:t>5</w:t>
      </w:r>
      <w:r>
        <w:rPr>
          <w:rFonts w:hint="eastAsia"/>
          <w:bCs/>
          <w:sz w:val="24"/>
        </w:rPr>
        <w:t>）基金总资产不得超过基金净资产的</w:t>
      </w:r>
      <w:r>
        <w:rPr>
          <w:rFonts w:hint="eastAsia"/>
          <w:bCs/>
          <w:sz w:val="24"/>
        </w:rPr>
        <w:t>140%</w:t>
      </w:r>
      <w:r>
        <w:rPr>
          <w:rFonts w:hint="eastAsia"/>
          <w:bCs/>
          <w:sz w:val="24"/>
        </w:rPr>
        <w:t>；</w:t>
      </w:r>
    </w:p>
    <w:p w14:paraId="4B65470A" w14:textId="77777777" w:rsidR="009D10D8" w:rsidRDefault="009E4577">
      <w:pPr>
        <w:spacing w:line="360" w:lineRule="auto"/>
        <w:ind w:firstLineChars="200" w:firstLine="480"/>
        <w:rPr>
          <w:bCs/>
          <w:sz w:val="24"/>
        </w:rPr>
      </w:pPr>
      <w:r>
        <w:rPr>
          <w:rFonts w:hint="eastAsia"/>
          <w:bCs/>
          <w:sz w:val="24"/>
        </w:rPr>
        <w:t>（</w:t>
      </w:r>
      <w:r>
        <w:rPr>
          <w:rFonts w:hint="eastAsia"/>
          <w:bCs/>
          <w:sz w:val="24"/>
        </w:rPr>
        <w:t>1</w:t>
      </w:r>
      <w:r>
        <w:rPr>
          <w:bCs/>
          <w:sz w:val="24"/>
        </w:rPr>
        <w:t>6</w:t>
      </w:r>
      <w:r>
        <w:rPr>
          <w:rFonts w:hint="eastAsia"/>
          <w:bCs/>
          <w:sz w:val="24"/>
        </w:rPr>
        <w:t>）本基金管理人管理的全部开放式基金持有一家上市公司发行的可流通股票，不得超过该上市公司可流通股票的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076339C1" w14:textId="77777777" w:rsidR="009D10D8" w:rsidRDefault="009E4577">
      <w:pPr>
        <w:spacing w:line="360" w:lineRule="auto"/>
        <w:ind w:firstLineChars="200" w:firstLine="480"/>
        <w:rPr>
          <w:bCs/>
          <w:sz w:val="24"/>
        </w:rPr>
      </w:pPr>
      <w:r>
        <w:rPr>
          <w:rFonts w:hint="eastAsia"/>
          <w:bCs/>
          <w:sz w:val="24"/>
        </w:rPr>
        <w:lastRenderedPageBreak/>
        <w:t>（</w:t>
      </w:r>
      <w:r>
        <w:rPr>
          <w:rFonts w:hint="eastAsia"/>
          <w:bCs/>
          <w:sz w:val="24"/>
        </w:rPr>
        <w:t>1</w:t>
      </w:r>
      <w:r>
        <w:rPr>
          <w:bCs/>
          <w:sz w:val="24"/>
        </w:rPr>
        <w:t>7</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04AB62E7" w14:textId="77777777" w:rsidR="009D10D8" w:rsidRDefault="009E4577">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3DFDFDD4" w14:textId="77777777" w:rsidR="009D10D8" w:rsidRDefault="009E4577">
      <w:pPr>
        <w:spacing w:line="360" w:lineRule="auto"/>
        <w:ind w:firstLineChars="200" w:firstLine="480"/>
        <w:rPr>
          <w:bCs/>
          <w:sz w:val="24"/>
        </w:rPr>
      </w:pPr>
      <w:r>
        <w:rPr>
          <w:rFonts w:hint="eastAsia"/>
          <w:bCs/>
          <w:sz w:val="24"/>
        </w:rPr>
        <w:t>（</w:t>
      </w:r>
      <w:r>
        <w:rPr>
          <w:rFonts w:hint="eastAsia"/>
          <w:bCs/>
          <w:sz w:val="24"/>
        </w:rPr>
        <w:t>1</w:t>
      </w:r>
      <w:r>
        <w:rPr>
          <w:bCs/>
          <w:sz w:val="24"/>
        </w:rPr>
        <w:t>8</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53FF738C" w14:textId="77777777" w:rsidR="009D10D8" w:rsidRDefault="009E4577">
      <w:pPr>
        <w:spacing w:line="360" w:lineRule="auto"/>
        <w:ind w:firstLineChars="200" w:firstLine="480"/>
        <w:rPr>
          <w:bCs/>
          <w:sz w:val="24"/>
        </w:rPr>
      </w:pPr>
      <w:r>
        <w:rPr>
          <w:rFonts w:hint="eastAsia"/>
          <w:bCs/>
          <w:sz w:val="24"/>
        </w:rPr>
        <w:t>（</w:t>
      </w:r>
      <w:r>
        <w:rPr>
          <w:rFonts w:hint="eastAsia"/>
          <w:bCs/>
          <w:sz w:val="24"/>
        </w:rPr>
        <w:t>1</w:t>
      </w:r>
      <w:r>
        <w:rPr>
          <w:bCs/>
          <w:sz w:val="24"/>
        </w:rPr>
        <w:t>9</w:t>
      </w:r>
      <w:r>
        <w:rPr>
          <w:rFonts w:hint="eastAsia"/>
          <w:bCs/>
          <w:sz w:val="24"/>
        </w:rPr>
        <w:t>）本基金参与股票期权交易的，需遵守下列投资比例限制：</w:t>
      </w:r>
    </w:p>
    <w:p w14:paraId="0A00B148" w14:textId="77777777" w:rsidR="009D10D8" w:rsidRDefault="009E4577">
      <w:pPr>
        <w:spacing w:line="360" w:lineRule="auto"/>
        <w:ind w:firstLineChars="200" w:firstLine="480"/>
        <w:rPr>
          <w:bCs/>
          <w:sz w:val="24"/>
        </w:rPr>
      </w:pPr>
      <w:r>
        <w:rPr>
          <w:rFonts w:hint="eastAsia"/>
          <w:bCs/>
          <w:sz w:val="24"/>
        </w:rPr>
        <w:t>1</w:t>
      </w:r>
      <w:r>
        <w:rPr>
          <w:rFonts w:hint="eastAsia"/>
          <w:bCs/>
          <w:sz w:val="24"/>
        </w:rPr>
        <w:t>）本基金因未平仓的期权合约支付和收取的权利金总额不得超过基金资产净值的</w:t>
      </w:r>
      <w:r>
        <w:rPr>
          <w:rFonts w:hint="eastAsia"/>
          <w:bCs/>
          <w:sz w:val="24"/>
        </w:rPr>
        <w:t>10%</w:t>
      </w:r>
      <w:r>
        <w:rPr>
          <w:rFonts w:hint="eastAsia"/>
          <w:bCs/>
          <w:sz w:val="24"/>
        </w:rPr>
        <w:t>；</w:t>
      </w:r>
    </w:p>
    <w:p w14:paraId="579DCE74" w14:textId="77777777" w:rsidR="009D10D8" w:rsidRDefault="009E4577">
      <w:pPr>
        <w:spacing w:line="360" w:lineRule="auto"/>
        <w:ind w:firstLineChars="200" w:firstLine="480"/>
        <w:rPr>
          <w:bCs/>
          <w:sz w:val="24"/>
        </w:rPr>
      </w:pPr>
      <w:r>
        <w:rPr>
          <w:rFonts w:hint="eastAsia"/>
          <w:bCs/>
          <w:sz w:val="24"/>
        </w:rPr>
        <w:t>2</w:t>
      </w:r>
      <w:r>
        <w:rPr>
          <w:rFonts w:hint="eastAsia"/>
          <w:bCs/>
          <w:sz w:val="24"/>
        </w:rPr>
        <w:t>）本基金开仓卖出认购期权的，应持有足额标的证券；开仓卖出认沽期权的，应持有合约行权所需的全额现金或交易所规则认可的可冲抵期权保证金的现金等价物；</w:t>
      </w:r>
    </w:p>
    <w:p w14:paraId="5C0613ED" w14:textId="77777777" w:rsidR="009D10D8" w:rsidRDefault="009E4577">
      <w:pPr>
        <w:spacing w:line="360" w:lineRule="auto"/>
        <w:ind w:firstLineChars="200" w:firstLine="480"/>
        <w:rPr>
          <w:bCs/>
          <w:sz w:val="24"/>
        </w:rPr>
      </w:pPr>
      <w:r>
        <w:rPr>
          <w:rFonts w:hint="eastAsia"/>
          <w:bCs/>
          <w:sz w:val="24"/>
        </w:rPr>
        <w:t>3</w:t>
      </w:r>
      <w:r>
        <w:rPr>
          <w:rFonts w:hint="eastAsia"/>
          <w:bCs/>
          <w:sz w:val="24"/>
        </w:rPr>
        <w:t>）本基金未平仓的期权合约面值不得超过基金资产净值的</w:t>
      </w:r>
      <w:r>
        <w:rPr>
          <w:rFonts w:hint="eastAsia"/>
          <w:bCs/>
          <w:sz w:val="24"/>
        </w:rPr>
        <w:t>20%</w:t>
      </w:r>
      <w:r>
        <w:rPr>
          <w:rFonts w:hint="eastAsia"/>
          <w:bCs/>
          <w:sz w:val="24"/>
        </w:rPr>
        <w:t>。其中，合约面值按照行权价乘以合约乘数计算；</w:t>
      </w:r>
    </w:p>
    <w:p w14:paraId="7037587E" w14:textId="77777777" w:rsidR="009D10D8" w:rsidRDefault="009E4577">
      <w:pPr>
        <w:spacing w:line="360" w:lineRule="auto"/>
        <w:ind w:firstLineChars="200" w:firstLine="480"/>
        <w:rPr>
          <w:bCs/>
          <w:sz w:val="24"/>
        </w:rPr>
      </w:pPr>
      <w:r>
        <w:rPr>
          <w:rFonts w:hint="eastAsia"/>
          <w:bCs/>
          <w:sz w:val="24"/>
        </w:rPr>
        <w:t>（</w:t>
      </w:r>
      <w:r>
        <w:rPr>
          <w:bCs/>
          <w:sz w:val="24"/>
        </w:rPr>
        <w:t>20</w:t>
      </w:r>
      <w:r>
        <w:rPr>
          <w:rFonts w:hint="eastAsia"/>
          <w:bCs/>
          <w:sz w:val="24"/>
        </w:rPr>
        <w:t>）本基金投资存托凭证的比例限制依照境内上市交易的股票执行，与境内上市交易的股票合并计算；</w:t>
      </w:r>
    </w:p>
    <w:p w14:paraId="164ABB1C" w14:textId="77777777" w:rsidR="009D10D8" w:rsidRDefault="009E4577">
      <w:pPr>
        <w:spacing w:line="360" w:lineRule="auto"/>
        <w:ind w:firstLineChars="200" w:firstLine="480"/>
        <w:rPr>
          <w:bCs/>
          <w:sz w:val="24"/>
        </w:rPr>
      </w:pPr>
      <w:r>
        <w:rPr>
          <w:rFonts w:hint="eastAsia"/>
          <w:bCs/>
          <w:sz w:val="24"/>
        </w:rPr>
        <w:t>（</w:t>
      </w:r>
      <w:r>
        <w:rPr>
          <w:rFonts w:hint="eastAsia"/>
          <w:bCs/>
          <w:sz w:val="24"/>
        </w:rPr>
        <w:t>2</w:t>
      </w:r>
      <w:r>
        <w:rPr>
          <w:bCs/>
          <w:sz w:val="24"/>
        </w:rPr>
        <w:t>1</w:t>
      </w:r>
      <w:r>
        <w:rPr>
          <w:rFonts w:hint="eastAsia"/>
          <w:bCs/>
          <w:sz w:val="24"/>
        </w:rPr>
        <w:t>）本基金参与融资的，每个交易日日终，本基金持有的融资买入股票与其他有价证券市值之和，不得超过基金资产净值的</w:t>
      </w:r>
      <w:r>
        <w:rPr>
          <w:rFonts w:hint="eastAsia"/>
          <w:bCs/>
          <w:sz w:val="24"/>
        </w:rPr>
        <w:t>95%</w:t>
      </w:r>
      <w:r>
        <w:rPr>
          <w:rFonts w:hint="eastAsia"/>
          <w:bCs/>
          <w:sz w:val="24"/>
        </w:rPr>
        <w:t>；</w:t>
      </w:r>
    </w:p>
    <w:p w14:paraId="4BF8D2D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bCs/>
          <w:sz w:val="24"/>
        </w:rPr>
        <w:t>2</w:t>
      </w:r>
      <w:r>
        <w:rPr>
          <w:rFonts w:hint="eastAsia"/>
          <w:bCs/>
          <w:sz w:val="24"/>
        </w:rPr>
        <w:t>）法律法规及中国证监会规定的和《基金合同》约定的其他投资限制。</w:t>
      </w:r>
    </w:p>
    <w:p w14:paraId="23BDB915" w14:textId="514B296C" w:rsidR="009D10D8" w:rsidRDefault="009E4577">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9</w:t>
      </w:r>
      <w:r>
        <w:rPr>
          <w:rFonts w:hint="eastAsia"/>
          <w:bCs/>
          <w:sz w:val="24"/>
        </w:rPr>
        <w:t>）、（</w:t>
      </w:r>
      <w:r>
        <w:rPr>
          <w:rFonts w:hint="eastAsia"/>
          <w:bCs/>
          <w:sz w:val="24"/>
        </w:rPr>
        <w:t>13</w:t>
      </w:r>
      <w:r>
        <w:rPr>
          <w:rFonts w:hint="eastAsia"/>
          <w:bCs/>
          <w:sz w:val="24"/>
        </w:rPr>
        <w:t>）、（</w:t>
      </w:r>
      <w:r>
        <w:rPr>
          <w:rFonts w:hint="eastAsia"/>
          <w:bCs/>
          <w:sz w:val="24"/>
        </w:rPr>
        <w:t>14</w:t>
      </w:r>
      <w:r>
        <w:rPr>
          <w:rFonts w:hint="eastAsia"/>
          <w:bCs/>
          <w:sz w:val="24"/>
        </w:rPr>
        <w:t>）、（</w:t>
      </w:r>
      <w:r>
        <w:rPr>
          <w:rFonts w:hint="eastAsia"/>
          <w:bCs/>
          <w:sz w:val="24"/>
        </w:rPr>
        <w:t>1</w:t>
      </w:r>
      <w:r>
        <w:rPr>
          <w:bCs/>
          <w:sz w:val="24"/>
        </w:rPr>
        <w:t>7</w:t>
      </w:r>
      <w:r>
        <w:rPr>
          <w:rFonts w:hint="eastAsia"/>
          <w:bCs/>
          <w:sz w:val="24"/>
        </w:rPr>
        <w:t>）、（</w:t>
      </w:r>
      <w:r>
        <w:rPr>
          <w:rFonts w:hint="eastAsia"/>
          <w:bCs/>
          <w:sz w:val="24"/>
        </w:rPr>
        <w:t>1</w:t>
      </w:r>
      <w:r>
        <w:rPr>
          <w:bCs/>
          <w:sz w:val="24"/>
        </w:rPr>
        <w:t>8</w:t>
      </w:r>
      <w:r>
        <w:rPr>
          <w:rFonts w:hint="eastAsia"/>
          <w:bCs/>
          <w:sz w:val="24"/>
        </w:rPr>
        <w:t>）项情形之外，因证券、期货市场波动、证券发行人合并、基金规模变动等基金管理人之外的因素致使基金投资比例不符合上述规定投资比例的，基金管理人应当在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407223D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14:paraId="75D58DF9" w14:textId="77777777" w:rsidR="009D10D8" w:rsidRDefault="009E4577">
      <w:pPr>
        <w:adjustRightInd w:val="0"/>
        <w:snapToGrid w:val="0"/>
        <w:spacing w:line="360" w:lineRule="auto"/>
        <w:ind w:firstLineChars="200" w:firstLine="480"/>
        <w:rPr>
          <w:rFonts w:asciiTheme="minorEastAsia" w:hAnsiTheme="minorEastAsia" w:cs="Arial" w:hint="eastAsia"/>
          <w:color w:val="000000"/>
          <w:sz w:val="24"/>
          <w:szCs w:val="24"/>
        </w:rPr>
      </w:pPr>
      <w:r>
        <w:rPr>
          <w:rFonts w:hint="eastAsia"/>
          <w:bCs/>
          <w:sz w:val="24"/>
        </w:rPr>
        <w:t>法律法规或监管部门取消或变更上述限制，如适用于本基金，基金管理人在履行适当程序后，则本基金投资不再受相关限制或以变更后的规定为准。</w:t>
      </w:r>
    </w:p>
    <w:p w14:paraId="1CB4835E"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lastRenderedPageBreak/>
        <w:t>3、基金托管人根据有关法律法规的规定及基金合同的约定对下述基金投资禁止行为进行监督：</w:t>
      </w:r>
    </w:p>
    <w:p w14:paraId="54207501"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为维护基金份额持有人的合法权益，基金财产不得用于下列投资或者活动：</w:t>
      </w:r>
    </w:p>
    <w:p w14:paraId="7C35889E"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（1）承销证券；</w:t>
      </w:r>
    </w:p>
    <w:p w14:paraId="2CC70CC3"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（2）违反规定向他人贷款或者提供担保；</w:t>
      </w:r>
    </w:p>
    <w:p w14:paraId="6B4155F3"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（3）从事承担无限责任的投资；</w:t>
      </w:r>
    </w:p>
    <w:p w14:paraId="448B458F"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（4）买卖其他基金份额，但是中国证监会另有规定的除外；</w:t>
      </w:r>
    </w:p>
    <w:p w14:paraId="2DF86993"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（5）向其基金管理人、基金托管人出资；</w:t>
      </w:r>
    </w:p>
    <w:p w14:paraId="2DF6F216"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（6）从事内幕交易、操纵证券交易价格及其他不正当的证券交易活动；</w:t>
      </w:r>
    </w:p>
    <w:p w14:paraId="75B20CFB"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（7）法律、行政法规和中国证监会规定禁止的其他活动。</w:t>
      </w:r>
    </w:p>
    <w:p w14:paraId="4AA8F4F7"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法律、行政法规或监管部门取消或调整上述禁止行为，如适用于本基金，基金管理人在履行适当程序后，则本基金投资按照取消或调整后的规定执行。</w:t>
      </w:r>
    </w:p>
    <w:p w14:paraId="4A410B0E"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基金托管人依据有关法律法规的规定和基金合同的约定对于基金关联投资限制进行监督。</w:t>
      </w:r>
    </w:p>
    <w:p w14:paraId="3C51F692"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F6D1AC1"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根据法律法规有关基金从事关联交易的规定，基金管理人和基金托管人应事先相互提供与本机构有控股关系的股东或与本机构有其他重大利害关系的公司名单及其更新，并确保所提供名单的真实性、准确性、完整性。</w:t>
      </w:r>
    </w:p>
    <w:p w14:paraId="07A81E2E"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4、基金托管人依据有关法律法规的规定和基金合同的约定对基金管理人参与银行间债券市场进行监督。</w:t>
      </w:r>
    </w:p>
    <w:p w14:paraId="579A89CD"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（1）基金托管人依据有关法律法规的规定和基金合同的约定对于基金管理人参与银行间债券市场交易时面临的交易对手资信风险进行监督。</w:t>
      </w:r>
    </w:p>
    <w:p w14:paraId="5EA55510"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基金管理人应在基金投资运作之前向基金托管人提供符合法律法规及行业</w:t>
      </w:r>
      <w:r>
        <w:rPr>
          <w:rFonts w:ascii="宋体" w:hAnsi="宋体" w:hint="eastAsia"/>
          <w:sz w:val="24"/>
          <w:szCs w:val="24"/>
        </w:rPr>
        <w:lastRenderedPageBreak/>
        <w:t>标准的银行间债券市场交易对手的名单，并按照审慎的风险控制原则在该名单中约定各交易对手所适用的交易结算方式。基金托管人在收到名单后2个工作日内电话确认收到该名单。基金管理人应定期或不定期对银行间债券市场现券及回购交易对手的名单进行更新，名单中增加或减少银行间债券市场交易对手时须及时通知基金托管人，基金托管人于2个工作日内电话确认收到后，对名单进行更新。基金管理人收到基金托管人书面确认后，被确认调整的名单开始生效，新名单生效前已与本次剔除的交易对手所进行但尚未结算的交易，仍应按照双方原定协议进行结算。如基金管理人在基金投资运作之前未向基金托管人提供银行间债券市场交易对手名单的，视为基金管理人认可全市场交易对手。</w:t>
      </w:r>
    </w:p>
    <w:p w14:paraId="07BD2D9E"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如果基金托管人发现基金管理人与不在名单内的银行间债券市场交易对手进行交易，应及时提醒基金管理人撤销交易，经提醒后基金管理人仍执行交易并造成基金资产损失的，基金托管人不承担责任。</w:t>
      </w:r>
    </w:p>
    <w:p w14:paraId="7F8BC1F6"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（2）基金托管人对于基金管理人参与银行间债券市场交易的交易方式的控制</w:t>
      </w:r>
    </w:p>
    <w:p w14:paraId="2F9D0A15"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管理人在银行间债券市场进行现券买卖和回购交易时，需按交易对手名单中约定的该交易对手所适用的交易结算方式进行交易。如果基金托管人发现基金管理人没有按照事先约定的有利于信用风险控制的交易方式进行交易时，基金托管人应及时提醒基金管理人与交易对手重新确定交易方式，经提醒后仍未改正并造成基金资产损失的，基金托管人不承担责任。</w:t>
      </w:r>
    </w:p>
    <w:p w14:paraId="36988A17"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3）基金管理人有责任控制交易对手的资信风险，按银行间债券市场的交易规则进行交易，并负责解决因交易对手不履行合同而造成的纠纷及损失，基金托管人未履行或未完全履行监督职责造成的除外。若未履约的交易对手在基金管理人确定的时间内仍未承担违约责任及其他相关法律责任的，基金管理人可以向相关责任方追偿。基金托管人则根据银行间债券市场成交单对合同履行情况进行监督。如基金托管人发现基金管理人没有按照事先约定的交易对手进行交易时，基金托管人应及时提醒基金管理人，经提醒后仍未改正时造成基金资产损失的，基金托管人不承担责任。</w:t>
      </w:r>
    </w:p>
    <w:p w14:paraId="14F6729E"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5、基金托管人对基金管理人选择存款银行进行监督。</w:t>
      </w:r>
    </w:p>
    <w:p w14:paraId="4D97DE35"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基金投资银行定期存款的，基金管理人应根据法律法规的规定及基金合同的</w:t>
      </w:r>
      <w:r>
        <w:rPr>
          <w:rFonts w:ascii="宋体" w:hAnsi="宋体" w:hint="eastAsia"/>
          <w:sz w:val="24"/>
          <w:szCs w:val="24"/>
        </w:rPr>
        <w:lastRenderedPageBreak/>
        <w:t>约定，确定符合条件的所有存款银行的名单，并及时提供给基金托管人，基金托管人应据以对基金投资银行存款的交易对手是否符合有关规定进行监督。</w:t>
      </w:r>
    </w:p>
    <w:p w14:paraId="563463AE"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托管人对基金管理人选择存款银行的监督应依据基金管理人向基金托管人提供的符合条件的存款银行的名单执行，如基金托管人发现基金管理人将基金资产投资于该名单之外的存款银行，有权拒绝执行。该名单如有变更，基金管理人应在启用新名单前提前2个工作日将新名单发送给基金托管人。如基金管理人在基金投资运作之前未向基金托管人提供存款银行名单的，视为基金管理人认可所有银行。</w:t>
      </w:r>
    </w:p>
    <w:p w14:paraId="32E0EE8B"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6、基金托管人对基金投资流通受限证券的监督</w:t>
      </w:r>
    </w:p>
    <w:p w14:paraId="7A2C0649"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1）基金投资流通受限证券，应遵守《关于基金投资非公开发行股票等流通受限证券有关问题的通知》等有关法律法规规定。流通受限证券指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宋体" w:hAnsi="宋体" w:hint="eastAsia"/>
          <w:sz w:val="24"/>
          <w:szCs w:val="24"/>
        </w:rPr>
        <w:t>券</w:t>
      </w:r>
      <w:proofErr w:type="gramEnd"/>
      <w:r>
        <w:rPr>
          <w:rFonts w:ascii="宋体" w:hAnsi="宋体" w:hint="eastAsia"/>
          <w:sz w:val="24"/>
          <w:szCs w:val="24"/>
        </w:rPr>
        <w:t>等流通受限证券。</w:t>
      </w:r>
    </w:p>
    <w:p w14:paraId="05FA1CC7"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2）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672EB450"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基金管理人应至少</w:t>
      </w:r>
      <w:proofErr w:type="gramStart"/>
      <w:r>
        <w:rPr>
          <w:rFonts w:ascii="宋体" w:hAnsi="宋体" w:hint="eastAsia"/>
          <w:sz w:val="24"/>
          <w:szCs w:val="24"/>
        </w:rPr>
        <w:t>于首次</w:t>
      </w:r>
      <w:proofErr w:type="gramEnd"/>
      <w:r>
        <w:rPr>
          <w:rFonts w:ascii="宋体" w:hAnsi="宋体" w:hint="eastAsia"/>
          <w:sz w:val="24"/>
          <w:szCs w:val="24"/>
        </w:rPr>
        <w:t>执行投资指令之前2个工作日将上述资料书面发至基金托管人，保证基金托管人有足够的时间进行审核。基金托管人应在收到上述资料后2个工作日内，以书面或其他双方认可的方式确认收到上述资料。</w:t>
      </w:r>
    </w:p>
    <w:p w14:paraId="05C85FD8"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（3）基金投资流通受限证券前，基金管理人应向基金托管人提供符合法律法规要求的有关必要书面信息。基金管理人应保证上述信息的真实、完整，并应至少</w:t>
      </w:r>
      <w:proofErr w:type="gramStart"/>
      <w:r>
        <w:rPr>
          <w:rFonts w:ascii="宋体" w:hAnsi="宋体" w:hint="eastAsia"/>
          <w:sz w:val="24"/>
          <w:szCs w:val="24"/>
        </w:rPr>
        <w:t>于拟执行</w:t>
      </w:r>
      <w:proofErr w:type="gramEnd"/>
      <w:r>
        <w:rPr>
          <w:rFonts w:ascii="宋体" w:hAnsi="宋体" w:hint="eastAsia"/>
          <w:sz w:val="24"/>
          <w:szCs w:val="24"/>
        </w:rPr>
        <w:t>投资指令前将上述信息书面发至基金托管人。</w:t>
      </w:r>
    </w:p>
    <w:p w14:paraId="7311A1D4"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4）基金托管人应对基金管理人是否遵守法律法规、投资决策流程、风险控制制度情况进行监督，并审核基金管理人提供的有关书面信息。基金托管人认为上述资料可能导致基金出现风险的，有权要求基金管理人在投资流通受限证券前就该风险的消除或防范措施进行补充书面说明，否则，基金托管人有权拒绝执</w:t>
      </w:r>
      <w:r>
        <w:rPr>
          <w:rFonts w:ascii="宋体" w:hAnsi="宋体" w:hint="eastAsia"/>
          <w:sz w:val="24"/>
          <w:szCs w:val="24"/>
        </w:rPr>
        <w:lastRenderedPageBreak/>
        <w:t>行有关指令。因拒绝执行该指令造成基金财产损失的，基金托管人不承担任何责任，并有权报告中国证监会。</w:t>
      </w:r>
    </w:p>
    <w:p w14:paraId="067A4359"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如基金管理人和基金托管人无法达成一致，应及时上报中国证监会请求解决。如果基金托管人切实履行监督职责，则不承担任何责任。如果基金托管人没有切实履行监督职责，导致基金出现风险，基金托管人应承担相应连带责任。</w:t>
      </w:r>
    </w:p>
    <w:p w14:paraId="1B764E3A"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（二）基金托管人应当依照法律法规和基金合同约定，对特定资产处置和信息披露等方面进行复核和监督。</w:t>
      </w:r>
    </w:p>
    <w:p w14:paraId="24A3D6F2"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三）基金托管人应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3C79CD84"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四）基金托管人发现基金管理人的投资运作及其他运作违反《基金法》、基金合同、基金托管协议有关规定时，应及时以书面形式通知基金管理人限期纠正，基金管理人收到通知后应在下一个工作日及时核对，并以书面形式向基金托管人发出回函，进行解释或举证。</w:t>
      </w:r>
    </w:p>
    <w:p w14:paraId="27CE255C"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在限期内，基金托管人有权随时对通知事项进行复查，督促基金管理人改正。基金管理人对基金托管人通知的违规事项未能在限期内纠正的，基金托管人应报告中国证监会。</w:t>
      </w:r>
    </w:p>
    <w:p w14:paraId="2A7BFD2F"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基金托管人发现基金管理人的投资指令违反有关法律法规规定或者违反基金合同约定的，应当拒绝执行，立即通知基金管理人。</w:t>
      </w:r>
    </w:p>
    <w:p w14:paraId="71ACC7D7"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基金托管人发现基金管理人依据交易程序已经生效的投资指令违反法律、行政法规和其他有关规定，或者违反基金合同约定的，应当立即通知基金管理人，并及时向中国证监会报告。</w:t>
      </w:r>
    </w:p>
    <w:p w14:paraId="0C7B8629"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管理人应积极配合和协助基金托管人的监督和核查，必须在规定时间内答复基金托管人并改正，就基金托管人的疑义进行解释或举证，对基金托管人按照法规要求需向中国证监会报送基金监督报告的，基金管理人应积极配合提供相关数据资料和制度等。</w:t>
      </w:r>
    </w:p>
    <w:p w14:paraId="79D67A87"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基金托管人发现基金管理人有重大违规行为，应立即报告中国证监会，同时通知基金管理人限期纠正。</w:t>
      </w:r>
    </w:p>
    <w:p w14:paraId="3427909E" w14:textId="77777777" w:rsidR="009D10D8" w:rsidRDefault="009E4577">
      <w:pPr>
        <w:adjustRightInd w:val="0"/>
        <w:snapToGrid w:val="0"/>
        <w:spacing w:line="360" w:lineRule="auto"/>
        <w:ind w:firstLineChars="200" w:firstLine="480"/>
        <w:rPr>
          <w:rFonts w:asciiTheme="minorEastAsia" w:hAnsiTheme="minorEastAsia" w:cs="Arial" w:hint="eastAsia"/>
          <w:color w:val="000000"/>
          <w:sz w:val="24"/>
          <w:szCs w:val="24"/>
        </w:rPr>
      </w:pPr>
      <w:r>
        <w:rPr>
          <w:rFonts w:ascii="宋体" w:hAnsi="宋体" w:hint="eastAsia"/>
          <w:sz w:val="24"/>
          <w:szCs w:val="24"/>
        </w:rPr>
        <w:t>基金管理人无正当理由，拒绝、阻挠基金托管人根据本协议规定行使监督权，</w:t>
      </w:r>
      <w:r>
        <w:rPr>
          <w:rFonts w:ascii="宋体" w:hAnsi="宋体" w:hint="eastAsia"/>
          <w:sz w:val="24"/>
          <w:szCs w:val="24"/>
        </w:rPr>
        <w:lastRenderedPageBreak/>
        <w:t>或采取拖延、欺诈等手段妨碍基金托管人进行有效监督，情节严重或经基金托管人提出警告仍不改正的，基金托管人应报告中国证监会。</w:t>
      </w:r>
    </w:p>
    <w:p w14:paraId="6CE3D5BD" w14:textId="77777777" w:rsidR="009D10D8" w:rsidRDefault="009E4577" w:rsidP="00212156">
      <w:pPr>
        <w:adjustRightInd w:val="0"/>
        <w:snapToGrid w:val="0"/>
        <w:spacing w:line="360" w:lineRule="auto"/>
        <w:ind w:firstLineChars="200" w:firstLine="482"/>
        <w:outlineLvl w:val="1"/>
        <w:rPr>
          <w:rFonts w:asciiTheme="minorEastAsia" w:hAnsiTheme="minorEastAsia" w:cs="Arial" w:hint="eastAsia"/>
          <w:b/>
          <w:sz w:val="24"/>
          <w:szCs w:val="24"/>
        </w:rPr>
      </w:pPr>
      <w:r>
        <w:rPr>
          <w:rFonts w:asciiTheme="minorEastAsia" w:hAnsiTheme="minorEastAsia" w:cs="Arial" w:hint="eastAsia"/>
          <w:b/>
          <w:sz w:val="24"/>
          <w:szCs w:val="24"/>
        </w:rPr>
        <w:t>三、基金管理人对基金托管人的业务核查</w:t>
      </w:r>
    </w:p>
    <w:p w14:paraId="7B8B936A"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管理人对基金托管人履行托管职责情况进行核查，核查事项包括但不限于基金托管人安全保管基金财产、开设基金财产的资金账户、证券账户、期货账户等投资所需账户、复核基金管理人计算的基金资产净值和各类基金份额净值、根据基金管理人指令办理清算交收、相关信息披露和监督基金投资运作等行为。</w:t>
      </w:r>
    </w:p>
    <w:p w14:paraId="34A34F1B"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管理人发现基金托管人擅自挪用基金财产、未对基金财产实行分账管理、无故未执行或无故延迟执行基金管理人资金划拨指令、泄露基金投资信息等违反《基金法》、基金合同、本托管协议及其他有关规定时，基金管理人应及时以书面形式通知基金托管人限期纠正，基金托管人收到通知后应及时核对确认并以书面形式向基金管理人发出回函。在限期内，基金管理人有权随时对通知事项进行复查，督促基金托管人改正，并予协助配合。基金托管人对基金管理人通知的违规事项未能在限期内纠正的，基金管理人应报告中国证监会。基金管理人有义务要求基金托管人赔偿基金因此所遭受的损失。</w:t>
      </w:r>
    </w:p>
    <w:p w14:paraId="781E938D"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基金管理人发现基金托管人有重大违规行为，应立即报告中国证监会和银行业监督管理机构，同时通知基金托管人限期纠正。</w:t>
      </w:r>
    </w:p>
    <w:p w14:paraId="480F72C5"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基金托管人应积极配合基金管理人的核查行为，包括但不限于：提交相关资料以</w:t>
      </w:r>
      <w:proofErr w:type="gramStart"/>
      <w:r>
        <w:rPr>
          <w:rFonts w:ascii="宋体" w:hAnsi="宋体" w:hint="eastAsia"/>
          <w:sz w:val="24"/>
          <w:szCs w:val="24"/>
        </w:rPr>
        <w:t>供基金</w:t>
      </w:r>
      <w:proofErr w:type="gramEnd"/>
      <w:r>
        <w:rPr>
          <w:rFonts w:ascii="宋体" w:hAnsi="宋体" w:hint="eastAsia"/>
          <w:sz w:val="24"/>
          <w:szCs w:val="24"/>
        </w:rPr>
        <w:t>管理人核查托管财产的完整性和真实性，在规定时间内答复基金管理人并改正。</w:t>
      </w:r>
    </w:p>
    <w:p w14:paraId="13B2D4CC"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宋体" w:hAnsi="宋体" w:hint="eastAsia"/>
          <w:sz w:val="24"/>
          <w:szCs w:val="24"/>
        </w:rPr>
        <w:t>基金托管人无正当理由，拒绝、阻挠基金管理人根据本协议规定行使监督权，或采取拖延、欺诈等手段妨碍基金管理人进行有效监督，情节严重或经基金管理人提出警告仍不改正的，基金管理人应报告中国证监会。</w:t>
      </w:r>
    </w:p>
    <w:p w14:paraId="4E9A58CC" w14:textId="77777777" w:rsidR="009D10D8" w:rsidRDefault="009E4577" w:rsidP="00212156">
      <w:pPr>
        <w:adjustRightInd w:val="0"/>
        <w:snapToGrid w:val="0"/>
        <w:spacing w:line="360" w:lineRule="auto"/>
        <w:ind w:firstLineChars="200" w:firstLine="482"/>
        <w:outlineLvl w:val="1"/>
        <w:rPr>
          <w:rFonts w:asciiTheme="minorEastAsia" w:hAnsiTheme="minorEastAsia" w:cs="Arial" w:hint="eastAsia"/>
          <w:b/>
          <w:sz w:val="24"/>
          <w:szCs w:val="24"/>
        </w:rPr>
      </w:pPr>
      <w:r>
        <w:rPr>
          <w:rFonts w:asciiTheme="minorEastAsia" w:hAnsiTheme="minorEastAsia" w:cs="Arial" w:hint="eastAsia"/>
          <w:b/>
          <w:sz w:val="24"/>
          <w:szCs w:val="24"/>
        </w:rPr>
        <w:t>四、基金财产的保管</w:t>
      </w:r>
    </w:p>
    <w:p w14:paraId="124D56EA"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（一）基金财产保管的原则</w:t>
      </w:r>
    </w:p>
    <w:p w14:paraId="3C0C0974"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1、基金财产应独立于基金管理人、基金托管人的固有财产。</w:t>
      </w:r>
    </w:p>
    <w:p w14:paraId="34D374B1"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2、基金托管人应安全保管基金财产。除依据法律法规规定、基金合同和本托管协议约定及基金管理人的正当指令外，不得自行运用、处分、分配基金的任何财产。</w:t>
      </w:r>
    </w:p>
    <w:p w14:paraId="2F308411"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3、基金托管人按照规定开设基金财产的资金账户、证券账户等投资所需账</w:t>
      </w:r>
      <w:r>
        <w:rPr>
          <w:rFonts w:ascii="宋体" w:hAnsi="宋体" w:hint="eastAsia"/>
          <w:sz w:val="24"/>
          <w:szCs w:val="24"/>
        </w:rPr>
        <w:lastRenderedPageBreak/>
        <w:t>户，并配合为本基金开立期货账户。</w:t>
      </w:r>
    </w:p>
    <w:p w14:paraId="73474AE0"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4、基金托管人对所托管的不同基金财产分别设置账户，独立核算，与基金托管人的其他业务和其他基金的托管业务实行严格的分账管理，确保基金财产的完整与独立。</w:t>
      </w:r>
    </w:p>
    <w:p w14:paraId="11107741"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5、基金托管人按照基金合同和本协议的约定保管基金财产，如有特殊情况双方可另行协商解决。</w:t>
      </w:r>
    </w:p>
    <w:p w14:paraId="3FBBA01A"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6、除依据法律法规和基金合同的规定外，基金托管人不得委托第三人托管基金资产。</w:t>
      </w:r>
    </w:p>
    <w:p w14:paraId="1BF9D4B9"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（二）募集资金的验证</w:t>
      </w:r>
    </w:p>
    <w:p w14:paraId="5A62776D"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募集期内销售机构按销售与服务代理协议的约定，将认购资金划入基金募集专户。该账户由登记机构管理。基金募集期满或基金管理人决定停止募集时，募集的基金份额总额、基金募集金额、基金份额持有人人数符合《基金法》、《运作办法》等有关规定后，由基金管理人聘请符合《中华人民共和国证券法》规定的会计师事务所进行验资，出具验资报告，出具的验资报告应由参加验资的2名以上（含2名）中国注册会计师签字有效。验资完成，登记机构应将募集的属于本基金财产的全部资金划入基金托管人为基金开立的基金托管专户中，基金托管人在收到资金当日出具确认文件。</w:t>
      </w:r>
    </w:p>
    <w:p w14:paraId="0E8C6F9C" w14:textId="77777777" w:rsidR="009D10D8" w:rsidRDefault="009E4577">
      <w:pPr>
        <w:spacing w:line="360" w:lineRule="auto"/>
        <w:ind w:firstLineChars="200" w:firstLine="480"/>
        <w:rPr>
          <w:rFonts w:ascii="宋体" w:hAnsi="宋体" w:hint="eastAsia"/>
          <w:sz w:val="24"/>
          <w:szCs w:val="24"/>
        </w:rPr>
      </w:pPr>
      <w:proofErr w:type="gramStart"/>
      <w:r>
        <w:rPr>
          <w:rFonts w:ascii="宋体" w:hAnsi="宋体" w:hint="eastAsia"/>
          <w:sz w:val="24"/>
          <w:szCs w:val="24"/>
        </w:rPr>
        <w:t>若基金</w:t>
      </w:r>
      <w:proofErr w:type="gramEnd"/>
      <w:r>
        <w:rPr>
          <w:rFonts w:ascii="宋体" w:hAnsi="宋体" w:hint="eastAsia"/>
          <w:sz w:val="24"/>
          <w:szCs w:val="24"/>
        </w:rPr>
        <w:t>募集期限届满，未能达到基金备案条件，由基金管理人按规定办理退款事宜，基金托管人应提供充分协助。</w:t>
      </w:r>
    </w:p>
    <w:p w14:paraId="3CA27370"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（三）基金的银行账户的开立和管理</w:t>
      </w:r>
    </w:p>
    <w:p w14:paraId="3F335944"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基金托管人以本基金的名义在其营业机构开立基金的银行账户，并根据基金管理人合法合</w:t>
      </w:r>
      <w:proofErr w:type="gramStart"/>
      <w:r>
        <w:rPr>
          <w:rFonts w:ascii="宋体" w:hAnsi="宋体" w:hint="eastAsia"/>
          <w:sz w:val="24"/>
          <w:szCs w:val="24"/>
        </w:rPr>
        <w:t>规</w:t>
      </w:r>
      <w:proofErr w:type="gramEnd"/>
      <w:r>
        <w:rPr>
          <w:rFonts w:ascii="宋体" w:hAnsi="宋体" w:hint="eastAsia"/>
          <w:sz w:val="24"/>
          <w:szCs w:val="24"/>
        </w:rPr>
        <w:t>的指令办理资金收付。本基金的银行预留印鉴由基金托管人刻制、保管和使用。本基金的一切货币收支活动，均需通过基金托管人的基金托管专户进行。</w:t>
      </w:r>
    </w:p>
    <w:p w14:paraId="2FF46DC8"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基金托管专户的开立和使用，限于满足开展本基金业务的需要。基金托管人和基金管理人不得假借本基金的名义开立其他任何银行账户；亦不得使用基金的任何银行账户进行本基金业务以外的活动。</w:t>
      </w:r>
    </w:p>
    <w:p w14:paraId="4F245098"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基金托管专户的管理应符合《人民币银行结算账户管理办法》、《现金管理暂行条例》、《人民币利率管理规定》、《利率管理暂行规定》、《支付结算办法》以及</w:t>
      </w:r>
      <w:r>
        <w:rPr>
          <w:rFonts w:ascii="宋体" w:hAnsi="宋体" w:hint="eastAsia"/>
          <w:sz w:val="24"/>
          <w:szCs w:val="24"/>
        </w:rPr>
        <w:lastRenderedPageBreak/>
        <w:t>银行业监督管理机构的其他规定。</w:t>
      </w:r>
    </w:p>
    <w:p w14:paraId="3F34C73D"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（四）基金证券账户与证券交易资金账户的开设和管理</w:t>
      </w:r>
    </w:p>
    <w:p w14:paraId="66CC37D7"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1、基金证券账户的开设和管理</w:t>
      </w:r>
    </w:p>
    <w:p w14:paraId="4387144A"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基金托管人以基金托管人和本基金联名的方式在中国证券登记结算有限责任公司上海分公司/深圳分公司开设证券账户。</w:t>
      </w:r>
    </w:p>
    <w:p w14:paraId="302224EA"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28EEEA2B"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基金证券账户的开立和证券账户卡的保管由基金托管人负责，账户资产的管理和运用由基金管理人负责。</w:t>
      </w:r>
    </w:p>
    <w:p w14:paraId="709A4032"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2、基金证券交易资金账户的开设和管理</w:t>
      </w:r>
    </w:p>
    <w:p w14:paraId="689DB06D"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托管人以基金托管人的名义在中国证券登记结算有限责任公司开立结算备付金账户，以本基金的名义在基金托管人托管系统中开立二级结算备付金账户，并代表所托管的基金完成与中国证券登记结算有限责任公司的一级法人清算工作，基金管理人应予以积极协助。结算备付金的收取按照中国证券登记结算有限责任公司的规定执行。</w:t>
      </w:r>
    </w:p>
    <w:p w14:paraId="048645F4"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（五）债券托管账户的开立和管理</w:t>
      </w:r>
    </w:p>
    <w:p w14:paraId="2E365AE3"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1、基金合同生效后，基金管理人负责以基金的名义申请并取得进入全国银行间同业拆借市场的交易资格，并代表基金进行交易；基金托管人负责以基金的名义在中央国债登记结算有限责任公司和银行间市场清算所股份有限公司开设银行间债券市场债券托管自营账户，并由基金托管人负责基金的债券的后台匹配及资金的清算。如果基金管理人投资的新的债券品种不在前述市场交易，则由基金托管人协助基金管理人开立相应账户。</w:t>
      </w:r>
    </w:p>
    <w:p w14:paraId="7649879C"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2、基金管理人和基金托管人应一起负责为基金对外签订全国银行间债券市场回购主协议。</w:t>
      </w:r>
    </w:p>
    <w:p w14:paraId="7DE46102"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（六）其他账户的开设和管理</w:t>
      </w:r>
    </w:p>
    <w:p w14:paraId="3D6A74F3"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在本托管协议订立日之后，本基金被允许从事符合法律法规规定和基金合同约定的其他投资品种的投资业务时，如果涉及相关账户的开设和使用，由基金管理人协助基金托管人根据有关法律法规的规定和基金合同的约定，开立有关账户。</w:t>
      </w:r>
      <w:r>
        <w:rPr>
          <w:rFonts w:ascii="宋体" w:hAnsi="宋体" w:hint="eastAsia"/>
          <w:sz w:val="24"/>
          <w:szCs w:val="24"/>
        </w:rPr>
        <w:lastRenderedPageBreak/>
        <w:t>该账户按有关规则使用并管理。</w:t>
      </w:r>
    </w:p>
    <w:p w14:paraId="3815656B"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（七）基金财产投资的有关实物证券、银行定期存款存单等有价凭证的保管</w:t>
      </w:r>
    </w:p>
    <w:p w14:paraId="27E09D3A"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财产投资的有关实物证券由基金托管人存放于基金托管人的保管库；其中实物证券也可存入中央国债登记结算有限责任公司或中国证券登记结算有限责任公司上海分公司/深圳分公司或票据营业中心的代保管库。实物证券的购买和转让，由基金托管人根据基金管理人的指令办理。属于基金托管人实际有效控制下的实物证券在基金托管人保管期间的损坏、灭失，由此产生的责任应由基金托管人承担。基金托管人对基金托管人以外机构实际有效控制或保管的证券不承担保管责任。</w:t>
      </w:r>
    </w:p>
    <w:p w14:paraId="6EFC8E5D"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（八）与基金财产有关的重大合同的保管</w:t>
      </w:r>
    </w:p>
    <w:p w14:paraId="69EE6CE2" w14:textId="2BA25E55"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宋体" w:hAnsi="宋体" w:hint="eastAsia"/>
          <w:sz w:val="24"/>
          <w:szCs w:val="24"/>
        </w:rPr>
        <w:t>与基金财产有关的重大合同的签署，由基金管理人负责。由基金管理人代表基金签署的与基金有关的重大合同的原件分别应由基金托管人、基金管理人保管。基金管理人在代表基金签署与基金有关的重大合同时应保证基金一方持有两份以上的正本原件，以便基金管理人和基金托管人至少各持有一份正本的原件。基金管理人在合同签署后30个工作日内通过专人送达、挂号邮寄等安全方式将合同送达基金托管人处。合同应存放于基金管理人和基金托管人各自文件保管部门20年以上。对于无法取得二份以上的正本的，基金管理人应向基金托管人提供加盖授权业务章的合同传真件或复印件。</w:t>
      </w:r>
    </w:p>
    <w:p w14:paraId="7AD417E7" w14:textId="77777777" w:rsidR="009D10D8" w:rsidRDefault="009E4577" w:rsidP="00212156">
      <w:pPr>
        <w:adjustRightInd w:val="0"/>
        <w:snapToGrid w:val="0"/>
        <w:spacing w:line="360" w:lineRule="auto"/>
        <w:ind w:firstLineChars="200" w:firstLine="482"/>
        <w:outlineLvl w:val="1"/>
        <w:rPr>
          <w:rFonts w:asciiTheme="minorEastAsia" w:hAnsiTheme="minorEastAsia" w:cs="Arial" w:hint="eastAsia"/>
          <w:b/>
          <w:sz w:val="24"/>
          <w:szCs w:val="24"/>
        </w:rPr>
      </w:pPr>
      <w:r>
        <w:rPr>
          <w:rFonts w:asciiTheme="minorEastAsia" w:hAnsiTheme="minorEastAsia" w:cs="Arial" w:hint="eastAsia"/>
          <w:b/>
          <w:sz w:val="24"/>
          <w:szCs w:val="24"/>
        </w:rPr>
        <w:t>五、基金资产净值计算、估值和会计核算</w:t>
      </w:r>
    </w:p>
    <w:p w14:paraId="35A5F826"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（一）基金资产净值的计算</w:t>
      </w:r>
    </w:p>
    <w:p w14:paraId="3B2D8DC4"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1、基金资产净值的计算、复核的时间和程序</w:t>
      </w:r>
    </w:p>
    <w:p w14:paraId="5DA46860"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资产净值是指基金资产总值减去基金负债后的价值。本基金各类基金份额净值是指计算日该类基金资产净值除以该计算日该类基金份额总份额后的数值。各类基金份额净值的计算均保留到小数点后4位，小数点后第5位四舍五入，由此产生的收益或损失由基金财产承担。基金管理人可以设立大额赎回情形下的净值精度应急调整机制。国家另有规定的，从其规定。</w:t>
      </w:r>
    </w:p>
    <w:p w14:paraId="0745125B"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w:t>
      </w:r>
      <w:proofErr w:type="gramStart"/>
      <w:r>
        <w:rPr>
          <w:rFonts w:asciiTheme="minorEastAsia" w:hAnsiTheme="minorEastAsia" w:cs="Arial" w:hint="eastAsia"/>
          <w:sz w:val="24"/>
          <w:szCs w:val="24"/>
        </w:rPr>
        <w:t>应每个</w:t>
      </w:r>
      <w:proofErr w:type="gramEnd"/>
      <w:r>
        <w:rPr>
          <w:rFonts w:asciiTheme="minorEastAsia" w:hAnsiTheme="minorEastAsia" w:cs="Arial" w:hint="eastAsia"/>
          <w:sz w:val="24"/>
          <w:szCs w:val="24"/>
        </w:rPr>
        <w:t>工作日对基金资产估值，但基金管理人根据法律法规或基金合同的规定暂停估值时除外。估值原则应符合基金合同及其他法律、法规的规定。基金资产净值和基金份额净值由基金管理人负责计算，基金托管人复核。基金管理人应于每个工作日交易结束后计算当日的基金资产净值、各类基金份额净</w:t>
      </w:r>
      <w:r>
        <w:rPr>
          <w:rFonts w:asciiTheme="minorEastAsia" w:hAnsiTheme="minorEastAsia" w:cs="Arial" w:hint="eastAsia"/>
          <w:sz w:val="24"/>
          <w:szCs w:val="24"/>
        </w:rPr>
        <w:lastRenderedPageBreak/>
        <w:t>值并以双方认可的方式发送给基金托管人。基金托管人对净值计算结果复核后以双方认可的方式发送给基金管理人，由基金管理人按约定对基金净值予以公布。</w:t>
      </w:r>
    </w:p>
    <w:p w14:paraId="7FDDDA9D"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（二）基金资产估值方法</w:t>
      </w:r>
    </w:p>
    <w:p w14:paraId="7D18A3A8"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1、估值对象</w:t>
      </w:r>
    </w:p>
    <w:p w14:paraId="354B5027"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基金所拥有的股票、股指期货合约、国债期货合约、债券和银行存款本息、应收款项、其它投资、股票期权、信用衍生品等资产及负债。</w:t>
      </w:r>
    </w:p>
    <w:p w14:paraId="254EC634"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2、估值原则</w:t>
      </w:r>
    </w:p>
    <w:p w14:paraId="5A169128"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基金管理人在确定相关金融资产和金融负债的公允价值时，应符合《企业会计准则》、监管部门有关规定。</w:t>
      </w:r>
    </w:p>
    <w:p w14:paraId="2ECB8453"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50A020FE"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2A1E9CFF"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7379AB9D"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（三）如经济环境发生重大变化或证券发行人发生影响证券价格的重大事件，使潜在估值调整对前一估值日的基金资产净值的影响在0.25%以上的，应对估值进行调整并确定公允价值。</w:t>
      </w:r>
    </w:p>
    <w:p w14:paraId="1DB9A318"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3、估值方法 </w:t>
      </w:r>
    </w:p>
    <w:p w14:paraId="75B28956"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本基金的估值方法为：</w:t>
      </w:r>
    </w:p>
    <w:p w14:paraId="5D4B9C3B"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（1）证券交易所上市的有价证券的估值</w:t>
      </w:r>
    </w:p>
    <w:p w14:paraId="38B5642B"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3DCCC2AA" w14:textId="0AEA1CFD" w:rsidR="00AB0C24" w:rsidRPr="00AB0C24" w:rsidRDefault="00AB0C24" w:rsidP="00AB0C24">
      <w:pPr>
        <w:adjustRightInd w:val="0"/>
        <w:snapToGrid w:val="0"/>
        <w:spacing w:line="360" w:lineRule="auto"/>
        <w:ind w:firstLineChars="200" w:firstLine="480"/>
        <w:rPr>
          <w:rFonts w:asciiTheme="minorEastAsia" w:hAnsiTheme="minorEastAsia" w:cs="Arial" w:hint="eastAsia"/>
          <w:sz w:val="24"/>
          <w:szCs w:val="24"/>
        </w:rPr>
      </w:pPr>
      <w:r w:rsidRPr="00AB0C24">
        <w:rPr>
          <w:rFonts w:asciiTheme="minorEastAsia" w:hAnsiTheme="minorEastAsia" w:cs="Arial" w:hint="eastAsia"/>
          <w:sz w:val="24"/>
          <w:szCs w:val="24"/>
        </w:rPr>
        <w:t>2）交易所上市交易或挂牌转让的不含</w:t>
      </w:r>
      <w:proofErr w:type="gramStart"/>
      <w:r w:rsidRPr="00AB0C24">
        <w:rPr>
          <w:rFonts w:asciiTheme="minorEastAsia" w:hAnsiTheme="minorEastAsia" w:cs="Arial" w:hint="eastAsia"/>
          <w:sz w:val="24"/>
          <w:szCs w:val="24"/>
        </w:rPr>
        <w:t>权固定</w:t>
      </w:r>
      <w:proofErr w:type="gramEnd"/>
      <w:r w:rsidRPr="00AB0C24">
        <w:rPr>
          <w:rFonts w:asciiTheme="minorEastAsia" w:hAnsiTheme="minorEastAsia" w:cs="Arial" w:hint="eastAsia"/>
          <w:sz w:val="24"/>
          <w:szCs w:val="24"/>
        </w:rPr>
        <w:t>收益品种，选取估值日第三方估值机构提供的相应品种当日的估值净价进行估值；</w:t>
      </w:r>
    </w:p>
    <w:p w14:paraId="7354C427" w14:textId="5CC8B83C" w:rsidR="00AB0C24" w:rsidRPr="00AB0C24" w:rsidRDefault="00AB0C24" w:rsidP="00AB0C24">
      <w:pPr>
        <w:adjustRightInd w:val="0"/>
        <w:snapToGrid w:val="0"/>
        <w:spacing w:line="360" w:lineRule="auto"/>
        <w:ind w:firstLineChars="200" w:firstLine="480"/>
        <w:rPr>
          <w:rFonts w:asciiTheme="minorEastAsia" w:hAnsiTheme="minorEastAsia" w:cs="Arial" w:hint="eastAsia"/>
          <w:sz w:val="24"/>
          <w:szCs w:val="24"/>
        </w:rPr>
      </w:pPr>
      <w:r w:rsidRPr="00AB0C24">
        <w:rPr>
          <w:rFonts w:asciiTheme="minorEastAsia" w:hAnsiTheme="minorEastAsia" w:cs="Arial" w:hint="eastAsia"/>
          <w:sz w:val="24"/>
          <w:szCs w:val="24"/>
        </w:rPr>
        <w:t>3）交易所上市交易或挂牌转让的含</w:t>
      </w:r>
      <w:proofErr w:type="gramStart"/>
      <w:r w:rsidRPr="00AB0C24">
        <w:rPr>
          <w:rFonts w:asciiTheme="minorEastAsia" w:hAnsiTheme="minorEastAsia" w:cs="Arial" w:hint="eastAsia"/>
          <w:sz w:val="24"/>
          <w:szCs w:val="24"/>
        </w:rPr>
        <w:t>权固定</w:t>
      </w:r>
      <w:proofErr w:type="gramEnd"/>
      <w:r w:rsidRPr="00AB0C24">
        <w:rPr>
          <w:rFonts w:asciiTheme="minorEastAsia" w:hAnsiTheme="minorEastAsia" w:cs="Arial" w:hint="eastAsia"/>
          <w:sz w:val="24"/>
          <w:szCs w:val="24"/>
        </w:rPr>
        <w:t>收益品种，选取估值日第三方估值机构提供的相应品种当日的唯一估值净价或推荐估值净价进行估值；</w:t>
      </w:r>
    </w:p>
    <w:p w14:paraId="15F6088D" w14:textId="6D2B6458" w:rsidR="00AB0C24" w:rsidRPr="00AB0C24" w:rsidRDefault="00AB0C24" w:rsidP="00AB0C24">
      <w:pPr>
        <w:adjustRightInd w:val="0"/>
        <w:snapToGrid w:val="0"/>
        <w:spacing w:line="360" w:lineRule="auto"/>
        <w:ind w:firstLineChars="200" w:firstLine="480"/>
        <w:rPr>
          <w:rFonts w:asciiTheme="minorEastAsia" w:hAnsiTheme="minorEastAsia" w:cs="Arial" w:hint="eastAsia"/>
          <w:sz w:val="24"/>
          <w:szCs w:val="24"/>
        </w:rPr>
      </w:pPr>
      <w:r w:rsidRPr="00AB0C24">
        <w:rPr>
          <w:rFonts w:asciiTheme="minorEastAsia" w:hAnsiTheme="minorEastAsia" w:cs="Arial" w:hint="eastAsia"/>
          <w:sz w:val="24"/>
          <w:szCs w:val="24"/>
        </w:rPr>
        <w:t>4）交易所上市交易的可转换债券以每日收盘价作为估值全价；</w:t>
      </w:r>
    </w:p>
    <w:p w14:paraId="227A04CC" w14:textId="066D7EAA" w:rsidR="009D10D8" w:rsidRDefault="00AB0C24">
      <w:pPr>
        <w:adjustRightInd w:val="0"/>
        <w:snapToGrid w:val="0"/>
        <w:spacing w:line="360" w:lineRule="auto"/>
        <w:ind w:firstLineChars="200" w:firstLine="480"/>
        <w:rPr>
          <w:rFonts w:asciiTheme="minorEastAsia" w:hAnsiTheme="minorEastAsia" w:cs="Arial" w:hint="eastAsia"/>
          <w:sz w:val="24"/>
          <w:szCs w:val="24"/>
        </w:rPr>
      </w:pPr>
      <w:r w:rsidRPr="00AB0C24">
        <w:rPr>
          <w:rFonts w:asciiTheme="minorEastAsia" w:hAnsiTheme="minorEastAsia" w:cs="Arial" w:hint="eastAsia"/>
          <w:sz w:val="24"/>
          <w:szCs w:val="24"/>
        </w:rPr>
        <w:t>5）交易所上市不存在活跃市场的有价证券，采用估值技术确定公允价值。交易所市场挂牌转让的资产支持证券，采用估值技术确定公允价值</w:t>
      </w:r>
      <w:r w:rsidR="00007F8E">
        <w:rPr>
          <w:rFonts w:asciiTheme="minorEastAsia" w:hAnsiTheme="minorEastAsia" w:cs="Arial" w:hint="eastAsia"/>
          <w:sz w:val="24"/>
          <w:szCs w:val="24"/>
        </w:rPr>
        <w:t>；</w:t>
      </w:r>
    </w:p>
    <w:p w14:paraId="3E16C247"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0A27F22A"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（2）处于未上市期间的有价证券应区分如下情况处理：</w:t>
      </w:r>
    </w:p>
    <w:p w14:paraId="3981FCF7"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1）送股、转增股、配股和公开增发的新股，按估值日在证券交易所挂牌的同一股票的估值方法估值；该日无交易的，以最近一日的市价（收盘价）估值；</w:t>
      </w:r>
    </w:p>
    <w:p w14:paraId="4AD2630D"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2）首次公开发行未上市的股票、债券，采用估值技术确定公允价值，在估值技术难以可靠计量公允价值的情况下，按成本估值；</w:t>
      </w:r>
    </w:p>
    <w:p w14:paraId="042EC2F7"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3）流通受限的股票，包括非公开发行股票、首次公开发行股票时公司股东公开发售股份、通过大宗交易取得的带限售期的股票等（不包括停牌、新发行未上市、回购交易中的质押</w:t>
      </w:r>
      <w:proofErr w:type="gramStart"/>
      <w:r>
        <w:rPr>
          <w:rFonts w:asciiTheme="minorEastAsia" w:hAnsiTheme="minorEastAsia" w:cs="Arial" w:hint="eastAsia"/>
          <w:sz w:val="24"/>
          <w:szCs w:val="24"/>
        </w:rPr>
        <w:t>券</w:t>
      </w:r>
      <w:proofErr w:type="gramEnd"/>
      <w:r>
        <w:rPr>
          <w:rFonts w:asciiTheme="minorEastAsia" w:hAnsiTheme="minorEastAsia" w:cs="Arial" w:hint="eastAsia"/>
          <w:sz w:val="24"/>
          <w:szCs w:val="24"/>
        </w:rPr>
        <w:t>等流通受限股票），按监管机构或行业协会有关规定确定公允价值。</w:t>
      </w:r>
    </w:p>
    <w:p w14:paraId="10FA3E06" w14:textId="04081459"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w:t>
      </w:r>
      <w:r w:rsidR="00AB0C24" w:rsidRPr="00AB0C24">
        <w:rPr>
          <w:rFonts w:asciiTheme="minorEastAsia" w:hAnsiTheme="minorEastAsia" w:cs="Arial" w:hint="eastAsia"/>
          <w:sz w:val="24"/>
          <w:szCs w:val="24"/>
        </w:rPr>
        <w:t>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w:t>
      </w:r>
      <w:r w:rsidR="00AB0C24" w:rsidRPr="00AB0C24">
        <w:rPr>
          <w:rFonts w:asciiTheme="minorEastAsia" w:hAnsiTheme="minorEastAsia" w:cs="Arial" w:hint="eastAsia"/>
          <w:sz w:val="24"/>
          <w:szCs w:val="24"/>
        </w:rPr>
        <w:lastRenderedPageBreak/>
        <w:t>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w:t>
      </w:r>
    </w:p>
    <w:p w14:paraId="6B2A19CF"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（4）同一债券同时在两个或两个以上市场交易的，按债券所处的市场分别估值。</w:t>
      </w:r>
    </w:p>
    <w:p w14:paraId="492D0BCA"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（5）本基金投资国债期货、股指期货、股票期权合约，一般以估值当日结算价进行估值，估值当日无结算价的，且最近交易日后经济环境未发生重大变化的，采用最近交易日结算价估值。</w:t>
      </w:r>
    </w:p>
    <w:p w14:paraId="602A2C4F"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信用衍生品按估值日第三方机构提供的估值净价估值；选定的第三方估值机构未提供估值价格的：对于存在活跃市场的情况下，应以活跃市场上未经调整的报价作为计量日的公允价值；对于活跃市场报价未能代表计量日公允价值的情况下，应当对市场报价进行调整以确认计量日的公允价值；</w:t>
      </w:r>
      <w:proofErr w:type="gramStart"/>
      <w:r>
        <w:rPr>
          <w:rFonts w:asciiTheme="minorEastAsia" w:hAnsiTheme="minorEastAsia" w:cs="Arial" w:hint="eastAsia"/>
          <w:sz w:val="24"/>
          <w:szCs w:val="24"/>
        </w:rPr>
        <w:t>非活跃</w:t>
      </w:r>
      <w:proofErr w:type="gramEnd"/>
      <w:r>
        <w:rPr>
          <w:rFonts w:asciiTheme="minorEastAsia" w:hAnsiTheme="minorEastAsia" w:cs="Arial" w:hint="eastAsia"/>
          <w:sz w:val="24"/>
          <w:szCs w:val="24"/>
        </w:rPr>
        <w:t>市场下采用估值技术确定公允价值。</w:t>
      </w:r>
    </w:p>
    <w:p w14:paraId="4CF2AA11"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）本基金投资存托凭证的估值核算，依照境内上市交易的股票执行。</w:t>
      </w:r>
    </w:p>
    <w:p w14:paraId="14732013"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8</w:t>
      </w:r>
      <w:r>
        <w:rPr>
          <w:rFonts w:asciiTheme="minorEastAsia" w:hAnsiTheme="minorEastAsia" w:cs="Arial" w:hint="eastAsia"/>
          <w:sz w:val="24"/>
          <w:szCs w:val="24"/>
        </w:rPr>
        <w:t>）其他资产按法律法规或监管机构有关规定进行估值。</w:t>
      </w:r>
    </w:p>
    <w:p w14:paraId="1FA240D6"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9</w:t>
      </w:r>
      <w:r>
        <w:rPr>
          <w:rFonts w:asciiTheme="minorEastAsia" w:hAnsiTheme="minorEastAsia" w:cs="Arial" w:hint="eastAsia"/>
          <w:sz w:val="24"/>
          <w:szCs w:val="24"/>
        </w:rPr>
        <w:t>）如有确凿证据表明按上述方法进行估值不能客观反映其公允价值的，基金管理人可根据具体情况与基金托管人商定后，按最能反映公允价值的方法估值。</w:t>
      </w:r>
    </w:p>
    <w:p w14:paraId="2E9E139B"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10</w:t>
      </w:r>
      <w:r>
        <w:rPr>
          <w:rFonts w:asciiTheme="minorEastAsia" w:hAnsiTheme="minorEastAsia" w:cs="Arial" w:hint="eastAsia"/>
          <w:sz w:val="24"/>
          <w:szCs w:val="24"/>
        </w:rPr>
        <w:t>）当本基金发生大额申购或赎回情形时，基金管理人可以对本基金采用摆动定价机制，以确保基金估值的公平性。</w:t>
      </w:r>
    </w:p>
    <w:p w14:paraId="0162EE30"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w:t>
      </w:r>
      <w:r>
        <w:rPr>
          <w:rFonts w:asciiTheme="minorEastAsia" w:hAnsiTheme="minorEastAsia" w:cs="Arial"/>
          <w:sz w:val="24"/>
          <w:szCs w:val="24"/>
        </w:rPr>
        <w:t>1</w:t>
      </w:r>
      <w:r>
        <w:rPr>
          <w:rFonts w:asciiTheme="minorEastAsia" w:hAnsiTheme="minorEastAsia" w:cs="Arial" w:hint="eastAsia"/>
          <w:sz w:val="24"/>
          <w:szCs w:val="24"/>
        </w:rPr>
        <w:t>）相关法律法规以及监管部门有强制规定的，从其规定。如有新增事项，按国家最新规定估值。</w:t>
      </w:r>
    </w:p>
    <w:p w14:paraId="4B5868D9"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19BB3CA1"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根据有关法律法规，基金资产净值计算和基金会计核算的义务由基金管理人承担，基金托管人承担复核责任。本基金的基金会计</w:t>
      </w:r>
      <w:proofErr w:type="gramStart"/>
      <w:r>
        <w:rPr>
          <w:rFonts w:asciiTheme="minorEastAsia" w:hAnsiTheme="minorEastAsia" w:cs="Arial" w:hint="eastAsia"/>
          <w:sz w:val="24"/>
          <w:szCs w:val="24"/>
        </w:rPr>
        <w:t>主责任</w:t>
      </w:r>
      <w:proofErr w:type="gramEnd"/>
      <w:r>
        <w:rPr>
          <w:rFonts w:asciiTheme="minorEastAsia" w:hAnsiTheme="minorEastAsia" w:cs="Arial" w:hint="eastAsia"/>
          <w:sz w:val="24"/>
          <w:szCs w:val="24"/>
        </w:rPr>
        <w:t>方由基金管理人担任，因此，就与本基金有关的会计问题，如经相关各方在平等基础上充分讨论后，仍无法达成一致的意见，按照基金管理人对基金净值信息的计算结果对外予以公布，</w:t>
      </w:r>
      <w:r>
        <w:rPr>
          <w:rFonts w:asciiTheme="minorEastAsia" w:hAnsiTheme="minorEastAsia" w:cs="Arial" w:hint="eastAsia"/>
          <w:sz w:val="24"/>
          <w:szCs w:val="24"/>
        </w:rPr>
        <w:lastRenderedPageBreak/>
        <w:t>由此给基金份额持有人和基金造成的损失以及因该交易日基金资产净值计算顺延错误而引起的损失，由基金管理人负责赔付。</w:t>
      </w:r>
    </w:p>
    <w:p w14:paraId="3F11ABBA"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（三）估值差错处理</w:t>
      </w:r>
    </w:p>
    <w:p w14:paraId="23F5E41A"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基金管理人和基金托管人将采取必要、适当、合理的措施确保基金资产估值的准确性、及时性。当某一类基金份额净值小数点后4位以内(含第4位)发生估值错误时，视为该类基金份额净值错误。</w:t>
      </w:r>
    </w:p>
    <w:p w14:paraId="2B3C71A5"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基金合同的当事人应按照以下约定处理：</w:t>
      </w:r>
    </w:p>
    <w:p w14:paraId="48E08342"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1、估值错误类型</w:t>
      </w:r>
    </w:p>
    <w:p w14:paraId="68185D48"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09BF78FD"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11912F9F"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2、估值错误处理原则</w:t>
      </w:r>
    </w:p>
    <w:p w14:paraId="09DC9299"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6DF0B505"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（2）估值错误的责任方对有关当事人的直接损失负责，不对间接损失负责，并且仅对估值错误的有关直接当事人负责，不对第三方负责。</w:t>
      </w:r>
    </w:p>
    <w:p w14:paraId="465D7EEC"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（3）因估值错误而获得不当得利的当事人负有及时返还不当得利的义务。但估值错误责任方仍应对估值错误负责。如果由于获得不当得利的当事人</w:t>
      </w:r>
      <w:proofErr w:type="gramStart"/>
      <w:r>
        <w:rPr>
          <w:rFonts w:asciiTheme="minorEastAsia" w:hAnsiTheme="minorEastAsia" w:cs="Arial" w:hint="eastAsia"/>
          <w:sz w:val="24"/>
          <w:szCs w:val="24"/>
        </w:rPr>
        <w:t>不</w:t>
      </w:r>
      <w:proofErr w:type="gramEnd"/>
      <w:r>
        <w:rPr>
          <w:rFonts w:asciiTheme="minorEastAsia" w:hAnsiTheme="minorEastAsia" w:cs="Arial" w:hint="eastAsia"/>
          <w:sz w:val="24"/>
          <w:szCs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w:t>
      </w:r>
      <w:r>
        <w:rPr>
          <w:rFonts w:asciiTheme="minorEastAsia" w:hAnsiTheme="minorEastAsia" w:cs="Arial" w:hint="eastAsia"/>
          <w:sz w:val="24"/>
          <w:szCs w:val="24"/>
        </w:rPr>
        <w:lastRenderedPageBreak/>
        <w:t>得利返还的总和超过其实际损失的差额部分支付给估值错误责任方。</w:t>
      </w:r>
    </w:p>
    <w:p w14:paraId="0BDAF230"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（4）估值错误调整采用尽量恢复至假设未发生估值错误的正确情形的方式。</w:t>
      </w:r>
    </w:p>
    <w:p w14:paraId="6989D5BB"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3、估值错误处理程序</w:t>
      </w:r>
    </w:p>
    <w:p w14:paraId="67D94CE9"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估值错误被发现后，有关的当事人应当及时进行处理，处理的程序如下：</w:t>
      </w:r>
    </w:p>
    <w:p w14:paraId="166868A7"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（1）查明估值错误发生的原因，列明所有的当事人，并根据估值错误发生的原因确定估值错误的责任方；</w:t>
      </w:r>
    </w:p>
    <w:p w14:paraId="3E83989F"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（2）根据估值错误处理原则或当事人协商的方法对因估值错误造成的损失进行评估；</w:t>
      </w:r>
    </w:p>
    <w:p w14:paraId="5982F050"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（3）根据估值错误处理原则或当事人协商的方法由估值错误的责任方进行更正和赔偿损失；</w:t>
      </w:r>
    </w:p>
    <w:p w14:paraId="0F4A2420"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（4）根据估值错误处理的方法，需要修改基金份额登记机构交易数据的，由基金份额登记机构进行更正，并就估值错误的更正向有关当事人进行确认。</w:t>
      </w:r>
    </w:p>
    <w:p w14:paraId="2A58AB28"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4、基金份额净值估值错误处理的方法如下：</w:t>
      </w:r>
    </w:p>
    <w:p w14:paraId="26AAD49B"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（1）基金份额净值计算出现错误时，基金管理人应当立即予以纠正，通报基金托管人，并采取合理的措施防止损失进一步扩大。</w:t>
      </w:r>
    </w:p>
    <w:p w14:paraId="02AB0532"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（2）错误偏差达到该类基金份额净值的0.25%时，基金管理人应当通报基金托管人并报中国证监会备案；错误偏差达到该类基金份额净值的0.5%时，基金管理人应当公告，并报中国证监会备案。</w:t>
      </w:r>
    </w:p>
    <w:p w14:paraId="75F2FC31"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（3）前述内容如法律法规或监管机关另有规定的，从其规定处理。</w:t>
      </w:r>
    </w:p>
    <w:p w14:paraId="05C1EA61"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（四）特殊情况的处理</w:t>
      </w:r>
    </w:p>
    <w:p w14:paraId="7B49381E" w14:textId="4501463D"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1、基金管理人、基金托管人按估值方法的第（9）项进行估值时，所造成的误差不作为基金资产估值错误处理。</w:t>
      </w:r>
    </w:p>
    <w:p w14:paraId="42FACF88"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由于不可抗力原因，或由于证券、期货交易所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2AF87F55"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（五）基金账册的建立</w:t>
      </w:r>
    </w:p>
    <w:p w14:paraId="1A399B13"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基金管理人和基金托管人在基金合同生效后，应按照相关各方约定的同一记账方法和会计处理原则，分别独立地设置、登录和保管本基金的全套账册，对相</w:t>
      </w:r>
      <w:r>
        <w:rPr>
          <w:rFonts w:asciiTheme="minorEastAsia" w:hAnsiTheme="minorEastAsia" w:cs="Arial" w:hint="eastAsia"/>
          <w:sz w:val="24"/>
          <w:szCs w:val="24"/>
        </w:rPr>
        <w:lastRenderedPageBreak/>
        <w:t>关各方各自的账册定期进行核对，互相监督，以保证基金资产的安全。若双方对会计处理方法存在分歧，应以基金管理人的处理方法为准。</w:t>
      </w:r>
    </w:p>
    <w:p w14:paraId="2EFEEE69"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经对账发现相关各方的账目存在不符的，基金管理人和基金托管人必须及时查明原因并纠正，保证相关各方平行登录的账册记录完全相符。若当日核对不符，暂时无法查找到错账的原因而影响到基金净值信息的计算和公告的，以基金管理人的账册为准。</w:t>
      </w:r>
    </w:p>
    <w:p w14:paraId="050D0911"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（六）基金相关报告的编制和复核</w:t>
      </w:r>
    </w:p>
    <w:p w14:paraId="60217943"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基金财务报表由基金管理人和基金托管人每</w:t>
      </w:r>
      <w:proofErr w:type="gramStart"/>
      <w:r>
        <w:rPr>
          <w:rFonts w:asciiTheme="minorEastAsia" w:hAnsiTheme="minorEastAsia" w:cs="Arial" w:hint="eastAsia"/>
          <w:sz w:val="24"/>
          <w:szCs w:val="24"/>
        </w:rPr>
        <w:t>月分别独立</w:t>
      </w:r>
      <w:proofErr w:type="gramEnd"/>
      <w:r>
        <w:rPr>
          <w:rFonts w:asciiTheme="minorEastAsia" w:hAnsiTheme="minorEastAsia" w:cs="Arial" w:hint="eastAsia"/>
          <w:sz w:val="24"/>
          <w:szCs w:val="24"/>
        </w:rPr>
        <w:t>编制。月度报表的编制，应于每月终了后5个工作日内完成。</w:t>
      </w:r>
    </w:p>
    <w:p w14:paraId="7F35DFFE"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在基金合同生效后，基金招募说明书的信息发生重大变更的，基金管理人应当在3个工作日内完成更新并登载在规定网站上，除重大变更之外，基金招募说明书其他信息发生变更的，应当至少每年更新一次，基金终止运作的，基金管理人不再更新基金招募说明书。基金管理人在季度结束之日起15个工作日内完成季度报告编制，将季度报告登载在规定网站上，并将季度报告提示性公告登载在规定报刊上；基金管理人在上半年结束之日起两个月内完成中期报告的编制，将中期报告登载在规定网站上，并将中期报告提示性公告登载在规定报刊上；基金管理人在每年结束之日起三个月内完成年度报告的编制，将年度报告登载在规定网站上，并将年度报告提示性公告登载在规定报刊上。如果基金合同生效不足2个月的，基金管理人可以不编制当期季度报告、中期报告或者年度报告。</w:t>
      </w:r>
    </w:p>
    <w:p w14:paraId="50DF1F9D"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及时完成报表编制，将有关报表提供基金托管人复核；基金托管人应当在收到报告之日起2个工作日内完成月度报表的复核；在收到报告之日起7个工作日内完成基金季度报告的复核；在收到报告之日起20日内完成基金中期报告的复核；在收到报告之日起30日内完成基金年度报告的复核。基金托管人在复核过程中，发现双方的报表存在不符时，基金管理人和基金托管人应共同查明原因，进行调整，调整以国家有关规定为准。</w:t>
      </w:r>
    </w:p>
    <w:p w14:paraId="1ACCAC1E"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核对无误后，基金托管人在基金管理人提供的报告上加盖业务印鉴或者出具加盖托管业务部门公章的复核意见书，相关各方各自留存一份，或通过电子方式复核确认。</w:t>
      </w:r>
    </w:p>
    <w:p w14:paraId="38F3CBD2"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基金托管人在对财务会计报告、季度、中期报告或年度报告复核完毕后，需盖章确认、出具相应的复核确认书或通过电子方式进行确认，以</w:t>
      </w:r>
      <w:proofErr w:type="gramStart"/>
      <w:r>
        <w:rPr>
          <w:rFonts w:asciiTheme="minorEastAsia" w:hAnsiTheme="minorEastAsia" w:cs="Arial" w:hint="eastAsia"/>
          <w:sz w:val="24"/>
          <w:szCs w:val="24"/>
        </w:rPr>
        <w:t>备有权</w:t>
      </w:r>
      <w:proofErr w:type="gramEnd"/>
      <w:r>
        <w:rPr>
          <w:rFonts w:asciiTheme="minorEastAsia" w:hAnsiTheme="minorEastAsia" w:cs="Arial" w:hint="eastAsia"/>
          <w:sz w:val="24"/>
          <w:szCs w:val="24"/>
        </w:rPr>
        <w:t>机构对相</w:t>
      </w:r>
      <w:r>
        <w:rPr>
          <w:rFonts w:asciiTheme="minorEastAsia" w:hAnsiTheme="minorEastAsia" w:cs="Arial" w:hint="eastAsia"/>
          <w:sz w:val="24"/>
          <w:szCs w:val="24"/>
        </w:rPr>
        <w:lastRenderedPageBreak/>
        <w:t>关文件审核时提示，监管机构另有要求的，从其要求。</w:t>
      </w:r>
    </w:p>
    <w:p w14:paraId="7BDF17B8"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（七）暂停估值的情形</w:t>
      </w:r>
    </w:p>
    <w:p w14:paraId="389DE548"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1、基金投资所涉及的证券、期货交易市场遇法定节假日或因其他原因暂停营业时；</w:t>
      </w:r>
    </w:p>
    <w:p w14:paraId="1C71C351"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2、因不可抗力或其他情形致使基金管理人、基金托管人无法准确评估基金资产价值时；</w:t>
      </w:r>
    </w:p>
    <w:p w14:paraId="535EAAD4"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3、当特定资产占前一估值日基金资产净值50%以上的，经与基金托管人协商确认后，基金管理人应当暂停估值；</w:t>
      </w:r>
    </w:p>
    <w:p w14:paraId="71CC6DE4"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4、法律法规规定、中国证监会和基金合同认定的其它情形。</w:t>
      </w:r>
    </w:p>
    <w:p w14:paraId="4AA0ACBA" w14:textId="77777777" w:rsidR="009D10D8" w:rsidRDefault="009E4577" w:rsidP="00212156">
      <w:pPr>
        <w:adjustRightInd w:val="0"/>
        <w:snapToGrid w:val="0"/>
        <w:spacing w:line="360" w:lineRule="auto"/>
        <w:ind w:firstLineChars="200" w:firstLine="482"/>
        <w:outlineLvl w:val="1"/>
        <w:rPr>
          <w:rFonts w:asciiTheme="minorEastAsia" w:hAnsiTheme="minorEastAsia" w:cs="Arial" w:hint="eastAsia"/>
          <w:b/>
          <w:sz w:val="24"/>
          <w:szCs w:val="24"/>
        </w:rPr>
      </w:pPr>
      <w:r>
        <w:rPr>
          <w:rFonts w:asciiTheme="minorEastAsia" w:hAnsiTheme="minorEastAsia" w:cs="Arial" w:hint="eastAsia"/>
          <w:b/>
          <w:sz w:val="24"/>
          <w:szCs w:val="24"/>
        </w:rPr>
        <w:t>六、基金份额持有人名册的保管</w:t>
      </w:r>
    </w:p>
    <w:p w14:paraId="110F40CD"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本基金的基金管理人和基金托管人须分别妥善保管的基金份额持有人名册，包括基金合同生效日、基金合同终止日、基金权益登记日、基金份额持有人大会权益登记日、每年6月30日、12月31日的基金份额持有人名册。基金份额持有人名册的内容至少应包括持有人的名称和持有的基金份额。</w:t>
      </w:r>
    </w:p>
    <w:p w14:paraId="1135BB29"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基金份额持有人名册由登记机构编制，由基金管理人审核并提交基金托管人保管。基金托管人有权要求基金管理人提供基金份额持有人名册，基金管理人应及时提供，不得拖延或拒绝提供。</w:t>
      </w:r>
    </w:p>
    <w:p w14:paraId="5559E0B2"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管理人应及时向基金托管人提交基金份额持有人名册。每年6月30日和12月31日的基金份额持有人名册应于下月前十个工作日内提交；基金合同生效日、基金合同终止日、基金权益登记日、基金份额持有人大会权益登记日等涉及到基金重要事项日期的基金份额持有人名册应于发生日后十个工作日内提交。</w:t>
      </w:r>
    </w:p>
    <w:p w14:paraId="740DED78"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宋体" w:hAnsi="宋体" w:hint="eastAsia"/>
          <w:sz w:val="24"/>
          <w:szCs w:val="24"/>
        </w:rPr>
        <w:t>基金管理人和基金托管人应妥善保管基金份额持有人名册，保存期限为20年，法律法规另有规定的，从其规定。基金托管人不得将所保管的基金份额持有人名册用于基金托管业务以外的其他用途，并应遵守保密义务。</w:t>
      </w:r>
      <w:proofErr w:type="gramStart"/>
      <w:r>
        <w:rPr>
          <w:rFonts w:ascii="宋体" w:hAnsi="宋体" w:hint="eastAsia"/>
          <w:sz w:val="24"/>
          <w:szCs w:val="24"/>
        </w:rPr>
        <w:t>若基金</w:t>
      </w:r>
      <w:proofErr w:type="gramEnd"/>
      <w:r>
        <w:rPr>
          <w:rFonts w:ascii="宋体" w:hAnsi="宋体" w:hint="eastAsia"/>
          <w:sz w:val="24"/>
          <w:szCs w:val="24"/>
        </w:rPr>
        <w:t>管理人或基金托管人由于自身原因无法妥善保管基金份额持有人名册，应按有关法规规定各自承担相应的责任。</w:t>
      </w:r>
    </w:p>
    <w:p w14:paraId="555C0882" w14:textId="77777777" w:rsidR="009D10D8" w:rsidRDefault="009E4577" w:rsidP="00212156">
      <w:pPr>
        <w:adjustRightInd w:val="0"/>
        <w:snapToGrid w:val="0"/>
        <w:spacing w:line="360" w:lineRule="auto"/>
        <w:ind w:firstLineChars="200" w:firstLine="482"/>
        <w:outlineLvl w:val="1"/>
        <w:rPr>
          <w:rFonts w:asciiTheme="minorEastAsia" w:hAnsiTheme="minorEastAsia" w:cs="Arial" w:hint="eastAsia"/>
          <w:b/>
          <w:sz w:val="24"/>
          <w:szCs w:val="24"/>
        </w:rPr>
      </w:pPr>
      <w:r>
        <w:rPr>
          <w:rFonts w:asciiTheme="minorEastAsia" w:hAnsiTheme="minorEastAsia" w:cs="Arial" w:hint="eastAsia"/>
          <w:b/>
          <w:sz w:val="24"/>
          <w:szCs w:val="24"/>
        </w:rPr>
        <w:t>七、争议解决方式</w:t>
      </w:r>
    </w:p>
    <w:p w14:paraId="46BF3D11" w14:textId="77777777" w:rsidR="009D10D8" w:rsidRDefault="009E4577">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双方当事人同意，因本协议而产生的或与本协议有关的一切争议，除经友好协商可以解决的，应提交深圳国际仲裁院，根据深圳国际仲裁院当时有效的仲裁规则进行仲裁，仲裁地点为深圳市。仲裁裁决是终局性的，对双方当事人均有约</w:t>
      </w:r>
      <w:r>
        <w:rPr>
          <w:rFonts w:ascii="宋体" w:hAnsi="宋体" w:hint="eastAsia"/>
          <w:sz w:val="24"/>
          <w:szCs w:val="24"/>
        </w:rPr>
        <w:lastRenderedPageBreak/>
        <w:t>束力，除非仲裁裁决另有决定，仲裁费和律师费由败诉方承担。</w:t>
      </w:r>
    </w:p>
    <w:p w14:paraId="319686D9" w14:textId="77777777" w:rsidR="009D10D8" w:rsidRDefault="009E4577">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争议处理期间，本协议当事人应恪守各自的职责，继续忠实、勤勉、尽责地履行基金合同和本协议规定的义务，维护基金份额持有人的合法权益。</w:t>
      </w:r>
    </w:p>
    <w:p w14:paraId="76C00C38"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宋体" w:hAnsi="宋体" w:hint="eastAsia"/>
          <w:sz w:val="24"/>
          <w:szCs w:val="24"/>
        </w:rPr>
        <w:t>本托管协议受中国法律（为本托管协议之目的，不包括香港特别行政区、澳门特别行政区和台湾地区法律）管辖。</w:t>
      </w:r>
    </w:p>
    <w:p w14:paraId="40A1B4EF" w14:textId="77777777" w:rsidR="009D10D8" w:rsidRDefault="009E4577" w:rsidP="00212156">
      <w:pPr>
        <w:adjustRightInd w:val="0"/>
        <w:snapToGrid w:val="0"/>
        <w:spacing w:line="360" w:lineRule="auto"/>
        <w:ind w:firstLineChars="200" w:firstLine="482"/>
        <w:outlineLvl w:val="1"/>
        <w:rPr>
          <w:rFonts w:asciiTheme="minorEastAsia" w:hAnsiTheme="minorEastAsia" w:cs="Arial" w:hint="eastAsia"/>
          <w:b/>
          <w:sz w:val="24"/>
          <w:szCs w:val="24"/>
        </w:rPr>
      </w:pPr>
      <w:r>
        <w:rPr>
          <w:rFonts w:asciiTheme="minorEastAsia" w:hAnsiTheme="minorEastAsia" w:cs="Arial" w:hint="eastAsia"/>
          <w:b/>
          <w:sz w:val="24"/>
          <w:szCs w:val="24"/>
        </w:rPr>
        <w:t>八、</w:t>
      </w:r>
      <w:r w:rsidRPr="00212156">
        <w:rPr>
          <w:rFonts w:asciiTheme="minorEastAsia" w:hAnsiTheme="minorEastAsia" w:cs="Arial" w:hint="eastAsia"/>
          <w:b/>
          <w:sz w:val="24"/>
          <w:szCs w:val="24"/>
        </w:rPr>
        <w:t>托管协议的变更、终止与基金财产的清算</w:t>
      </w:r>
    </w:p>
    <w:p w14:paraId="16A70094"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（一）托管协议的变更与终止</w:t>
      </w:r>
    </w:p>
    <w:p w14:paraId="1FCDF9BF"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1、托管协议的变更程序</w:t>
      </w:r>
    </w:p>
    <w:p w14:paraId="3BF2CEE8" w14:textId="5CF07CEE"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本协议双方当事人经协商一致，可以对协议的内容进行变更。变更后的托管协议，其内容不得与基金合同的规定有任何冲突。基金托管协议的变更报中国证监会注册或备案。</w:t>
      </w:r>
    </w:p>
    <w:p w14:paraId="6CF86ECC"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2、基金托管协议终止的情形</w:t>
      </w:r>
    </w:p>
    <w:p w14:paraId="11BF841E"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发生以下情况，本托管协议终止：</w:t>
      </w:r>
    </w:p>
    <w:p w14:paraId="7B3C3E0C"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（1）基金合同终止；</w:t>
      </w:r>
    </w:p>
    <w:p w14:paraId="512559AE"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（2）基金托管人解散、依法被撤销、破产或有其他基金托管人接管基金资产；</w:t>
      </w:r>
    </w:p>
    <w:p w14:paraId="20EE43DA"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（3）基金管理人解散、依法被撤销、破产或有其他基金管理人接管基金管理权；</w:t>
      </w:r>
    </w:p>
    <w:p w14:paraId="6FADBB4A"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（4）发生法律法规或基金合同规定的终止事项。</w:t>
      </w:r>
    </w:p>
    <w:p w14:paraId="76F6EF74"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（二）基金财产的清算</w:t>
      </w:r>
    </w:p>
    <w:p w14:paraId="7A4D32CB"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1、基金财产清算小组：自出现《基金合同》终止事由之日起30个工作日内成立清算小组，基金管理人组织基金财产清算小组并在中国证监会的监督下进行基金清算。</w:t>
      </w:r>
    </w:p>
    <w:p w14:paraId="7EA2871C"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3C2636A2"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3、基金财产清算小组职责：基金财产清算小组负责基金财产的保管、清理、估价、变现和分配。基金财产清算小组可以依法进行必要的民事活动。</w:t>
      </w:r>
    </w:p>
    <w:p w14:paraId="210AA943"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4、基金财产清算程序：</w:t>
      </w:r>
    </w:p>
    <w:p w14:paraId="310C42F6"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（1）基金合同终止情形出现时，由基金财产清算小组统一接管基金财产；</w:t>
      </w:r>
    </w:p>
    <w:p w14:paraId="3E71A61E"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lastRenderedPageBreak/>
        <w:t>（2）对基金财产和债权债务进行清理和确认；</w:t>
      </w:r>
    </w:p>
    <w:p w14:paraId="28FEA311"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（3）对基金财产进行估值和变现；</w:t>
      </w:r>
    </w:p>
    <w:p w14:paraId="4BC298AB"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（4）制作清算报告；</w:t>
      </w:r>
    </w:p>
    <w:p w14:paraId="0367BBA1"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（5）聘请符合《中华人民共和国证券法》规定的会计师事务所对清算报告进行外部审计，聘请律师事务所对清算报告出具法律意见书；</w:t>
      </w:r>
    </w:p>
    <w:p w14:paraId="3D95CB5B"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（6）将清算报告报中国证监会备案并公告；</w:t>
      </w:r>
    </w:p>
    <w:p w14:paraId="36A740EB"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（7）对基金剩余财产进行分配。</w:t>
      </w:r>
    </w:p>
    <w:p w14:paraId="49724F90"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5、基金财产清算的期限为6个月，但因本基金所持证券的流动性受到限制而不能及时变现的，清算期限相应顺延。</w:t>
      </w:r>
    </w:p>
    <w:p w14:paraId="41631922"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6、清算费用</w:t>
      </w:r>
    </w:p>
    <w:p w14:paraId="11C814AE"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清算费用是指基金财产清算小组在进行基金清算过程中发生的所有合理费用，清算费用由基金财产清算小组优先从基金剩余财产中支付。</w:t>
      </w:r>
    </w:p>
    <w:p w14:paraId="43CE1D32"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7、基金财产按下列顺序清偿：</w:t>
      </w:r>
    </w:p>
    <w:p w14:paraId="5542D3AA"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（1）支付清算费用；</w:t>
      </w:r>
    </w:p>
    <w:p w14:paraId="7FBF0C0D"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（2）交纳所欠税款；</w:t>
      </w:r>
    </w:p>
    <w:p w14:paraId="5F3E531F"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（3）清偿基金债务；</w:t>
      </w:r>
    </w:p>
    <w:p w14:paraId="7507A499"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（4）按基金份额持有人持有的基金份额比例进行分配。</w:t>
      </w:r>
    </w:p>
    <w:p w14:paraId="43AEEC4E" w14:textId="455CFBAF" w:rsidR="009D10D8" w:rsidRDefault="009E4577">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基金财产未按前款（1）－（3）项规定清偿前，不分配给基金份额持有人。</w:t>
      </w:r>
    </w:p>
    <w:p w14:paraId="67949512" w14:textId="77777777" w:rsidR="007903C5" w:rsidRPr="007903C5" w:rsidRDefault="007903C5" w:rsidP="007903C5">
      <w:pPr>
        <w:adjustRightInd w:val="0"/>
        <w:snapToGrid w:val="0"/>
        <w:spacing w:line="360" w:lineRule="auto"/>
        <w:ind w:firstLineChars="200" w:firstLine="480"/>
        <w:rPr>
          <w:rFonts w:ascii="宋体" w:hAnsi="宋体" w:hint="eastAsia"/>
          <w:sz w:val="24"/>
          <w:szCs w:val="24"/>
        </w:rPr>
      </w:pPr>
      <w:r w:rsidRPr="007903C5">
        <w:rPr>
          <w:rFonts w:ascii="宋体" w:hAnsi="宋体" w:hint="eastAsia"/>
          <w:sz w:val="24"/>
          <w:szCs w:val="24"/>
        </w:rPr>
        <w:t>（三）基金财产清算的公告</w:t>
      </w:r>
    </w:p>
    <w:p w14:paraId="4A27C6EE" w14:textId="77777777" w:rsidR="007903C5" w:rsidRPr="007903C5" w:rsidRDefault="007903C5" w:rsidP="007903C5">
      <w:pPr>
        <w:adjustRightInd w:val="0"/>
        <w:snapToGrid w:val="0"/>
        <w:spacing w:line="360" w:lineRule="auto"/>
        <w:ind w:firstLineChars="200" w:firstLine="480"/>
        <w:rPr>
          <w:rFonts w:ascii="宋体" w:hAnsi="宋体" w:hint="eastAsia"/>
          <w:sz w:val="24"/>
          <w:szCs w:val="24"/>
        </w:rPr>
      </w:pPr>
      <w:r w:rsidRPr="007903C5">
        <w:rPr>
          <w:rFonts w:ascii="宋体" w:hAnsi="宋体" w:hint="eastAsia"/>
          <w:sz w:val="24"/>
          <w:szCs w:val="24"/>
        </w:rPr>
        <w:t>清算过程中的有关重大事项须及时公告。基金财产清算报告</w:t>
      </w:r>
      <w:proofErr w:type="gramStart"/>
      <w:r w:rsidRPr="007903C5">
        <w:rPr>
          <w:rFonts w:ascii="宋体" w:hAnsi="宋体" w:hint="eastAsia"/>
          <w:sz w:val="24"/>
          <w:szCs w:val="24"/>
        </w:rPr>
        <w:t>经符合</w:t>
      </w:r>
      <w:proofErr w:type="gramEnd"/>
      <w:r w:rsidRPr="007903C5">
        <w:rPr>
          <w:rFonts w:ascii="宋体" w:hAnsi="宋体" w:hint="eastAsia"/>
          <w:sz w:val="24"/>
          <w:szCs w:val="24"/>
        </w:rPr>
        <w:t>《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730767CF" w14:textId="77777777" w:rsidR="007903C5" w:rsidRPr="007903C5" w:rsidRDefault="007903C5" w:rsidP="007903C5">
      <w:pPr>
        <w:adjustRightInd w:val="0"/>
        <w:snapToGrid w:val="0"/>
        <w:spacing w:line="360" w:lineRule="auto"/>
        <w:ind w:firstLineChars="200" w:firstLine="480"/>
        <w:rPr>
          <w:rFonts w:ascii="宋体" w:hAnsi="宋体" w:hint="eastAsia"/>
          <w:sz w:val="24"/>
          <w:szCs w:val="24"/>
        </w:rPr>
      </w:pPr>
      <w:r w:rsidRPr="007903C5">
        <w:rPr>
          <w:rFonts w:ascii="宋体" w:hAnsi="宋体" w:hint="eastAsia"/>
          <w:sz w:val="24"/>
          <w:szCs w:val="24"/>
        </w:rPr>
        <w:t>（四）基金财产清算完毕后，基金托管人负责注销基金财产的资金账户、证券账户、债券托管专户账户以及其他相关账户。基金管理人应给予必要的配合。</w:t>
      </w:r>
    </w:p>
    <w:p w14:paraId="7E2657BF" w14:textId="77777777" w:rsidR="007903C5" w:rsidRPr="007903C5" w:rsidRDefault="007903C5" w:rsidP="007903C5">
      <w:pPr>
        <w:adjustRightInd w:val="0"/>
        <w:snapToGrid w:val="0"/>
        <w:spacing w:line="360" w:lineRule="auto"/>
        <w:ind w:firstLineChars="200" w:firstLine="480"/>
        <w:rPr>
          <w:rFonts w:ascii="宋体" w:hAnsi="宋体" w:hint="eastAsia"/>
          <w:sz w:val="24"/>
          <w:szCs w:val="24"/>
        </w:rPr>
      </w:pPr>
      <w:r w:rsidRPr="007903C5">
        <w:rPr>
          <w:rFonts w:ascii="宋体" w:hAnsi="宋体" w:hint="eastAsia"/>
          <w:sz w:val="24"/>
          <w:szCs w:val="24"/>
        </w:rPr>
        <w:t>（五）基金财产清算账册及文件的保存</w:t>
      </w:r>
    </w:p>
    <w:p w14:paraId="28AC40C8" w14:textId="7B7B6C0E" w:rsidR="009D10D8" w:rsidRDefault="007903C5">
      <w:pPr>
        <w:adjustRightInd w:val="0"/>
        <w:snapToGrid w:val="0"/>
        <w:spacing w:line="360" w:lineRule="auto"/>
        <w:ind w:firstLineChars="200" w:firstLine="480"/>
        <w:rPr>
          <w:rFonts w:ascii="宋体" w:hAnsi="宋体" w:hint="eastAsia"/>
          <w:sz w:val="24"/>
          <w:szCs w:val="24"/>
        </w:rPr>
      </w:pPr>
      <w:r w:rsidRPr="007903C5">
        <w:rPr>
          <w:rFonts w:ascii="宋体" w:hAnsi="宋体" w:hint="eastAsia"/>
          <w:sz w:val="24"/>
          <w:szCs w:val="24"/>
        </w:rPr>
        <w:t>基金财产清算账册及有关文件由基金托管人保存不低于法律法规规定的最低期限。</w:t>
      </w:r>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p>
    <w:p w14:paraId="5C1C01BD" w14:textId="77777777" w:rsidR="009D10D8" w:rsidRDefault="009D10D8">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hint="eastAsia"/>
          <w:b/>
          <w:kern w:val="0"/>
          <w:sz w:val="24"/>
          <w:szCs w:val="24"/>
        </w:rPr>
        <w:sectPr w:rsidR="009D10D8">
          <w:footerReference w:type="default" r:id="rId25"/>
          <w:pgSz w:w="11906" w:h="16838"/>
          <w:pgMar w:top="1440" w:right="1800" w:bottom="1440" w:left="1800" w:header="851" w:footer="992" w:gutter="0"/>
          <w:pgNumType w:chapStyle="1"/>
          <w:cols w:space="720"/>
          <w:docGrid w:type="lines" w:linePitch="312"/>
        </w:sectPr>
      </w:pPr>
      <w:bookmarkStart w:id="395" w:name="_Toc416264555"/>
      <w:bookmarkStart w:id="396" w:name="_Toc214873621"/>
      <w:bookmarkStart w:id="397" w:name="_Toc21073396"/>
      <w:bookmarkStart w:id="398" w:name="_Toc12357176"/>
      <w:bookmarkStart w:id="399" w:name="_Toc147463123"/>
      <w:bookmarkStart w:id="400" w:name="_Toc263092328"/>
      <w:bookmarkStart w:id="401" w:name="_Toc6110"/>
      <w:bookmarkStart w:id="402" w:name="_Toc6202"/>
      <w:bookmarkStart w:id="403" w:name="_Toc30350"/>
      <w:bookmarkStart w:id="404" w:name="_Toc8636"/>
      <w:bookmarkStart w:id="405" w:name="_Toc21983"/>
      <w:bookmarkStart w:id="406" w:name="_Toc1790"/>
      <w:bookmarkStart w:id="407" w:name="_Toc352229767"/>
      <w:bookmarkStart w:id="408" w:name="_Toc7288"/>
      <w:bookmarkStart w:id="409" w:name="_Toc3319"/>
      <w:bookmarkStart w:id="410" w:name="_Toc98560366"/>
      <w:bookmarkStart w:id="411" w:name="_Toc123051467"/>
      <w:bookmarkStart w:id="412" w:name="_Toc139991751"/>
      <w:bookmarkStart w:id="413" w:name="_Toc141703902"/>
      <w:bookmarkStart w:id="414" w:name="_Toc23999"/>
      <w:bookmarkStart w:id="415" w:name="_Toc123102468"/>
      <w:bookmarkStart w:id="416" w:name="_Toc25651"/>
      <w:bookmarkStart w:id="417" w:name="_Toc123112249"/>
      <w:bookmarkStart w:id="418" w:name="_Toc24923"/>
    </w:p>
    <w:p w14:paraId="397B914B" w14:textId="77777777" w:rsidR="009D10D8" w:rsidRDefault="009E4577">
      <w:pPr>
        <w:pStyle w:val="1"/>
        <w:jc w:val="center"/>
        <w:rPr>
          <w:sz w:val="30"/>
          <w:szCs w:val="30"/>
        </w:rPr>
      </w:pPr>
      <w:bookmarkStart w:id="419" w:name="_Toc173322797"/>
      <w:r>
        <w:rPr>
          <w:rFonts w:hint="eastAsia"/>
          <w:sz w:val="30"/>
          <w:szCs w:val="30"/>
        </w:rPr>
        <w:lastRenderedPageBreak/>
        <w:t>第二十一部分</w:t>
      </w:r>
      <w:r>
        <w:rPr>
          <w:sz w:val="30"/>
          <w:szCs w:val="30"/>
        </w:rPr>
        <w:t xml:space="preserve">  </w:t>
      </w:r>
      <w:r>
        <w:rPr>
          <w:rFonts w:hint="eastAsia"/>
          <w:sz w:val="30"/>
          <w:szCs w:val="30"/>
        </w:rPr>
        <w:t>对基金份额持有人的服务</w:t>
      </w:r>
      <w:bookmarkEnd w:id="419"/>
    </w:p>
    <w:p w14:paraId="39D543DE"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45997B08"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（一）电话人工咨询服务</w:t>
      </w:r>
    </w:p>
    <w:p w14:paraId="2C11C483"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40ACB0ED"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（二）自助查询服务</w:t>
      </w:r>
    </w:p>
    <w:p w14:paraId="3C0C5E0C"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4180C60E"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（三）邮件咨询服务</w:t>
      </w:r>
    </w:p>
    <w:p w14:paraId="043ADCCF"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61359CE1"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（四）免费信息订阅服务</w:t>
      </w:r>
    </w:p>
    <w:p w14:paraId="60D05FF8"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34FE8D14"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（五）客户投诉受理服务</w:t>
      </w:r>
    </w:p>
    <w:p w14:paraId="247705E5"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0529DC91"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 xml:space="preserve">（六）基金管理人联系方式 </w:t>
      </w:r>
    </w:p>
    <w:p w14:paraId="31FF46E5"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基金管理人网址： www.furamc.com.cn</w:t>
      </w:r>
    </w:p>
    <w:p w14:paraId="294F9D14"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电子信箱：service@furamc.com.cn</w:t>
      </w:r>
    </w:p>
    <w:p w14:paraId="6E49D298"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客服热线：4006855600</w:t>
      </w:r>
    </w:p>
    <w:p w14:paraId="2120F241"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lastRenderedPageBreak/>
        <w:t>客户服务部门地址：深圳市福田区八卦四路52号安吉尔大厦24层，富荣基金管理有限公司客户服务部门（收）</w:t>
      </w:r>
    </w:p>
    <w:p w14:paraId="07FA63C9"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邮编：518038</w:t>
      </w:r>
    </w:p>
    <w:p w14:paraId="423335D2" w14:textId="5A2317D7" w:rsidR="009D10D8" w:rsidRDefault="000A0F82" w:rsidP="000A0F82">
      <w:pPr>
        <w:spacing w:line="360" w:lineRule="auto"/>
        <w:ind w:firstLineChars="200" w:firstLine="480"/>
        <w:rPr>
          <w:rFonts w:asciiTheme="minorEastAsia" w:hAnsiTheme="minorEastAsia" w:hint="eastAsia"/>
          <w:sz w:val="24"/>
          <w:szCs w:val="24"/>
        </w:rPr>
        <w:sectPr w:rsidR="009D10D8">
          <w:footerReference w:type="default" r:id="rId26"/>
          <w:pgSz w:w="11906" w:h="16838"/>
          <w:pgMar w:top="1440" w:right="1800" w:bottom="1440" w:left="1800" w:header="851" w:footer="992" w:gutter="0"/>
          <w:pgNumType w:chapStyle="1"/>
          <w:cols w:space="720"/>
          <w:docGrid w:type="lines" w:linePitch="312"/>
        </w:sectPr>
      </w:pPr>
      <w:r w:rsidRPr="000A0F82">
        <w:rPr>
          <w:rFonts w:asciiTheme="minorEastAsia" w:hAnsiTheme="minorEastAsia" w:cs="Arial" w:hint="eastAsia"/>
          <w:sz w:val="24"/>
          <w:szCs w:val="24"/>
        </w:rPr>
        <w:t>（七）如本招募说明书存在任何您/</w:t>
      </w:r>
      <w:proofErr w:type="gramStart"/>
      <w:r w:rsidRPr="000A0F82">
        <w:rPr>
          <w:rFonts w:asciiTheme="minorEastAsia" w:hAnsiTheme="minorEastAsia" w:cs="Arial" w:hint="eastAsia"/>
          <w:sz w:val="24"/>
          <w:szCs w:val="24"/>
        </w:rPr>
        <w:t>贵机构</w:t>
      </w:r>
      <w:proofErr w:type="gramEnd"/>
      <w:r w:rsidRPr="000A0F82">
        <w:rPr>
          <w:rFonts w:asciiTheme="minorEastAsia" w:hAnsiTheme="minorEastAsia" w:cs="Arial" w:hint="eastAsia"/>
          <w:sz w:val="24"/>
          <w:szCs w:val="24"/>
        </w:rPr>
        <w:t>无法理解的内容，请通过</w:t>
      </w:r>
      <w:proofErr w:type="gramStart"/>
      <w:r w:rsidRPr="000A0F82">
        <w:rPr>
          <w:rFonts w:asciiTheme="minorEastAsia" w:hAnsiTheme="minorEastAsia" w:cs="Arial" w:hint="eastAsia"/>
          <w:sz w:val="24"/>
          <w:szCs w:val="24"/>
        </w:rPr>
        <w:t>上述联系</w:t>
      </w:r>
      <w:proofErr w:type="gramEnd"/>
      <w:r w:rsidRPr="000A0F82">
        <w:rPr>
          <w:rFonts w:asciiTheme="minorEastAsia" w:hAnsiTheme="minorEastAsia" w:cs="Arial" w:hint="eastAsia"/>
          <w:sz w:val="24"/>
          <w:szCs w:val="24"/>
        </w:rPr>
        <w:t>方式联系基金管理人。</w:t>
      </w:r>
      <w:proofErr w:type="gramStart"/>
      <w:r w:rsidRPr="000A0F82">
        <w:rPr>
          <w:rFonts w:asciiTheme="minorEastAsia" w:hAnsiTheme="minorEastAsia" w:cs="Arial" w:hint="eastAsia"/>
          <w:sz w:val="24"/>
          <w:szCs w:val="24"/>
        </w:rPr>
        <w:t>请确保</w:t>
      </w:r>
      <w:proofErr w:type="gramEnd"/>
      <w:r w:rsidRPr="000A0F82">
        <w:rPr>
          <w:rFonts w:asciiTheme="minorEastAsia" w:hAnsiTheme="minorEastAsia" w:cs="Arial" w:hint="eastAsia"/>
          <w:sz w:val="24"/>
          <w:szCs w:val="24"/>
        </w:rPr>
        <w:t>投资前，您/</w:t>
      </w:r>
      <w:proofErr w:type="gramStart"/>
      <w:r w:rsidRPr="000A0F82">
        <w:rPr>
          <w:rFonts w:asciiTheme="minorEastAsia" w:hAnsiTheme="minorEastAsia" w:cs="Arial" w:hint="eastAsia"/>
          <w:sz w:val="24"/>
          <w:szCs w:val="24"/>
        </w:rPr>
        <w:t>贵机构</w:t>
      </w:r>
      <w:proofErr w:type="gramEnd"/>
      <w:r w:rsidRPr="000A0F82">
        <w:rPr>
          <w:rFonts w:asciiTheme="minorEastAsia" w:hAnsiTheme="minorEastAsia" w:cs="Arial" w:hint="eastAsia"/>
          <w:sz w:val="24"/>
          <w:szCs w:val="24"/>
        </w:rPr>
        <w:t>已经全面理解了本招募说明书。</w:t>
      </w:r>
      <w:bookmarkEnd w:id="395"/>
      <w:bookmarkEnd w:id="396"/>
      <w:bookmarkEnd w:id="397"/>
      <w:bookmarkEnd w:id="398"/>
      <w:bookmarkEnd w:id="399"/>
      <w:bookmarkEnd w:id="400"/>
    </w:p>
    <w:p w14:paraId="6331252F" w14:textId="77777777" w:rsidR="005E0420" w:rsidRDefault="009E4577" w:rsidP="005E0420">
      <w:pPr>
        <w:pStyle w:val="1"/>
        <w:jc w:val="center"/>
        <w:rPr>
          <w:sz w:val="30"/>
          <w:szCs w:val="30"/>
        </w:rPr>
      </w:pPr>
      <w:bookmarkStart w:id="420" w:name="_Toc173322798"/>
      <w:bookmarkStart w:id="421" w:name="_Toc214873622"/>
      <w:bookmarkStart w:id="422" w:name="_Toc416264556"/>
      <w:bookmarkStart w:id="423" w:name="_Toc530223198"/>
      <w:bookmarkStart w:id="424" w:name="_Toc263092329"/>
      <w:r>
        <w:rPr>
          <w:rFonts w:hint="eastAsia"/>
          <w:sz w:val="30"/>
          <w:szCs w:val="30"/>
        </w:rPr>
        <w:lastRenderedPageBreak/>
        <w:t>第二十二部分</w:t>
      </w:r>
      <w:r>
        <w:rPr>
          <w:sz w:val="30"/>
          <w:szCs w:val="30"/>
        </w:rPr>
        <w:t xml:space="preserve">  </w:t>
      </w:r>
      <w:r w:rsidR="00A10969">
        <w:rPr>
          <w:rFonts w:hint="eastAsia"/>
          <w:sz w:val="30"/>
          <w:szCs w:val="30"/>
        </w:rPr>
        <w:t>其他应披露事项</w:t>
      </w:r>
      <w:bookmarkEnd w:id="420"/>
    </w:p>
    <w:tbl>
      <w:tblPr>
        <w:tblStyle w:val="afe"/>
        <w:tblW w:w="5470" w:type="pct"/>
        <w:tblLook w:val="04A0" w:firstRow="1" w:lastRow="0" w:firstColumn="1" w:lastColumn="0" w:noHBand="0" w:noVBand="1"/>
      </w:tblPr>
      <w:tblGrid>
        <w:gridCol w:w="722"/>
        <w:gridCol w:w="6617"/>
        <w:gridCol w:w="1984"/>
      </w:tblGrid>
      <w:tr w:rsidR="00342432" w:rsidRPr="00342432" w14:paraId="128E4EEE" w14:textId="77777777" w:rsidTr="00342432">
        <w:tc>
          <w:tcPr>
            <w:tcW w:w="387" w:type="pct"/>
          </w:tcPr>
          <w:p w14:paraId="601C8CA1" w14:textId="51DB480A" w:rsidR="008B2775" w:rsidRPr="00026284" w:rsidRDefault="008B2775" w:rsidP="00026284">
            <w:pPr>
              <w:spacing w:line="360" w:lineRule="auto"/>
              <w:rPr>
                <w:rFonts w:asciiTheme="minorEastAsia" w:hAnsiTheme="minorEastAsia" w:hint="eastAsia"/>
                <w:bCs/>
                <w:sz w:val="24"/>
                <w:szCs w:val="24"/>
              </w:rPr>
            </w:pPr>
            <w:r w:rsidRPr="00342432">
              <w:rPr>
                <w:rFonts w:asciiTheme="minorEastAsia" w:hAnsiTheme="minorEastAsia" w:hint="eastAsia"/>
                <w:bCs/>
                <w:sz w:val="24"/>
                <w:szCs w:val="24"/>
              </w:rPr>
              <w:t>序号</w:t>
            </w:r>
          </w:p>
        </w:tc>
        <w:tc>
          <w:tcPr>
            <w:tcW w:w="3549" w:type="pct"/>
          </w:tcPr>
          <w:p w14:paraId="424BD906" w14:textId="77777777" w:rsidR="005E0420" w:rsidRPr="00026284" w:rsidRDefault="005E0420" w:rsidP="00026284">
            <w:pPr>
              <w:spacing w:line="360" w:lineRule="auto"/>
              <w:rPr>
                <w:rFonts w:asciiTheme="minorEastAsia" w:hAnsiTheme="minorEastAsia" w:hint="eastAsia"/>
                <w:bCs/>
                <w:sz w:val="24"/>
                <w:szCs w:val="24"/>
              </w:rPr>
            </w:pPr>
            <w:r w:rsidRPr="00026284">
              <w:rPr>
                <w:rFonts w:asciiTheme="minorEastAsia" w:hAnsiTheme="minorEastAsia" w:hint="eastAsia"/>
                <w:bCs/>
                <w:sz w:val="24"/>
                <w:szCs w:val="24"/>
              </w:rPr>
              <w:t>公告事项</w:t>
            </w:r>
          </w:p>
        </w:tc>
        <w:tc>
          <w:tcPr>
            <w:tcW w:w="1064" w:type="pct"/>
          </w:tcPr>
          <w:p w14:paraId="72D1A187" w14:textId="77777777" w:rsidR="005E0420" w:rsidRPr="00026284" w:rsidRDefault="005E0420" w:rsidP="00026284">
            <w:pPr>
              <w:spacing w:line="360" w:lineRule="auto"/>
              <w:rPr>
                <w:rFonts w:asciiTheme="minorEastAsia" w:hAnsiTheme="minorEastAsia" w:hint="eastAsia"/>
                <w:bCs/>
                <w:sz w:val="24"/>
                <w:szCs w:val="24"/>
              </w:rPr>
            </w:pPr>
            <w:r w:rsidRPr="00026284">
              <w:rPr>
                <w:rFonts w:asciiTheme="minorEastAsia" w:hAnsiTheme="minorEastAsia" w:hint="eastAsia"/>
                <w:bCs/>
                <w:sz w:val="24"/>
                <w:szCs w:val="24"/>
              </w:rPr>
              <w:t>披露日期</w:t>
            </w:r>
          </w:p>
        </w:tc>
      </w:tr>
      <w:tr w:rsidR="00BF7711" w:rsidRPr="00342432" w14:paraId="65410D30" w14:textId="77777777" w:rsidTr="00342432">
        <w:tc>
          <w:tcPr>
            <w:tcW w:w="387" w:type="pct"/>
          </w:tcPr>
          <w:p w14:paraId="6F11529D" w14:textId="767A894C" w:rsidR="00BF7711" w:rsidRPr="00026284" w:rsidRDefault="00BF7711" w:rsidP="00BF7711">
            <w:pPr>
              <w:spacing w:line="360" w:lineRule="auto"/>
              <w:rPr>
                <w:rFonts w:asciiTheme="minorEastAsia" w:hAnsiTheme="minorEastAsia" w:hint="eastAsia"/>
                <w:bCs/>
                <w:sz w:val="22"/>
              </w:rPr>
            </w:pPr>
            <w:r>
              <w:rPr>
                <w:rFonts w:asciiTheme="minorEastAsia" w:hAnsiTheme="minorEastAsia" w:hint="eastAsia"/>
                <w:bCs/>
                <w:sz w:val="22"/>
              </w:rPr>
              <w:t>1</w:t>
            </w:r>
          </w:p>
        </w:tc>
        <w:tc>
          <w:tcPr>
            <w:tcW w:w="3549" w:type="pct"/>
          </w:tcPr>
          <w:p w14:paraId="069B3E82" w14:textId="55F20F1C" w:rsidR="00BF7711" w:rsidRPr="00026284" w:rsidRDefault="00BF7711" w:rsidP="00BF7711">
            <w:pPr>
              <w:spacing w:line="360" w:lineRule="auto"/>
              <w:rPr>
                <w:rFonts w:asciiTheme="minorEastAsia" w:hAnsiTheme="minorEastAsia" w:hint="eastAsia"/>
                <w:bCs/>
                <w:sz w:val="22"/>
              </w:rPr>
            </w:pPr>
            <w:r w:rsidRPr="00F87FF0">
              <w:rPr>
                <w:rFonts w:hint="eastAsia"/>
              </w:rPr>
              <w:t>富荣研究优选混合型证券投资</w:t>
            </w:r>
            <w:proofErr w:type="gramStart"/>
            <w:r w:rsidRPr="00F87FF0">
              <w:rPr>
                <w:rFonts w:hint="eastAsia"/>
              </w:rPr>
              <w:t>基金基金</w:t>
            </w:r>
            <w:proofErr w:type="gramEnd"/>
            <w:r w:rsidRPr="00F87FF0">
              <w:rPr>
                <w:rFonts w:hint="eastAsia"/>
              </w:rPr>
              <w:t>份额持有人大会表决结果</w:t>
            </w:r>
            <w:proofErr w:type="gramStart"/>
            <w:r w:rsidRPr="00F87FF0">
              <w:rPr>
                <w:rFonts w:hint="eastAsia"/>
              </w:rPr>
              <w:t>暨决议</w:t>
            </w:r>
            <w:proofErr w:type="gramEnd"/>
            <w:r w:rsidRPr="00F87FF0">
              <w:rPr>
                <w:rFonts w:hint="eastAsia"/>
              </w:rPr>
              <w:t>生效的公告</w:t>
            </w:r>
          </w:p>
        </w:tc>
        <w:tc>
          <w:tcPr>
            <w:tcW w:w="1064" w:type="pct"/>
          </w:tcPr>
          <w:p w14:paraId="0CB9C33E" w14:textId="5CE48F94" w:rsidR="00BF7711" w:rsidRPr="00026284" w:rsidRDefault="00BF7711" w:rsidP="00BF7711">
            <w:pPr>
              <w:spacing w:line="360" w:lineRule="auto"/>
              <w:rPr>
                <w:rFonts w:asciiTheme="minorEastAsia" w:hAnsiTheme="minorEastAsia" w:hint="eastAsia"/>
                <w:bCs/>
                <w:sz w:val="22"/>
              </w:rPr>
            </w:pPr>
            <w:r w:rsidRPr="00827251">
              <w:rPr>
                <w:rFonts w:hint="eastAsia"/>
              </w:rPr>
              <w:t>2024</w:t>
            </w:r>
            <w:r w:rsidRPr="00827251">
              <w:rPr>
                <w:rFonts w:hint="eastAsia"/>
              </w:rPr>
              <w:t>年</w:t>
            </w:r>
            <w:r w:rsidRPr="00827251">
              <w:rPr>
                <w:rFonts w:hint="eastAsia"/>
              </w:rPr>
              <w:t>7</w:t>
            </w:r>
            <w:r w:rsidRPr="00827251">
              <w:rPr>
                <w:rFonts w:hint="eastAsia"/>
              </w:rPr>
              <w:t>月</w:t>
            </w:r>
            <w:r w:rsidRPr="00827251">
              <w:rPr>
                <w:rFonts w:hint="eastAsia"/>
              </w:rPr>
              <w:t>2</w:t>
            </w:r>
            <w:r w:rsidRPr="00827251">
              <w:rPr>
                <w:rFonts w:hint="eastAsia"/>
              </w:rPr>
              <w:t>日</w:t>
            </w:r>
          </w:p>
        </w:tc>
      </w:tr>
      <w:tr w:rsidR="00BF7711" w:rsidRPr="00342432" w14:paraId="0FAB8016" w14:textId="77777777" w:rsidTr="00342432">
        <w:tc>
          <w:tcPr>
            <w:tcW w:w="387" w:type="pct"/>
          </w:tcPr>
          <w:p w14:paraId="55B490FD" w14:textId="476505D8" w:rsidR="00BF7711" w:rsidRPr="00026284" w:rsidRDefault="00BF7711" w:rsidP="00BF7711">
            <w:pPr>
              <w:spacing w:line="360" w:lineRule="auto"/>
              <w:rPr>
                <w:rFonts w:asciiTheme="minorEastAsia" w:hAnsiTheme="minorEastAsia" w:hint="eastAsia"/>
                <w:bCs/>
                <w:sz w:val="22"/>
              </w:rPr>
            </w:pPr>
            <w:r>
              <w:rPr>
                <w:rFonts w:asciiTheme="minorEastAsia" w:hAnsiTheme="minorEastAsia" w:hint="eastAsia"/>
                <w:bCs/>
                <w:sz w:val="22"/>
              </w:rPr>
              <w:t>2</w:t>
            </w:r>
          </w:p>
        </w:tc>
        <w:tc>
          <w:tcPr>
            <w:tcW w:w="3549" w:type="pct"/>
          </w:tcPr>
          <w:p w14:paraId="0B2B2A75" w14:textId="099E0A96" w:rsidR="00BF7711" w:rsidRPr="00026284" w:rsidRDefault="00BF7711" w:rsidP="00BF7711">
            <w:pPr>
              <w:spacing w:line="360" w:lineRule="auto"/>
              <w:rPr>
                <w:rFonts w:asciiTheme="minorEastAsia" w:hAnsiTheme="minorEastAsia" w:hint="eastAsia"/>
                <w:bCs/>
                <w:sz w:val="22"/>
              </w:rPr>
            </w:pPr>
            <w:r w:rsidRPr="00F87FF0">
              <w:rPr>
                <w:rFonts w:hint="eastAsia"/>
              </w:rPr>
              <w:t>富荣基金管理有限公司旗下全部基金</w:t>
            </w:r>
            <w:r w:rsidRPr="00F87FF0">
              <w:rPr>
                <w:rFonts w:hint="eastAsia"/>
              </w:rPr>
              <w:t>2024</w:t>
            </w:r>
            <w:r w:rsidRPr="00F87FF0">
              <w:rPr>
                <w:rFonts w:hint="eastAsia"/>
              </w:rPr>
              <w:t>年第</w:t>
            </w:r>
            <w:r w:rsidRPr="00F87FF0">
              <w:rPr>
                <w:rFonts w:hint="eastAsia"/>
              </w:rPr>
              <w:t>2</w:t>
            </w:r>
            <w:r w:rsidRPr="00F87FF0">
              <w:rPr>
                <w:rFonts w:hint="eastAsia"/>
              </w:rPr>
              <w:t>季度报告提示性公告</w:t>
            </w:r>
          </w:p>
        </w:tc>
        <w:tc>
          <w:tcPr>
            <w:tcW w:w="1064" w:type="pct"/>
          </w:tcPr>
          <w:p w14:paraId="1208773D" w14:textId="7A3DE395" w:rsidR="00BF7711" w:rsidRPr="00026284" w:rsidRDefault="00BF7711" w:rsidP="00BF7711">
            <w:pPr>
              <w:spacing w:line="360" w:lineRule="auto"/>
              <w:rPr>
                <w:rFonts w:asciiTheme="minorEastAsia" w:hAnsiTheme="minorEastAsia" w:hint="eastAsia"/>
                <w:bCs/>
                <w:sz w:val="22"/>
              </w:rPr>
            </w:pPr>
            <w:r w:rsidRPr="00827251">
              <w:rPr>
                <w:rFonts w:hint="eastAsia"/>
              </w:rPr>
              <w:t>2024</w:t>
            </w:r>
            <w:r w:rsidRPr="00827251">
              <w:rPr>
                <w:rFonts w:hint="eastAsia"/>
              </w:rPr>
              <w:t>年</w:t>
            </w:r>
            <w:r w:rsidRPr="00827251">
              <w:rPr>
                <w:rFonts w:hint="eastAsia"/>
              </w:rPr>
              <w:t>7</w:t>
            </w:r>
            <w:r w:rsidRPr="00827251">
              <w:rPr>
                <w:rFonts w:hint="eastAsia"/>
              </w:rPr>
              <w:t>月</w:t>
            </w:r>
            <w:r w:rsidRPr="00827251">
              <w:rPr>
                <w:rFonts w:hint="eastAsia"/>
              </w:rPr>
              <w:t>19</w:t>
            </w:r>
            <w:r w:rsidRPr="00827251">
              <w:rPr>
                <w:rFonts w:hint="eastAsia"/>
              </w:rPr>
              <w:t>日</w:t>
            </w:r>
          </w:p>
        </w:tc>
      </w:tr>
      <w:tr w:rsidR="00BF7711" w:rsidRPr="00342432" w14:paraId="1D95D48B" w14:textId="77777777" w:rsidTr="00342432">
        <w:tc>
          <w:tcPr>
            <w:tcW w:w="387" w:type="pct"/>
          </w:tcPr>
          <w:p w14:paraId="64058BC9" w14:textId="3350CD95" w:rsidR="00BF7711" w:rsidRPr="00026284" w:rsidRDefault="00BF7711" w:rsidP="00BF7711">
            <w:pPr>
              <w:spacing w:line="360" w:lineRule="auto"/>
              <w:rPr>
                <w:rFonts w:asciiTheme="minorEastAsia" w:hAnsiTheme="minorEastAsia" w:hint="eastAsia"/>
                <w:bCs/>
                <w:sz w:val="22"/>
              </w:rPr>
            </w:pPr>
            <w:r>
              <w:rPr>
                <w:rFonts w:asciiTheme="minorEastAsia" w:hAnsiTheme="minorEastAsia" w:hint="eastAsia"/>
                <w:bCs/>
                <w:sz w:val="22"/>
              </w:rPr>
              <w:t>3</w:t>
            </w:r>
          </w:p>
        </w:tc>
        <w:tc>
          <w:tcPr>
            <w:tcW w:w="3549" w:type="pct"/>
          </w:tcPr>
          <w:p w14:paraId="43D09741" w14:textId="3DEB89BF" w:rsidR="00BF7711" w:rsidRPr="00026284" w:rsidRDefault="00BF7711" w:rsidP="00BF7711">
            <w:pPr>
              <w:spacing w:line="360" w:lineRule="auto"/>
              <w:rPr>
                <w:rFonts w:asciiTheme="minorEastAsia" w:hAnsiTheme="minorEastAsia" w:hint="eastAsia"/>
                <w:bCs/>
                <w:sz w:val="22"/>
              </w:rPr>
            </w:pPr>
            <w:r w:rsidRPr="00F87FF0">
              <w:rPr>
                <w:rFonts w:hint="eastAsia"/>
              </w:rPr>
              <w:t>富荣基金管理有限公司关于旗下部分基金新增兴业银行股份有限公司为销售机构、开通基金定期定额投资业务和基金转换业务并参加申购及定期定额投资申购费率优惠活动的公告</w:t>
            </w:r>
          </w:p>
        </w:tc>
        <w:tc>
          <w:tcPr>
            <w:tcW w:w="1064" w:type="pct"/>
          </w:tcPr>
          <w:p w14:paraId="34476E68" w14:textId="0CBB1A3B" w:rsidR="00BF7711" w:rsidRPr="00026284" w:rsidRDefault="00BF7711" w:rsidP="00BF7711">
            <w:pPr>
              <w:spacing w:line="360" w:lineRule="auto"/>
              <w:rPr>
                <w:rFonts w:asciiTheme="minorEastAsia" w:hAnsiTheme="minorEastAsia" w:hint="eastAsia"/>
                <w:bCs/>
                <w:sz w:val="22"/>
              </w:rPr>
            </w:pPr>
            <w:r w:rsidRPr="00827251">
              <w:rPr>
                <w:rFonts w:hint="eastAsia"/>
              </w:rPr>
              <w:t>2024</w:t>
            </w:r>
            <w:r w:rsidRPr="00827251">
              <w:rPr>
                <w:rFonts w:hint="eastAsia"/>
              </w:rPr>
              <w:t>年</w:t>
            </w:r>
            <w:r w:rsidRPr="00827251">
              <w:rPr>
                <w:rFonts w:hint="eastAsia"/>
              </w:rPr>
              <w:t>7</w:t>
            </w:r>
            <w:r w:rsidRPr="00827251">
              <w:rPr>
                <w:rFonts w:hint="eastAsia"/>
              </w:rPr>
              <w:t>月</w:t>
            </w:r>
            <w:r w:rsidRPr="00827251">
              <w:rPr>
                <w:rFonts w:hint="eastAsia"/>
              </w:rPr>
              <w:t>30</w:t>
            </w:r>
            <w:r w:rsidRPr="00827251">
              <w:rPr>
                <w:rFonts w:hint="eastAsia"/>
              </w:rPr>
              <w:t>日</w:t>
            </w:r>
          </w:p>
        </w:tc>
      </w:tr>
      <w:tr w:rsidR="00BF7711" w:rsidRPr="00342432" w14:paraId="0F1BE4B8" w14:textId="77777777" w:rsidTr="00342432">
        <w:tc>
          <w:tcPr>
            <w:tcW w:w="387" w:type="pct"/>
          </w:tcPr>
          <w:p w14:paraId="071EB7DC" w14:textId="00E9F7BE" w:rsidR="00BF7711" w:rsidRPr="00026284" w:rsidRDefault="00BF7711" w:rsidP="00BF7711">
            <w:pPr>
              <w:spacing w:line="360" w:lineRule="auto"/>
              <w:rPr>
                <w:rFonts w:asciiTheme="minorEastAsia" w:hAnsiTheme="minorEastAsia" w:hint="eastAsia"/>
                <w:bCs/>
                <w:sz w:val="22"/>
              </w:rPr>
            </w:pPr>
            <w:r>
              <w:rPr>
                <w:rFonts w:asciiTheme="minorEastAsia" w:hAnsiTheme="minorEastAsia" w:hint="eastAsia"/>
                <w:bCs/>
                <w:sz w:val="22"/>
              </w:rPr>
              <w:t>4</w:t>
            </w:r>
          </w:p>
        </w:tc>
        <w:tc>
          <w:tcPr>
            <w:tcW w:w="3549" w:type="pct"/>
          </w:tcPr>
          <w:p w14:paraId="40802CEB" w14:textId="2AD1F13E" w:rsidR="00BF7711" w:rsidRPr="00026284" w:rsidRDefault="00BF7711" w:rsidP="00BF7711">
            <w:pPr>
              <w:spacing w:line="360" w:lineRule="auto"/>
              <w:rPr>
                <w:rFonts w:asciiTheme="minorEastAsia" w:hAnsiTheme="minorEastAsia" w:hint="eastAsia"/>
                <w:bCs/>
                <w:sz w:val="22"/>
              </w:rPr>
            </w:pPr>
            <w:r w:rsidRPr="00F87FF0">
              <w:rPr>
                <w:rFonts w:hint="eastAsia"/>
              </w:rPr>
              <w:t>富荣基金管理有限公司关于旗下部分基金新增山西证券股份有限公司为销售机构、开通基金定期定额投资业务和基金转换业务并参加申购及定期定额投资申购费率优惠活动的公告</w:t>
            </w:r>
          </w:p>
        </w:tc>
        <w:tc>
          <w:tcPr>
            <w:tcW w:w="1064" w:type="pct"/>
          </w:tcPr>
          <w:p w14:paraId="1047FD7A" w14:textId="678B8311" w:rsidR="00BF7711" w:rsidRPr="00026284" w:rsidRDefault="00BF7711" w:rsidP="00BF7711">
            <w:pPr>
              <w:spacing w:line="360" w:lineRule="auto"/>
              <w:rPr>
                <w:rFonts w:asciiTheme="minorEastAsia" w:hAnsiTheme="minorEastAsia" w:hint="eastAsia"/>
                <w:bCs/>
                <w:sz w:val="22"/>
              </w:rPr>
            </w:pPr>
            <w:r w:rsidRPr="00827251">
              <w:rPr>
                <w:rFonts w:hint="eastAsia"/>
              </w:rPr>
              <w:t>2024</w:t>
            </w:r>
            <w:r w:rsidRPr="00827251">
              <w:rPr>
                <w:rFonts w:hint="eastAsia"/>
              </w:rPr>
              <w:t>年</w:t>
            </w:r>
            <w:r w:rsidRPr="00827251">
              <w:rPr>
                <w:rFonts w:hint="eastAsia"/>
              </w:rPr>
              <w:t>7</w:t>
            </w:r>
            <w:r w:rsidRPr="00827251">
              <w:rPr>
                <w:rFonts w:hint="eastAsia"/>
              </w:rPr>
              <w:t>月</w:t>
            </w:r>
            <w:r w:rsidRPr="00827251">
              <w:rPr>
                <w:rFonts w:hint="eastAsia"/>
              </w:rPr>
              <w:t>31</w:t>
            </w:r>
            <w:r w:rsidRPr="00827251">
              <w:rPr>
                <w:rFonts w:hint="eastAsia"/>
              </w:rPr>
              <w:t>日</w:t>
            </w:r>
          </w:p>
        </w:tc>
      </w:tr>
      <w:tr w:rsidR="00BF7711" w:rsidRPr="00342432" w14:paraId="7A01B2E7" w14:textId="77777777" w:rsidTr="00342432">
        <w:tc>
          <w:tcPr>
            <w:tcW w:w="387" w:type="pct"/>
          </w:tcPr>
          <w:p w14:paraId="43AEED3C" w14:textId="6E3004BB" w:rsidR="00BF7711" w:rsidRPr="00026284" w:rsidRDefault="00BF7711" w:rsidP="00BF7711">
            <w:pPr>
              <w:spacing w:line="360" w:lineRule="auto"/>
              <w:rPr>
                <w:rFonts w:asciiTheme="minorEastAsia" w:hAnsiTheme="minorEastAsia" w:hint="eastAsia"/>
                <w:bCs/>
                <w:sz w:val="22"/>
              </w:rPr>
            </w:pPr>
            <w:r>
              <w:rPr>
                <w:rFonts w:asciiTheme="minorEastAsia" w:hAnsiTheme="minorEastAsia" w:hint="eastAsia"/>
                <w:bCs/>
                <w:sz w:val="22"/>
              </w:rPr>
              <w:t>5</w:t>
            </w:r>
          </w:p>
        </w:tc>
        <w:tc>
          <w:tcPr>
            <w:tcW w:w="3549" w:type="pct"/>
          </w:tcPr>
          <w:p w14:paraId="28CFE313" w14:textId="433266CE" w:rsidR="00BF7711" w:rsidRPr="00026284" w:rsidRDefault="00BF7711" w:rsidP="00BF7711">
            <w:pPr>
              <w:spacing w:line="360" w:lineRule="auto"/>
              <w:rPr>
                <w:rFonts w:asciiTheme="minorEastAsia" w:hAnsiTheme="minorEastAsia" w:hint="eastAsia"/>
                <w:bCs/>
                <w:sz w:val="22"/>
              </w:rPr>
            </w:pPr>
            <w:r w:rsidRPr="00F87FF0">
              <w:rPr>
                <w:rFonts w:hint="eastAsia"/>
              </w:rPr>
              <w:t>富荣基金管理有限公司关于旗下基金</w:t>
            </w:r>
            <w:proofErr w:type="gramStart"/>
            <w:r w:rsidRPr="00F87FF0">
              <w:rPr>
                <w:rFonts w:hint="eastAsia"/>
              </w:rPr>
              <w:t>新增洪泰财富</w:t>
            </w:r>
            <w:proofErr w:type="gramEnd"/>
            <w:r w:rsidRPr="00F87FF0">
              <w:rPr>
                <w:rFonts w:hint="eastAsia"/>
              </w:rPr>
              <w:t>（青岛）基金销售有限责任公司为销售机构、开通基金定期定额投资业务和基金转换业务并参加申购及定期定额投资申购费率优惠活动的公告</w:t>
            </w:r>
          </w:p>
        </w:tc>
        <w:tc>
          <w:tcPr>
            <w:tcW w:w="1064" w:type="pct"/>
          </w:tcPr>
          <w:p w14:paraId="4A47264B" w14:textId="54AEC076" w:rsidR="00BF7711" w:rsidRPr="00026284" w:rsidRDefault="00BF7711" w:rsidP="00BF7711">
            <w:pPr>
              <w:spacing w:line="360" w:lineRule="auto"/>
              <w:rPr>
                <w:rFonts w:asciiTheme="minorEastAsia" w:hAnsiTheme="minorEastAsia" w:hint="eastAsia"/>
                <w:bCs/>
                <w:sz w:val="22"/>
              </w:rPr>
            </w:pPr>
            <w:r w:rsidRPr="00827251">
              <w:rPr>
                <w:rFonts w:hint="eastAsia"/>
              </w:rPr>
              <w:t>2024</w:t>
            </w:r>
            <w:r w:rsidRPr="00827251">
              <w:rPr>
                <w:rFonts w:hint="eastAsia"/>
              </w:rPr>
              <w:t>年</w:t>
            </w:r>
            <w:r w:rsidRPr="00827251">
              <w:rPr>
                <w:rFonts w:hint="eastAsia"/>
              </w:rPr>
              <w:t>8</w:t>
            </w:r>
            <w:r w:rsidRPr="00827251">
              <w:rPr>
                <w:rFonts w:hint="eastAsia"/>
              </w:rPr>
              <w:t>月</w:t>
            </w:r>
            <w:r w:rsidRPr="00827251">
              <w:rPr>
                <w:rFonts w:hint="eastAsia"/>
              </w:rPr>
              <w:t>8</w:t>
            </w:r>
            <w:r w:rsidRPr="00827251">
              <w:rPr>
                <w:rFonts w:hint="eastAsia"/>
              </w:rPr>
              <w:t>日</w:t>
            </w:r>
          </w:p>
        </w:tc>
      </w:tr>
      <w:tr w:rsidR="00BF7711" w:rsidRPr="00342432" w14:paraId="3B05B74E" w14:textId="77777777" w:rsidTr="00342432">
        <w:tc>
          <w:tcPr>
            <w:tcW w:w="387" w:type="pct"/>
          </w:tcPr>
          <w:p w14:paraId="3BA09215" w14:textId="4F1A4D0D" w:rsidR="00BF7711" w:rsidRPr="00026284" w:rsidRDefault="00BF7711" w:rsidP="00BF7711">
            <w:pPr>
              <w:spacing w:line="360" w:lineRule="auto"/>
              <w:rPr>
                <w:rFonts w:asciiTheme="minorEastAsia" w:hAnsiTheme="minorEastAsia" w:hint="eastAsia"/>
                <w:bCs/>
                <w:sz w:val="22"/>
              </w:rPr>
            </w:pPr>
            <w:r>
              <w:rPr>
                <w:rFonts w:asciiTheme="minorEastAsia" w:hAnsiTheme="minorEastAsia" w:hint="eastAsia"/>
                <w:bCs/>
                <w:sz w:val="22"/>
              </w:rPr>
              <w:t>6</w:t>
            </w:r>
          </w:p>
        </w:tc>
        <w:tc>
          <w:tcPr>
            <w:tcW w:w="3549" w:type="pct"/>
          </w:tcPr>
          <w:p w14:paraId="1A1112FD" w14:textId="3F0AD1ED" w:rsidR="00BF7711" w:rsidRPr="00026284" w:rsidRDefault="00BF7711" w:rsidP="00BF7711">
            <w:pPr>
              <w:spacing w:line="360" w:lineRule="auto"/>
              <w:rPr>
                <w:rFonts w:asciiTheme="minorEastAsia" w:hAnsiTheme="minorEastAsia" w:hint="eastAsia"/>
                <w:bCs/>
                <w:sz w:val="22"/>
              </w:rPr>
            </w:pPr>
            <w:r w:rsidRPr="00F87FF0">
              <w:rPr>
                <w:rFonts w:hint="eastAsia"/>
              </w:rPr>
              <w:t>富荣研究优选混合型证券投资基金招募说明书更新及产品资料概要更新的提示性公告</w:t>
            </w:r>
          </w:p>
        </w:tc>
        <w:tc>
          <w:tcPr>
            <w:tcW w:w="1064" w:type="pct"/>
          </w:tcPr>
          <w:p w14:paraId="1C1221D8" w14:textId="4C952CCB" w:rsidR="00BF7711" w:rsidRPr="00026284" w:rsidRDefault="00BF7711" w:rsidP="00BF7711">
            <w:pPr>
              <w:spacing w:line="360" w:lineRule="auto"/>
              <w:rPr>
                <w:rFonts w:asciiTheme="minorEastAsia" w:hAnsiTheme="minorEastAsia" w:hint="eastAsia"/>
                <w:bCs/>
                <w:sz w:val="22"/>
              </w:rPr>
            </w:pPr>
            <w:r w:rsidRPr="00827251">
              <w:rPr>
                <w:rFonts w:hint="eastAsia"/>
              </w:rPr>
              <w:t>2024</w:t>
            </w:r>
            <w:r w:rsidRPr="00827251">
              <w:rPr>
                <w:rFonts w:hint="eastAsia"/>
              </w:rPr>
              <w:t>年</w:t>
            </w:r>
            <w:r w:rsidRPr="00827251">
              <w:rPr>
                <w:rFonts w:hint="eastAsia"/>
              </w:rPr>
              <w:t>8</w:t>
            </w:r>
            <w:r w:rsidRPr="00827251">
              <w:rPr>
                <w:rFonts w:hint="eastAsia"/>
              </w:rPr>
              <w:t>月</w:t>
            </w:r>
            <w:r w:rsidRPr="00827251">
              <w:rPr>
                <w:rFonts w:hint="eastAsia"/>
              </w:rPr>
              <w:t>9</w:t>
            </w:r>
            <w:r w:rsidRPr="00827251">
              <w:rPr>
                <w:rFonts w:hint="eastAsia"/>
              </w:rPr>
              <w:t>日</w:t>
            </w:r>
          </w:p>
        </w:tc>
      </w:tr>
      <w:tr w:rsidR="00BF7711" w:rsidRPr="00342432" w14:paraId="0698D76B" w14:textId="77777777" w:rsidTr="00342432">
        <w:tc>
          <w:tcPr>
            <w:tcW w:w="387" w:type="pct"/>
          </w:tcPr>
          <w:p w14:paraId="38ABF4B2" w14:textId="11E44689" w:rsidR="00BF7711" w:rsidRPr="00026284" w:rsidRDefault="00BF7711" w:rsidP="00BF7711">
            <w:pPr>
              <w:spacing w:line="360" w:lineRule="auto"/>
              <w:rPr>
                <w:rFonts w:asciiTheme="minorEastAsia" w:hAnsiTheme="minorEastAsia" w:hint="eastAsia"/>
                <w:bCs/>
                <w:sz w:val="22"/>
              </w:rPr>
            </w:pPr>
            <w:r>
              <w:rPr>
                <w:rFonts w:asciiTheme="minorEastAsia" w:hAnsiTheme="minorEastAsia" w:hint="eastAsia"/>
                <w:bCs/>
                <w:sz w:val="22"/>
              </w:rPr>
              <w:t>7</w:t>
            </w:r>
          </w:p>
        </w:tc>
        <w:tc>
          <w:tcPr>
            <w:tcW w:w="3549" w:type="pct"/>
          </w:tcPr>
          <w:p w14:paraId="37D7299B" w14:textId="7D72A0A0" w:rsidR="00BF7711" w:rsidRPr="00026284" w:rsidRDefault="00BF7711" w:rsidP="00BF7711">
            <w:pPr>
              <w:spacing w:line="360" w:lineRule="auto"/>
              <w:rPr>
                <w:rFonts w:asciiTheme="minorEastAsia" w:hAnsiTheme="minorEastAsia" w:hint="eastAsia"/>
                <w:bCs/>
                <w:sz w:val="22"/>
              </w:rPr>
            </w:pPr>
            <w:r w:rsidRPr="00F87FF0">
              <w:rPr>
                <w:rFonts w:hint="eastAsia"/>
              </w:rPr>
              <w:t>富荣基金管理有限公司关于提醒投资者防范不法分子假冒本公司名义从事诈骗活动的公告</w:t>
            </w:r>
          </w:p>
        </w:tc>
        <w:tc>
          <w:tcPr>
            <w:tcW w:w="1064" w:type="pct"/>
          </w:tcPr>
          <w:p w14:paraId="5463EA16" w14:textId="501F18C9" w:rsidR="00BF7711" w:rsidRPr="00026284" w:rsidRDefault="00BF7711" w:rsidP="00BF7711">
            <w:pPr>
              <w:spacing w:line="360" w:lineRule="auto"/>
              <w:rPr>
                <w:rFonts w:asciiTheme="minorEastAsia" w:hAnsiTheme="minorEastAsia" w:hint="eastAsia"/>
                <w:bCs/>
                <w:sz w:val="22"/>
              </w:rPr>
            </w:pPr>
            <w:r w:rsidRPr="00827251">
              <w:rPr>
                <w:rFonts w:hint="eastAsia"/>
              </w:rPr>
              <w:t>2024</w:t>
            </w:r>
            <w:r w:rsidRPr="00827251">
              <w:rPr>
                <w:rFonts w:hint="eastAsia"/>
              </w:rPr>
              <w:t>年</w:t>
            </w:r>
            <w:r w:rsidRPr="00827251">
              <w:rPr>
                <w:rFonts w:hint="eastAsia"/>
              </w:rPr>
              <w:t>8</w:t>
            </w:r>
            <w:r w:rsidRPr="00827251">
              <w:rPr>
                <w:rFonts w:hint="eastAsia"/>
              </w:rPr>
              <w:t>月</w:t>
            </w:r>
            <w:r w:rsidRPr="00827251">
              <w:rPr>
                <w:rFonts w:hint="eastAsia"/>
              </w:rPr>
              <w:t>16</w:t>
            </w:r>
            <w:r w:rsidRPr="00827251">
              <w:rPr>
                <w:rFonts w:hint="eastAsia"/>
              </w:rPr>
              <w:t>日</w:t>
            </w:r>
          </w:p>
        </w:tc>
      </w:tr>
      <w:tr w:rsidR="00BF7711" w:rsidRPr="00342432" w14:paraId="5F179654" w14:textId="77777777" w:rsidTr="00342432">
        <w:tc>
          <w:tcPr>
            <w:tcW w:w="387" w:type="pct"/>
          </w:tcPr>
          <w:p w14:paraId="735515AF" w14:textId="5406B5BA" w:rsidR="00BF7711" w:rsidRPr="00026284" w:rsidRDefault="00BF7711" w:rsidP="00BF7711">
            <w:pPr>
              <w:spacing w:line="360" w:lineRule="auto"/>
              <w:rPr>
                <w:rFonts w:asciiTheme="minorEastAsia" w:hAnsiTheme="minorEastAsia" w:hint="eastAsia"/>
                <w:bCs/>
                <w:sz w:val="22"/>
              </w:rPr>
            </w:pPr>
            <w:r>
              <w:rPr>
                <w:rFonts w:asciiTheme="minorEastAsia" w:hAnsiTheme="minorEastAsia" w:hint="eastAsia"/>
                <w:bCs/>
                <w:sz w:val="22"/>
              </w:rPr>
              <w:t>8</w:t>
            </w:r>
          </w:p>
        </w:tc>
        <w:tc>
          <w:tcPr>
            <w:tcW w:w="3549" w:type="pct"/>
          </w:tcPr>
          <w:p w14:paraId="222DD097" w14:textId="20769131" w:rsidR="00BF7711" w:rsidRPr="00026284" w:rsidRDefault="00BF7711" w:rsidP="00BF7711">
            <w:pPr>
              <w:spacing w:line="360" w:lineRule="auto"/>
              <w:rPr>
                <w:rFonts w:asciiTheme="minorEastAsia" w:hAnsiTheme="minorEastAsia" w:hint="eastAsia"/>
                <w:bCs/>
                <w:sz w:val="22"/>
              </w:rPr>
            </w:pPr>
            <w:r w:rsidRPr="00F87FF0">
              <w:rPr>
                <w:rFonts w:hint="eastAsia"/>
              </w:rPr>
              <w:t>富荣基金管理有限公司关于终止北京中</w:t>
            </w:r>
            <w:proofErr w:type="gramStart"/>
            <w:r w:rsidRPr="00F87FF0">
              <w:rPr>
                <w:rFonts w:hint="eastAsia"/>
              </w:rPr>
              <w:t>植基金</w:t>
            </w:r>
            <w:proofErr w:type="gramEnd"/>
            <w:r w:rsidRPr="00F87FF0">
              <w:rPr>
                <w:rFonts w:hint="eastAsia"/>
              </w:rPr>
              <w:t>销售有限公司办理旗下基金相关销售业务的公告</w:t>
            </w:r>
          </w:p>
        </w:tc>
        <w:tc>
          <w:tcPr>
            <w:tcW w:w="1064" w:type="pct"/>
          </w:tcPr>
          <w:p w14:paraId="52A7E7A1" w14:textId="0B57CBA9" w:rsidR="00BF7711" w:rsidRPr="00026284" w:rsidRDefault="00BF7711" w:rsidP="00BF7711">
            <w:pPr>
              <w:spacing w:line="360" w:lineRule="auto"/>
              <w:rPr>
                <w:rFonts w:asciiTheme="minorEastAsia" w:hAnsiTheme="minorEastAsia" w:hint="eastAsia"/>
                <w:bCs/>
                <w:sz w:val="22"/>
              </w:rPr>
            </w:pPr>
            <w:r w:rsidRPr="00827251">
              <w:rPr>
                <w:rFonts w:hint="eastAsia"/>
              </w:rPr>
              <w:t>2024</w:t>
            </w:r>
            <w:r w:rsidRPr="00827251">
              <w:rPr>
                <w:rFonts w:hint="eastAsia"/>
              </w:rPr>
              <w:t>年</w:t>
            </w:r>
            <w:r w:rsidRPr="00827251">
              <w:rPr>
                <w:rFonts w:hint="eastAsia"/>
              </w:rPr>
              <w:t>8</w:t>
            </w:r>
            <w:r w:rsidRPr="00827251">
              <w:rPr>
                <w:rFonts w:hint="eastAsia"/>
              </w:rPr>
              <w:t>月</w:t>
            </w:r>
            <w:r w:rsidRPr="00827251">
              <w:rPr>
                <w:rFonts w:hint="eastAsia"/>
              </w:rPr>
              <w:t>28</w:t>
            </w:r>
            <w:r w:rsidRPr="00827251">
              <w:rPr>
                <w:rFonts w:hint="eastAsia"/>
              </w:rPr>
              <w:t>日</w:t>
            </w:r>
          </w:p>
        </w:tc>
      </w:tr>
      <w:tr w:rsidR="00BF7711" w:rsidRPr="00342432" w14:paraId="74ABEA66" w14:textId="77777777" w:rsidTr="00342432">
        <w:tc>
          <w:tcPr>
            <w:tcW w:w="387" w:type="pct"/>
          </w:tcPr>
          <w:p w14:paraId="27BEC7CE" w14:textId="422CCF03" w:rsidR="00BF7711" w:rsidRPr="00026284" w:rsidRDefault="00BF7711" w:rsidP="00BF7711">
            <w:pPr>
              <w:spacing w:line="360" w:lineRule="auto"/>
              <w:rPr>
                <w:rFonts w:asciiTheme="minorEastAsia" w:hAnsiTheme="minorEastAsia" w:hint="eastAsia"/>
                <w:bCs/>
                <w:sz w:val="22"/>
              </w:rPr>
            </w:pPr>
            <w:r>
              <w:rPr>
                <w:rFonts w:asciiTheme="minorEastAsia" w:hAnsiTheme="minorEastAsia" w:hint="eastAsia"/>
                <w:bCs/>
                <w:sz w:val="22"/>
              </w:rPr>
              <w:t>9</w:t>
            </w:r>
          </w:p>
        </w:tc>
        <w:tc>
          <w:tcPr>
            <w:tcW w:w="3549" w:type="pct"/>
          </w:tcPr>
          <w:p w14:paraId="5D03E22E" w14:textId="4C0E7DE8" w:rsidR="00BF7711" w:rsidRPr="00026284" w:rsidRDefault="00BF7711" w:rsidP="00BF7711">
            <w:pPr>
              <w:spacing w:line="360" w:lineRule="auto"/>
              <w:rPr>
                <w:rFonts w:asciiTheme="minorEastAsia" w:hAnsiTheme="minorEastAsia" w:hint="eastAsia"/>
                <w:bCs/>
                <w:sz w:val="22"/>
              </w:rPr>
            </w:pPr>
            <w:r w:rsidRPr="00F87FF0">
              <w:rPr>
                <w:rFonts w:hint="eastAsia"/>
              </w:rPr>
              <w:t>富荣基金管理有限公司旗下全部基金</w:t>
            </w:r>
            <w:r w:rsidRPr="00F87FF0">
              <w:rPr>
                <w:rFonts w:hint="eastAsia"/>
              </w:rPr>
              <w:t>2024</w:t>
            </w:r>
            <w:r w:rsidRPr="00F87FF0">
              <w:rPr>
                <w:rFonts w:hint="eastAsia"/>
              </w:rPr>
              <w:t>年中期报告提示性公告</w:t>
            </w:r>
          </w:p>
        </w:tc>
        <w:tc>
          <w:tcPr>
            <w:tcW w:w="1064" w:type="pct"/>
          </w:tcPr>
          <w:p w14:paraId="7908EF53" w14:textId="04A4A252" w:rsidR="00BF7711" w:rsidRPr="00026284" w:rsidRDefault="00BF7711" w:rsidP="00BF7711">
            <w:pPr>
              <w:spacing w:line="360" w:lineRule="auto"/>
              <w:rPr>
                <w:rFonts w:asciiTheme="minorEastAsia" w:hAnsiTheme="minorEastAsia" w:hint="eastAsia"/>
                <w:bCs/>
                <w:sz w:val="22"/>
              </w:rPr>
            </w:pPr>
            <w:r w:rsidRPr="00827251">
              <w:rPr>
                <w:rFonts w:hint="eastAsia"/>
              </w:rPr>
              <w:t>2024</w:t>
            </w:r>
            <w:r w:rsidRPr="00827251">
              <w:rPr>
                <w:rFonts w:hint="eastAsia"/>
              </w:rPr>
              <w:t>年</w:t>
            </w:r>
            <w:r w:rsidRPr="00827251">
              <w:rPr>
                <w:rFonts w:hint="eastAsia"/>
              </w:rPr>
              <w:t>8</w:t>
            </w:r>
            <w:r w:rsidRPr="00827251">
              <w:rPr>
                <w:rFonts w:hint="eastAsia"/>
              </w:rPr>
              <w:t>月</w:t>
            </w:r>
            <w:r w:rsidRPr="00827251">
              <w:rPr>
                <w:rFonts w:hint="eastAsia"/>
              </w:rPr>
              <w:t>31</w:t>
            </w:r>
            <w:r w:rsidRPr="00827251">
              <w:rPr>
                <w:rFonts w:hint="eastAsia"/>
              </w:rPr>
              <w:t>日</w:t>
            </w:r>
          </w:p>
        </w:tc>
      </w:tr>
      <w:tr w:rsidR="00BF7711" w:rsidRPr="00342432" w14:paraId="63F6401B" w14:textId="77777777" w:rsidTr="00342432">
        <w:tc>
          <w:tcPr>
            <w:tcW w:w="387" w:type="pct"/>
          </w:tcPr>
          <w:p w14:paraId="2B776B7E" w14:textId="3AF3E102" w:rsidR="00BF7711" w:rsidRPr="00026284" w:rsidRDefault="00BF7711" w:rsidP="00BF7711">
            <w:pPr>
              <w:spacing w:line="360" w:lineRule="auto"/>
              <w:rPr>
                <w:rFonts w:asciiTheme="minorEastAsia" w:hAnsiTheme="minorEastAsia" w:hint="eastAsia"/>
                <w:bCs/>
                <w:sz w:val="22"/>
              </w:rPr>
            </w:pPr>
            <w:r>
              <w:rPr>
                <w:rFonts w:asciiTheme="minorEastAsia" w:hAnsiTheme="minorEastAsia" w:hint="eastAsia"/>
                <w:bCs/>
                <w:sz w:val="22"/>
              </w:rPr>
              <w:t>10</w:t>
            </w:r>
          </w:p>
        </w:tc>
        <w:tc>
          <w:tcPr>
            <w:tcW w:w="3549" w:type="pct"/>
          </w:tcPr>
          <w:p w14:paraId="1F639BBD" w14:textId="390BCC90" w:rsidR="00BF7711" w:rsidRPr="00026284" w:rsidRDefault="00BF7711" w:rsidP="00BF7711">
            <w:pPr>
              <w:spacing w:line="360" w:lineRule="auto"/>
              <w:rPr>
                <w:rFonts w:asciiTheme="minorEastAsia" w:hAnsiTheme="minorEastAsia" w:hint="eastAsia"/>
                <w:bCs/>
                <w:sz w:val="22"/>
              </w:rPr>
            </w:pPr>
            <w:r w:rsidRPr="00F87FF0">
              <w:rPr>
                <w:rFonts w:hint="eastAsia"/>
              </w:rPr>
              <w:t>富荣基金管理有限公司旗下全部基金</w:t>
            </w:r>
            <w:r w:rsidRPr="00F87FF0">
              <w:rPr>
                <w:rFonts w:hint="eastAsia"/>
              </w:rPr>
              <w:t>2024</w:t>
            </w:r>
            <w:r w:rsidRPr="00F87FF0">
              <w:rPr>
                <w:rFonts w:hint="eastAsia"/>
              </w:rPr>
              <w:t>年第</w:t>
            </w:r>
            <w:r w:rsidRPr="00F87FF0">
              <w:rPr>
                <w:rFonts w:hint="eastAsia"/>
              </w:rPr>
              <w:t>3</w:t>
            </w:r>
            <w:r w:rsidRPr="00F87FF0">
              <w:rPr>
                <w:rFonts w:hint="eastAsia"/>
              </w:rPr>
              <w:t>季度报告提示性公告</w:t>
            </w:r>
          </w:p>
        </w:tc>
        <w:tc>
          <w:tcPr>
            <w:tcW w:w="1064" w:type="pct"/>
          </w:tcPr>
          <w:p w14:paraId="4B5A68C4" w14:textId="1354A1FE" w:rsidR="00BF7711" w:rsidRPr="00026284" w:rsidRDefault="00BF7711" w:rsidP="00BF7711">
            <w:pPr>
              <w:spacing w:line="360" w:lineRule="auto"/>
              <w:rPr>
                <w:rFonts w:asciiTheme="minorEastAsia" w:hAnsiTheme="minorEastAsia" w:hint="eastAsia"/>
                <w:bCs/>
                <w:sz w:val="22"/>
              </w:rPr>
            </w:pPr>
            <w:r w:rsidRPr="00827251">
              <w:rPr>
                <w:rFonts w:hint="eastAsia"/>
              </w:rPr>
              <w:t>2024</w:t>
            </w:r>
            <w:r w:rsidRPr="00827251">
              <w:rPr>
                <w:rFonts w:hint="eastAsia"/>
              </w:rPr>
              <w:t>年</w:t>
            </w:r>
            <w:r w:rsidRPr="00827251">
              <w:rPr>
                <w:rFonts w:hint="eastAsia"/>
              </w:rPr>
              <w:t>10</w:t>
            </w:r>
            <w:r w:rsidRPr="00827251">
              <w:rPr>
                <w:rFonts w:hint="eastAsia"/>
              </w:rPr>
              <w:t>月</w:t>
            </w:r>
            <w:r w:rsidRPr="00827251">
              <w:rPr>
                <w:rFonts w:hint="eastAsia"/>
              </w:rPr>
              <w:t>25</w:t>
            </w:r>
            <w:r w:rsidRPr="00827251">
              <w:rPr>
                <w:rFonts w:hint="eastAsia"/>
              </w:rPr>
              <w:t>日</w:t>
            </w:r>
          </w:p>
        </w:tc>
      </w:tr>
      <w:tr w:rsidR="00BF7711" w:rsidRPr="00342432" w14:paraId="5D683711" w14:textId="77777777" w:rsidTr="00342432">
        <w:tc>
          <w:tcPr>
            <w:tcW w:w="387" w:type="pct"/>
          </w:tcPr>
          <w:p w14:paraId="40C99BB5" w14:textId="30D737E9" w:rsidR="00BF7711" w:rsidRPr="00026284" w:rsidRDefault="00BF7711" w:rsidP="00BF7711">
            <w:pPr>
              <w:spacing w:line="360" w:lineRule="auto"/>
              <w:rPr>
                <w:rFonts w:asciiTheme="minorEastAsia" w:hAnsiTheme="minorEastAsia" w:hint="eastAsia"/>
                <w:bCs/>
                <w:sz w:val="22"/>
              </w:rPr>
            </w:pPr>
            <w:r>
              <w:rPr>
                <w:rFonts w:asciiTheme="minorEastAsia" w:hAnsiTheme="minorEastAsia" w:hint="eastAsia"/>
                <w:bCs/>
                <w:sz w:val="22"/>
              </w:rPr>
              <w:t>11</w:t>
            </w:r>
          </w:p>
        </w:tc>
        <w:tc>
          <w:tcPr>
            <w:tcW w:w="3549" w:type="pct"/>
          </w:tcPr>
          <w:p w14:paraId="11675269" w14:textId="4B88A6AF" w:rsidR="00BF7711" w:rsidRPr="00026284" w:rsidRDefault="00BF7711" w:rsidP="00BF7711">
            <w:pPr>
              <w:spacing w:line="360" w:lineRule="auto"/>
              <w:rPr>
                <w:rFonts w:asciiTheme="minorEastAsia" w:hAnsiTheme="minorEastAsia" w:hint="eastAsia"/>
                <w:bCs/>
                <w:sz w:val="22"/>
              </w:rPr>
            </w:pPr>
            <w:r w:rsidRPr="00F87FF0">
              <w:rPr>
                <w:rFonts w:hint="eastAsia"/>
              </w:rPr>
              <w:t>富荣基金管理有限公司高级管理人员变更公告</w:t>
            </w:r>
          </w:p>
        </w:tc>
        <w:tc>
          <w:tcPr>
            <w:tcW w:w="1064" w:type="pct"/>
          </w:tcPr>
          <w:p w14:paraId="43D14FF3" w14:textId="4F5A083B" w:rsidR="00BF7711" w:rsidRPr="00026284" w:rsidRDefault="00BF7711" w:rsidP="00BF7711">
            <w:pPr>
              <w:spacing w:line="360" w:lineRule="auto"/>
              <w:rPr>
                <w:rFonts w:asciiTheme="minorEastAsia" w:hAnsiTheme="minorEastAsia" w:hint="eastAsia"/>
                <w:bCs/>
                <w:sz w:val="22"/>
              </w:rPr>
            </w:pPr>
            <w:r w:rsidRPr="00827251">
              <w:rPr>
                <w:rFonts w:hint="eastAsia"/>
              </w:rPr>
              <w:t>2024</w:t>
            </w:r>
            <w:r w:rsidRPr="00827251">
              <w:rPr>
                <w:rFonts w:hint="eastAsia"/>
              </w:rPr>
              <w:t>年</w:t>
            </w:r>
            <w:r w:rsidRPr="00827251">
              <w:rPr>
                <w:rFonts w:hint="eastAsia"/>
              </w:rPr>
              <w:t>11</w:t>
            </w:r>
            <w:r w:rsidRPr="00827251">
              <w:rPr>
                <w:rFonts w:hint="eastAsia"/>
              </w:rPr>
              <w:t>月</w:t>
            </w:r>
            <w:r w:rsidRPr="00827251">
              <w:rPr>
                <w:rFonts w:hint="eastAsia"/>
              </w:rPr>
              <w:t>7</w:t>
            </w:r>
            <w:r w:rsidRPr="00827251">
              <w:rPr>
                <w:rFonts w:hint="eastAsia"/>
              </w:rPr>
              <w:t>日</w:t>
            </w:r>
          </w:p>
        </w:tc>
      </w:tr>
      <w:tr w:rsidR="00BF7711" w:rsidRPr="00342432" w14:paraId="0AD7920D" w14:textId="77777777" w:rsidTr="00342432">
        <w:tc>
          <w:tcPr>
            <w:tcW w:w="387" w:type="pct"/>
          </w:tcPr>
          <w:p w14:paraId="033D7123" w14:textId="4BFA9108" w:rsidR="00BF7711" w:rsidRPr="00026284" w:rsidRDefault="00BF7711" w:rsidP="00BF7711">
            <w:pPr>
              <w:spacing w:line="360" w:lineRule="auto"/>
              <w:rPr>
                <w:rFonts w:asciiTheme="minorEastAsia" w:hAnsiTheme="minorEastAsia" w:hint="eastAsia"/>
                <w:bCs/>
                <w:sz w:val="22"/>
              </w:rPr>
            </w:pPr>
            <w:r>
              <w:rPr>
                <w:rFonts w:asciiTheme="minorEastAsia" w:hAnsiTheme="minorEastAsia" w:hint="eastAsia"/>
                <w:bCs/>
                <w:sz w:val="22"/>
              </w:rPr>
              <w:t>12</w:t>
            </w:r>
          </w:p>
        </w:tc>
        <w:tc>
          <w:tcPr>
            <w:tcW w:w="3549" w:type="pct"/>
          </w:tcPr>
          <w:p w14:paraId="6729F021" w14:textId="669AB253" w:rsidR="00BF7711" w:rsidRPr="00026284" w:rsidRDefault="00BF7711" w:rsidP="00BF7711">
            <w:pPr>
              <w:spacing w:line="360" w:lineRule="auto"/>
              <w:rPr>
                <w:rFonts w:asciiTheme="minorEastAsia" w:hAnsiTheme="minorEastAsia" w:hint="eastAsia"/>
                <w:bCs/>
                <w:sz w:val="22"/>
              </w:rPr>
            </w:pPr>
            <w:r w:rsidRPr="00F87FF0">
              <w:rPr>
                <w:rFonts w:hint="eastAsia"/>
              </w:rPr>
              <w:t>富荣基金管理有限公司关于旗下部分基金新</w:t>
            </w:r>
            <w:proofErr w:type="gramStart"/>
            <w:r w:rsidRPr="00F87FF0">
              <w:rPr>
                <w:rFonts w:hint="eastAsia"/>
              </w:rPr>
              <w:t>增广发</w:t>
            </w:r>
            <w:proofErr w:type="gramEnd"/>
            <w:r w:rsidRPr="00F87FF0">
              <w:rPr>
                <w:rFonts w:hint="eastAsia"/>
              </w:rPr>
              <w:t>期货有限公司为销售机构、开通基金定期定额投资业务和基金转换业务并参加申购及定期定额投资申购费率优惠活动的公告</w:t>
            </w:r>
          </w:p>
        </w:tc>
        <w:tc>
          <w:tcPr>
            <w:tcW w:w="1064" w:type="pct"/>
          </w:tcPr>
          <w:p w14:paraId="4EEE0678" w14:textId="030F0C9C" w:rsidR="00BF7711" w:rsidRPr="00026284" w:rsidRDefault="00BF7711" w:rsidP="00BF7711">
            <w:pPr>
              <w:spacing w:line="360" w:lineRule="auto"/>
              <w:rPr>
                <w:rFonts w:asciiTheme="minorEastAsia" w:hAnsiTheme="minorEastAsia" w:hint="eastAsia"/>
                <w:bCs/>
                <w:sz w:val="22"/>
              </w:rPr>
            </w:pPr>
            <w:r w:rsidRPr="00827251">
              <w:rPr>
                <w:rFonts w:hint="eastAsia"/>
              </w:rPr>
              <w:t>2024</w:t>
            </w:r>
            <w:r w:rsidRPr="00827251">
              <w:rPr>
                <w:rFonts w:hint="eastAsia"/>
              </w:rPr>
              <w:t>年</w:t>
            </w:r>
            <w:r w:rsidRPr="00827251">
              <w:rPr>
                <w:rFonts w:hint="eastAsia"/>
              </w:rPr>
              <w:t>12</w:t>
            </w:r>
            <w:r w:rsidRPr="00827251">
              <w:rPr>
                <w:rFonts w:hint="eastAsia"/>
              </w:rPr>
              <w:t>月</w:t>
            </w:r>
            <w:r w:rsidRPr="00827251">
              <w:rPr>
                <w:rFonts w:hint="eastAsia"/>
              </w:rPr>
              <w:t>2</w:t>
            </w:r>
            <w:r w:rsidRPr="00827251">
              <w:rPr>
                <w:rFonts w:hint="eastAsia"/>
              </w:rPr>
              <w:t>日</w:t>
            </w:r>
          </w:p>
        </w:tc>
      </w:tr>
      <w:tr w:rsidR="00BF7711" w:rsidRPr="00342432" w14:paraId="4D773065" w14:textId="77777777" w:rsidTr="00342432">
        <w:tc>
          <w:tcPr>
            <w:tcW w:w="387" w:type="pct"/>
          </w:tcPr>
          <w:p w14:paraId="3747FF19" w14:textId="73637BAF" w:rsidR="00BF7711" w:rsidRPr="00026284" w:rsidRDefault="00BF7711" w:rsidP="00BF7711">
            <w:pPr>
              <w:spacing w:line="360" w:lineRule="auto"/>
              <w:rPr>
                <w:rFonts w:asciiTheme="minorEastAsia" w:hAnsiTheme="minorEastAsia" w:hint="eastAsia"/>
                <w:bCs/>
                <w:sz w:val="22"/>
              </w:rPr>
            </w:pPr>
            <w:r>
              <w:rPr>
                <w:rFonts w:asciiTheme="minorEastAsia" w:hAnsiTheme="minorEastAsia" w:hint="eastAsia"/>
                <w:bCs/>
                <w:sz w:val="22"/>
              </w:rPr>
              <w:t>13</w:t>
            </w:r>
          </w:p>
        </w:tc>
        <w:tc>
          <w:tcPr>
            <w:tcW w:w="3549" w:type="pct"/>
          </w:tcPr>
          <w:p w14:paraId="60123FF7" w14:textId="4A8CDF90" w:rsidR="00BF7711" w:rsidRPr="00026284" w:rsidRDefault="00BF7711" w:rsidP="00BF7711">
            <w:pPr>
              <w:spacing w:line="360" w:lineRule="auto"/>
              <w:rPr>
                <w:rFonts w:asciiTheme="minorEastAsia" w:hAnsiTheme="minorEastAsia" w:hint="eastAsia"/>
                <w:bCs/>
                <w:sz w:val="22"/>
              </w:rPr>
            </w:pPr>
            <w:r w:rsidRPr="00F87FF0">
              <w:rPr>
                <w:rFonts w:hint="eastAsia"/>
              </w:rPr>
              <w:t>富荣基金管理有限公司基金行业高级管理人员变更公告</w:t>
            </w:r>
          </w:p>
        </w:tc>
        <w:tc>
          <w:tcPr>
            <w:tcW w:w="1064" w:type="pct"/>
          </w:tcPr>
          <w:p w14:paraId="372CD76C" w14:textId="3D9018F7" w:rsidR="00BF7711" w:rsidRPr="00026284" w:rsidRDefault="00BF7711" w:rsidP="00BF7711">
            <w:pPr>
              <w:spacing w:line="360" w:lineRule="auto"/>
              <w:rPr>
                <w:rFonts w:asciiTheme="minorEastAsia" w:hAnsiTheme="minorEastAsia" w:hint="eastAsia"/>
                <w:bCs/>
                <w:sz w:val="22"/>
              </w:rPr>
            </w:pPr>
            <w:r w:rsidRPr="00827251">
              <w:rPr>
                <w:rFonts w:hint="eastAsia"/>
              </w:rPr>
              <w:t>2024</w:t>
            </w:r>
            <w:r w:rsidRPr="00827251">
              <w:rPr>
                <w:rFonts w:hint="eastAsia"/>
              </w:rPr>
              <w:t>年</w:t>
            </w:r>
            <w:r w:rsidRPr="00827251">
              <w:rPr>
                <w:rFonts w:hint="eastAsia"/>
              </w:rPr>
              <w:t>12</w:t>
            </w:r>
            <w:r w:rsidRPr="00827251">
              <w:rPr>
                <w:rFonts w:hint="eastAsia"/>
              </w:rPr>
              <w:t>月</w:t>
            </w:r>
            <w:r w:rsidRPr="00827251">
              <w:rPr>
                <w:rFonts w:hint="eastAsia"/>
              </w:rPr>
              <w:t>3</w:t>
            </w:r>
            <w:r w:rsidRPr="00827251">
              <w:rPr>
                <w:rFonts w:hint="eastAsia"/>
              </w:rPr>
              <w:t>日</w:t>
            </w:r>
          </w:p>
        </w:tc>
      </w:tr>
      <w:tr w:rsidR="00BF7711" w:rsidRPr="00342432" w14:paraId="27F005B9" w14:textId="77777777" w:rsidTr="00342432">
        <w:tc>
          <w:tcPr>
            <w:tcW w:w="387" w:type="pct"/>
          </w:tcPr>
          <w:p w14:paraId="1AF5B229" w14:textId="5C1A8C21" w:rsidR="00BF7711" w:rsidRPr="00026284" w:rsidRDefault="00BF7711" w:rsidP="00BF7711">
            <w:pPr>
              <w:spacing w:line="360" w:lineRule="auto"/>
              <w:rPr>
                <w:rFonts w:asciiTheme="minorEastAsia" w:hAnsiTheme="minorEastAsia" w:hint="eastAsia"/>
                <w:bCs/>
                <w:sz w:val="22"/>
              </w:rPr>
            </w:pPr>
            <w:r>
              <w:rPr>
                <w:rFonts w:asciiTheme="minorEastAsia" w:hAnsiTheme="minorEastAsia" w:hint="eastAsia"/>
                <w:bCs/>
                <w:sz w:val="22"/>
              </w:rPr>
              <w:t>14</w:t>
            </w:r>
          </w:p>
        </w:tc>
        <w:tc>
          <w:tcPr>
            <w:tcW w:w="3549" w:type="pct"/>
          </w:tcPr>
          <w:p w14:paraId="5EC09C4B" w14:textId="4271630B" w:rsidR="00BF7711" w:rsidRPr="00026284" w:rsidRDefault="00BF7711" w:rsidP="00BF7711">
            <w:pPr>
              <w:spacing w:line="360" w:lineRule="auto"/>
              <w:rPr>
                <w:rFonts w:asciiTheme="minorEastAsia" w:hAnsiTheme="minorEastAsia" w:hint="eastAsia"/>
                <w:bCs/>
                <w:sz w:val="22"/>
              </w:rPr>
            </w:pPr>
            <w:r w:rsidRPr="00F87FF0">
              <w:rPr>
                <w:rFonts w:hint="eastAsia"/>
              </w:rPr>
              <w:t>富荣基金管理有限公司基金行业高级管理人员变更公告</w:t>
            </w:r>
          </w:p>
        </w:tc>
        <w:tc>
          <w:tcPr>
            <w:tcW w:w="1064" w:type="pct"/>
          </w:tcPr>
          <w:p w14:paraId="1E38DB70" w14:textId="4DC42D86" w:rsidR="00BF7711" w:rsidRPr="00026284" w:rsidRDefault="00BF7711" w:rsidP="00BF7711">
            <w:pPr>
              <w:spacing w:line="360" w:lineRule="auto"/>
              <w:rPr>
                <w:rFonts w:asciiTheme="minorEastAsia" w:hAnsiTheme="minorEastAsia" w:hint="eastAsia"/>
                <w:bCs/>
                <w:sz w:val="22"/>
              </w:rPr>
            </w:pPr>
            <w:r w:rsidRPr="00827251">
              <w:rPr>
                <w:rFonts w:hint="eastAsia"/>
              </w:rPr>
              <w:t>2024</w:t>
            </w:r>
            <w:r w:rsidRPr="00827251">
              <w:rPr>
                <w:rFonts w:hint="eastAsia"/>
              </w:rPr>
              <w:t>年</w:t>
            </w:r>
            <w:r w:rsidRPr="00827251">
              <w:rPr>
                <w:rFonts w:hint="eastAsia"/>
              </w:rPr>
              <w:t>12</w:t>
            </w:r>
            <w:r w:rsidRPr="00827251">
              <w:rPr>
                <w:rFonts w:hint="eastAsia"/>
              </w:rPr>
              <w:t>月</w:t>
            </w:r>
            <w:r w:rsidRPr="00827251">
              <w:rPr>
                <w:rFonts w:hint="eastAsia"/>
              </w:rPr>
              <w:t>3</w:t>
            </w:r>
            <w:r w:rsidRPr="00827251">
              <w:rPr>
                <w:rFonts w:hint="eastAsia"/>
              </w:rPr>
              <w:t>日</w:t>
            </w:r>
          </w:p>
        </w:tc>
      </w:tr>
      <w:tr w:rsidR="00BF7711" w:rsidRPr="00342432" w14:paraId="7FE4A677" w14:textId="77777777" w:rsidTr="00342432">
        <w:tc>
          <w:tcPr>
            <w:tcW w:w="387" w:type="pct"/>
          </w:tcPr>
          <w:p w14:paraId="733B659C" w14:textId="7A133ADA" w:rsidR="00BF7711" w:rsidRPr="00026284" w:rsidRDefault="00BF7711" w:rsidP="00BF7711">
            <w:pPr>
              <w:spacing w:line="360" w:lineRule="auto"/>
              <w:rPr>
                <w:rFonts w:asciiTheme="minorEastAsia" w:hAnsiTheme="minorEastAsia" w:hint="eastAsia"/>
                <w:bCs/>
                <w:sz w:val="22"/>
              </w:rPr>
            </w:pPr>
            <w:r>
              <w:rPr>
                <w:rFonts w:asciiTheme="minorEastAsia" w:hAnsiTheme="minorEastAsia" w:hint="eastAsia"/>
                <w:bCs/>
                <w:sz w:val="22"/>
              </w:rPr>
              <w:lastRenderedPageBreak/>
              <w:t>15</w:t>
            </w:r>
          </w:p>
        </w:tc>
        <w:tc>
          <w:tcPr>
            <w:tcW w:w="3549" w:type="pct"/>
          </w:tcPr>
          <w:p w14:paraId="48B60CEE" w14:textId="4EC5C0D8" w:rsidR="00BF7711" w:rsidRPr="00026284" w:rsidRDefault="00BF7711" w:rsidP="00BF7711">
            <w:pPr>
              <w:spacing w:line="360" w:lineRule="auto"/>
              <w:rPr>
                <w:rFonts w:asciiTheme="minorEastAsia" w:hAnsiTheme="minorEastAsia" w:hint="eastAsia"/>
                <w:bCs/>
                <w:sz w:val="22"/>
              </w:rPr>
            </w:pPr>
            <w:r w:rsidRPr="00BF3231">
              <w:rPr>
                <w:rFonts w:hint="eastAsia"/>
              </w:rPr>
              <w:t>富荣基金管理有限公司旗下全部基金</w:t>
            </w:r>
            <w:r w:rsidRPr="00BF3231">
              <w:rPr>
                <w:rFonts w:hint="eastAsia"/>
              </w:rPr>
              <w:t>2024</w:t>
            </w:r>
            <w:r w:rsidRPr="00BF3231">
              <w:rPr>
                <w:rFonts w:hint="eastAsia"/>
              </w:rPr>
              <w:t>年第</w:t>
            </w:r>
            <w:r w:rsidRPr="00BF3231">
              <w:rPr>
                <w:rFonts w:hint="eastAsia"/>
              </w:rPr>
              <w:t>4</w:t>
            </w:r>
            <w:r w:rsidRPr="00BF3231">
              <w:rPr>
                <w:rFonts w:hint="eastAsia"/>
              </w:rPr>
              <w:t>季度报告提示性公告</w:t>
            </w:r>
          </w:p>
        </w:tc>
        <w:tc>
          <w:tcPr>
            <w:tcW w:w="1064" w:type="pct"/>
          </w:tcPr>
          <w:p w14:paraId="0B1AD8A9" w14:textId="1B243138" w:rsidR="00BF7711" w:rsidRPr="00026284" w:rsidRDefault="00BF7711" w:rsidP="00BF7711">
            <w:pPr>
              <w:spacing w:line="360" w:lineRule="auto"/>
              <w:rPr>
                <w:rFonts w:asciiTheme="minorEastAsia" w:hAnsiTheme="minorEastAsia" w:hint="eastAsia"/>
                <w:bCs/>
                <w:sz w:val="22"/>
              </w:rPr>
            </w:pPr>
            <w:r w:rsidRPr="00FD08EB">
              <w:rPr>
                <w:rFonts w:hint="eastAsia"/>
              </w:rPr>
              <w:t>2025</w:t>
            </w:r>
            <w:r w:rsidRPr="00FD08EB">
              <w:rPr>
                <w:rFonts w:hint="eastAsia"/>
              </w:rPr>
              <w:t>年</w:t>
            </w:r>
            <w:r w:rsidRPr="00FD08EB">
              <w:rPr>
                <w:rFonts w:hint="eastAsia"/>
              </w:rPr>
              <w:t>1</w:t>
            </w:r>
            <w:r w:rsidRPr="00FD08EB">
              <w:rPr>
                <w:rFonts w:hint="eastAsia"/>
              </w:rPr>
              <w:t>月</w:t>
            </w:r>
            <w:r w:rsidRPr="00FD08EB">
              <w:rPr>
                <w:rFonts w:hint="eastAsia"/>
              </w:rPr>
              <w:t>22</w:t>
            </w:r>
            <w:r w:rsidRPr="00FD08EB">
              <w:rPr>
                <w:rFonts w:hint="eastAsia"/>
              </w:rPr>
              <w:t>日</w:t>
            </w:r>
          </w:p>
        </w:tc>
      </w:tr>
      <w:tr w:rsidR="00BF7711" w:rsidRPr="00342432" w14:paraId="0898CAF9" w14:textId="77777777" w:rsidTr="00342432">
        <w:tc>
          <w:tcPr>
            <w:tcW w:w="387" w:type="pct"/>
          </w:tcPr>
          <w:p w14:paraId="4FEC517C" w14:textId="56810364" w:rsidR="00BF7711" w:rsidRPr="00026284" w:rsidRDefault="00BF7711" w:rsidP="00BF7711">
            <w:pPr>
              <w:spacing w:line="360" w:lineRule="auto"/>
              <w:rPr>
                <w:rFonts w:asciiTheme="minorEastAsia" w:hAnsiTheme="minorEastAsia" w:hint="eastAsia"/>
                <w:bCs/>
                <w:sz w:val="22"/>
              </w:rPr>
            </w:pPr>
            <w:r>
              <w:rPr>
                <w:rFonts w:asciiTheme="minorEastAsia" w:hAnsiTheme="minorEastAsia" w:hint="eastAsia"/>
                <w:bCs/>
                <w:sz w:val="22"/>
              </w:rPr>
              <w:t>16</w:t>
            </w:r>
          </w:p>
        </w:tc>
        <w:tc>
          <w:tcPr>
            <w:tcW w:w="3549" w:type="pct"/>
          </w:tcPr>
          <w:p w14:paraId="37FED06C" w14:textId="2E6BE933" w:rsidR="00BF7711" w:rsidRPr="00026284" w:rsidRDefault="00BF7711" w:rsidP="00BF7711">
            <w:pPr>
              <w:spacing w:line="360" w:lineRule="auto"/>
              <w:rPr>
                <w:rFonts w:asciiTheme="minorEastAsia" w:hAnsiTheme="minorEastAsia" w:hint="eastAsia"/>
                <w:bCs/>
                <w:sz w:val="22"/>
              </w:rPr>
            </w:pPr>
            <w:r w:rsidRPr="00BF3231">
              <w:rPr>
                <w:rFonts w:hint="eastAsia"/>
              </w:rPr>
              <w:t>富荣基金管理有限公司旗下全部基金</w:t>
            </w:r>
            <w:r w:rsidRPr="00BF3231">
              <w:rPr>
                <w:rFonts w:hint="eastAsia"/>
              </w:rPr>
              <w:t>2024</w:t>
            </w:r>
            <w:r w:rsidRPr="00BF3231">
              <w:rPr>
                <w:rFonts w:hint="eastAsia"/>
              </w:rPr>
              <w:t>年年度报告提示性公告</w:t>
            </w:r>
          </w:p>
        </w:tc>
        <w:tc>
          <w:tcPr>
            <w:tcW w:w="1064" w:type="pct"/>
          </w:tcPr>
          <w:p w14:paraId="458E98EC" w14:textId="5361C326" w:rsidR="00BF7711" w:rsidRPr="00026284" w:rsidRDefault="00BF7711" w:rsidP="00BF7711">
            <w:pPr>
              <w:spacing w:line="360" w:lineRule="auto"/>
              <w:rPr>
                <w:rFonts w:asciiTheme="minorEastAsia" w:hAnsiTheme="minorEastAsia" w:hint="eastAsia"/>
                <w:bCs/>
                <w:sz w:val="22"/>
              </w:rPr>
            </w:pPr>
            <w:r w:rsidRPr="00FD08EB">
              <w:rPr>
                <w:rFonts w:hint="eastAsia"/>
              </w:rPr>
              <w:t>2025</w:t>
            </w:r>
            <w:r w:rsidRPr="00FD08EB">
              <w:rPr>
                <w:rFonts w:hint="eastAsia"/>
              </w:rPr>
              <w:t>年</w:t>
            </w:r>
            <w:r w:rsidRPr="00FD08EB">
              <w:rPr>
                <w:rFonts w:hint="eastAsia"/>
              </w:rPr>
              <w:t>3</w:t>
            </w:r>
            <w:r w:rsidRPr="00FD08EB">
              <w:rPr>
                <w:rFonts w:hint="eastAsia"/>
              </w:rPr>
              <w:t>月</w:t>
            </w:r>
            <w:r w:rsidRPr="00FD08EB">
              <w:rPr>
                <w:rFonts w:hint="eastAsia"/>
              </w:rPr>
              <w:t>31</w:t>
            </w:r>
            <w:r w:rsidRPr="00FD08EB">
              <w:rPr>
                <w:rFonts w:hint="eastAsia"/>
              </w:rPr>
              <w:t>日</w:t>
            </w:r>
          </w:p>
        </w:tc>
      </w:tr>
      <w:tr w:rsidR="00BF7711" w:rsidRPr="00342432" w14:paraId="3893C20C" w14:textId="77777777" w:rsidTr="00342432">
        <w:tc>
          <w:tcPr>
            <w:tcW w:w="387" w:type="pct"/>
          </w:tcPr>
          <w:p w14:paraId="716DF002" w14:textId="68886A36" w:rsidR="00BF7711" w:rsidRPr="00026284" w:rsidRDefault="00BF7711" w:rsidP="00BF7711">
            <w:pPr>
              <w:spacing w:line="360" w:lineRule="auto"/>
              <w:rPr>
                <w:rFonts w:asciiTheme="minorEastAsia" w:hAnsiTheme="minorEastAsia" w:hint="eastAsia"/>
                <w:bCs/>
                <w:sz w:val="22"/>
              </w:rPr>
            </w:pPr>
            <w:r>
              <w:rPr>
                <w:rFonts w:asciiTheme="minorEastAsia" w:hAnsiTheme="minorEastAsia" w:hint="eastAsia"/>
                <w:bCs/>
                <w:sz w:val="22"/>
              </w:rPr>
              <w:t>17</w:t>
            </w:r>
          </w:p>
        </w:tc>
        <w:tc>
          <w:tcPr>
            <w:tcW w:w="3549" w:type="pct"/>
          </w:tcPr>
          <w:p w14:paraId="219D7091" w14:textId="545F788D" w:rsidR="00BF7711" w:rsidRPr="00026284" w:rsidRDefault="00BF7711" w:rsidP="00BF7711">
            <w:pPr>
              <w:spacing w:line="360" w:lineRule="auto"/>
              <w:rPr>
                <w:rFonts w:asciiTheme="minorEastAsia" w:hAnsiTheme="minorEastAsia" w:hint="eastAsia"/>
                <w:bCs/>
                <w:sz w:val="22"/>
              </w:rPr>
            </w:pPr>
            <w:r w:rsidRPr="00BF3231">
              <w:rPr>
                <w:rFonts w:hint="eastAsia"/>
              </w:rPr>
              <w:t>关于富荣研究优选混合型证券投资基金调整业绩比较基准并修订基金合同的公告</w:t>
            </w:r>
          </w:p>
        </w:tc>
        <w:tc>
          <w:tcPr>
            <w:tcW w:w="1064" w:type="pct"/>
          </w:tcPr>
          <w:p w14:paraId="2FF43D9F" w14:textId="638CB960" w:rsidR="00BF7711" w:rsidRPr="00026284" w:rsidRDefault="00BF7711" w:rsidP="00BF7711">
            <w:pPr>
              <w:spacing w:line="360" w:lineRule="auto"/>
              <w:rPr>
                <w:rFonts w:asciiTheme="minorEastAsia" w:hAnsiTheme="minorEastAsia" w:hint="eastAsia"/>
                <w:bCs/>
                <w:sz w:val="22"/>
              </w:rPr>
            </w:pPr>
            <w:r w:rsidRPr="00FD08EB">
              <w:rPr>
                <w:rFonts w:hint="eastAsia"/>
              </w:rPr>
              <w:t>2025</w:t>
            </w:r>
            <w:r w:rsidRPr="00FD08EB">
              <w:rPr>
                <w:rFonts w:hint="eastAsia"/>
              </w:rPr>
              <w:t>年</w:t>
            </w:r>
            <w:r w:rsidRPr="00FD08EB">
              <w:rPr>
                <w:rFonts w:hint="eastAsia"/>
              </w:rPr>
              <w:t>4</w:t>
            </w:r>
            <w:r w:rsidRPr="00FD08EB">
              <w:rPr>
                <w:rFonts w:hint="eastAsia"/>
              </w:rPr>
              <w:t>月</w:t>
            </w:r>
            <w:r w:rsidRPr="00FD08EB">
              <w:rPr>
                <w:rFonts w:hint="eastAsia"/>
              </w:rPr>
              <w:t>1</w:t>
            </w:r>
            <w:r w:rsidRPr="00FD08EB">
              <w:rPr>
                <w:rFonts w:hint="eastAsia"/>
              </w:rPr>
              <w:t>日</w:t>
            </w:r>
          </w:p>
        </w:tc>
      </w:tr>
      <w:tr w:rsidR="00BF7711" w:rsidRPr="00342432" w14:paraId="0A186D3A" w14:textId="77777777" w:rsidTr="00342432">
        <w:tc>
          <w:tcPr>
            <w:tcW w:w="387" w:type="pct"/>
          </w:tcPr>
          <w:p w14:paraId="6461BE92" w14:textId="28B08725" w:rsidR="00BF7711" w:rsidRPr="00026284" w:rsidRDefault="00BF7711" w:rsidP="00BF7711">
            <w:pPr>
              <w:spacing w:line="360" w:lineRule="auto"/>
              <w:rPr>
                <w:rFonts w:asciiTheme="minorEastAsia" w:hAnsiTheme="minorEastAsia" w:hint="eastAsia"/>
                <w:bCs/>
                <w:sz w:val="22"/>
              </w:rPr>
            </w:pPr>
            <w:r>
              <w:rPr>
                <w:rFonts w:asciiTheme="minorEastAsia" w:hAnsiTheme="minorEastAsia" w:hint="eastAsia"/>
                <w:bCs/>
                <w:sz w:val="22"/>
              </w:rPr>
              <w:t>18</w:t>
            </w:r>
          </w:p>
        </w:tc>
        <w:tc>
          <w:tcPr>
            <w:tcW w:w="3549" w:type="pct"/>
          </w:tcPr>
          <w:p w14:paraId="14D8DF87" w14:textId="173D662B" w:rsidR="00BF7711" w:rsidRPr="00026284" w:rsidRDefault="00BF7711" w:rsidP="00BF7711">
            <w:pPr>
              <w:spacing w:line="360" w:lineRule="auto"/>
              <w:rPr>
                <w:rFonts w:asciiTheme="minorEastAsia" w:hAnsiTheme="minorEastAsia" w:hint="eastAsia"/>
                <w:bCs/>
                <w:sz w:val="22"/>
              </w:rPr>
            </w:pPr>
            <w:r w:rsidRPr="00BF3231">
              <w:rPr>
                <w:rFonts w:hint="eastAsia"/>
              </w:rPr>
              <w:t>富荣基金管理有限公司基金行业高级管理人员变更公告</w:t>
            </w:r>
          </w:p>
        </w:tc>
        <w:tc>
          <w:tcPr>
            <w:tcW w:w="1064" w:type="pct"/>
          </w:tcPr>
          <w:p w14:paraId="5F03F484" w14:textId="17CD7430" w:rsidR="00BF7711" w:rsidRPr="00026284" w:rsidRDefault="00BF7711" w:rsidP="00BF7711">
            <w:pPr>
              <w:spacing w:line="360" w:lineRule="auto"/>
              <w:rPr>
                <w:rFonts w:asciiTheme="minorEastAsia" w:hAnsiTheme="minorEastAsia" w:hint="eastAsia"/>
                <w:bCs/>
                <w:sz w:val="22"/>
              </w:rPr>
            </w:pPr>
            <w:r w:rsidRPr="00FD08EB">
              <w:rPr>
                <w:rFonts w:hint="eastAsia"/>
              </w:rPr>
              <w:t>2025</w:t>
            </w:r>
            <w:r w:rsidRPr="00FD08EB">
              <w:rPr>
                <w:rFonts w:hint="eastAsia"/>
              </w:rPr>
              <w:t>年</w:t>
            </w:r>
            <w:r w:rsidRPr="00FD08EB">
              <w:rPr>
                <w:rFonts w:hint="eastAsia"/>
              </w:rPr>
              <w:t>4</w:t>
            </w:r>
            <w:r w:rsidRPr="00FD08EB">
              <w:rPr>
                <w:rFonts w:hint="eastAsia"/>
              </w:rPr>
              <w:t>月</w:t>
            </w:r>
            <w:r w:rsidRPr="00FD08EB">
              <w:rPr>
                <w:rFonts w:hint="eastAsia"/>
              </w:rPr>
              <w:t>4</w:t>
            </w:r>
            <w:r w:rsidRPr="00FD08EB">
              <w:rPr>
                <w:rFonts w:hint="eastAsia"/>
              </w:rPr>
              <w:t>日</w:t>
            </w:r>
          </w:p>
        </w:tc>
      </w:tr>
      <w:tr w:rsidR="00BF7711" w:rsidRPr="00342432" w14:paraId="58FCC9A8" w14:textId="77777777" w:rsidTr="00342432">
        <w:tc>
          <w:tcPr>
            <w:tcW w:w="387" w:type="pct"/>
          </w:tcPr>
          <w:p w14:paraId="5F77EAED" w14:textId="3FEF24C9" w:rsidR="00BF7711" w:rsidRPr="00026284" w:rsidRDefault="00BF7711" w:rsidP="00BF7711">
            <w:pPr>
              <w:spacing w:line="360" w:lineRule="auto"/>
              <w:rPr>
                <w:rFonts w:asciiTheme="minorEastAsia" w:hAnsiTheme="minorEastAsia" w:hint="eastAsia"/>
                <w:bCs/>
                <w:sz w:val="22"/>
              </w:rPr>
            </w:pPr>
            <w:r>
              <w:rPr>
                <w:rFonts w:asciiTheme="minorEastAsia" w:hAnsiTheme="minorEastAsia" w:hint="eastAsia"/>
                <w:bCs/>
                <w:sz w:val="22"/>
              </w:rPr>
              <w:t>19</w:t>
            </w:r>
          </w:p>
        </w:tc>
        <w:tc>
          <w:tcPr>
            <w:tcW w:w="3549" w:type="pct"/>
          </w:tcPr>
          <w:p w14:paraId="167C6350" w14:textId="7091C399" w:rsidR="00BF7711" w:rsidRPr="00026284" w:rsidRDefault="00BF7711" w:rsidP="00BF7711">
            <w:pPr>
              <w:spacing w:line="360" w:lineRule="auto"/>
              <w:rPr>
                <w:rFonts w:asciiTheme="minorEastAsia" w:hAnsiTheme="minorEastAsia" w:hint="eastAsia"/>
                <w:bCs/>
                <w:sz w:val="22"/>
              </w:rPr>
            </w:pPr>
            <w:r w:rsidRPr="00BF3231">
              <w:rPr>
                <w:rFonts w:hint="eastAsia"/>
              </w:rPr>
              <w:t>富荣基金管理有限公司关于旗下部分基金新增销售机构、开通基金定期定额投资和基金转换业务并参加销售机构申购及定期定额投资申购费率优惠活动的公告</w:t>
            </w:r>
          </w:p>
        </w:tc>
        <w:tc>
          <w:tcPr>
            <w:tcW w:w="1064" w:type="pct"/>
          </w:tcPr>
          <w:p w14:paraId="3CFAA60A" w14:textId="20B49728" w:rsidR="00BF7711" w:rsidRPr="00026284" w:rsidRDefault="00BF7711" w:rsidP="00BF7711">
            <w:pPr>
              <w:spacing w:line="360" w:lineRule="auto"/>
              <w:rPr>
                <w:rFonts w:asciiTheme="minorEastAsia" w:hAnsiTheme="minorEastAsia" w:hint="eastAsia"/>
                <w:bCs/>
                <w:sz w:val="22"/>
              </w:rPr>
            </w:pPr>
            <w:r w:rsidRPr="00FD08EB">
              <w:rPr>
                <w:rFonts w:hint="eastAsia"/>
              </w:rPr>
              <w:t>2025</w:t>
            </w:r>
            <w:r w:rsidRPr="00FD08EB">
              <w:rPr>
                <w:rFonts w:hint="eastAsia"/>
              </w:rPr>
              <w:t>年</w:t>
            </w:r>
            <w:r w:rsidRPr="00FD08EB">
              <w:rPr>
                <w:rFonts w:hint="eastAsia"/>
              </w:rPr>
              <w:t>4</w:t>
            </w:r>
            <w:r w:rsidRPr="00FD08EB">
              <w:rPr>
                <w:rFonts w:hint="eastAsia"/>
              </w:rPr>
              <w:t>月</w:t>
            </w:r>
            <w:r w:rsidRPr="00FD08EB">
              <w:rPr>
                <w:rFonts w:hint="eastAsia"/>
              </w:rPr>
              <w:t>10</w:t>
            </w:r>
            <w:r w:rsidRPr="00FD08EB">
              <w:rPr>
                <w:rFonts w:hint="eastAsia"/>
              </w:rPr>
              <w:t>日</w:t>
            </w:r>
          </w:p>
        </w:tc>
      </w:tr>
      <w:tr w:rsidR="00BF7711" w:rsidRPr="00342432" w14:paraId="14879787" w14:textId="77777777" w:rsidTr="00342432">
        <w:tc>
          <w:tcPr>
            <w:tcW w:w="387" w:type="pct"/>
          </w:tcPr>
          <w:p w14:paraId="58C8B469" w14:textId="4B17AA01" w:rsidR="00BF7711" w:rsidRPr="00026284" w:rsidRDefault="00BF7711" w:rsidP="00BF7711">
            <w:pPr>
              <w:spacing w:line="360" w:lineRule="auto"/>
              <w:rPr>
                <w:rFonts w:asciiTheme="minorEastAsia" w:hAnsiTheme="minorEastAsia" w:hint="eastAsia"/>
                <w:bCs/>
                <w:sz w:val="22"/>
              </w:rPr>
            </w:pPr>
            <w:r>
              <w:rPr>
                <w:rFonts w:asciiTheme="minorEastAsia" w:hAnsiTheme="minorEastAsia" w:hint="eastAsia"/>
                <w:bCs/>
                <w:sz w:val="22"/>
              </w:rPr>
              <w:t>20</w:t>
            </w:r>
          </w:p>
        </w:tc>
        <w:tc>
          <w:tcPr>
            <w:tcW w:w="3549" w:type="pct"/>
          </w:tcPr>
          <w:p w14:paraId="26BE0D51" w14:textId="79AA1CA6" w:rsidR="00BF7711" w:rsidRPr="00026284" w:rsidRDefault="00BF7711" w:rsidP="00BF7711">
            <w:pPr>
              <w:spacing w:line="360" w:lineRule="auto"/>
              <w:rPr>
                <w:rFonts w:asciiTheme="minorEastAsia" w:hAnsiTheme="minorEastAsia" w:hint="eastAsia"/>
                <w:bCs/>
                <w:sz w:val="22"/>
              </w:rPr>
            </w:pPr>
            <w:r w:rsidRPr="00BF3231">
              <w:rPr>
                <w:rFonts w:hint="eastAsia"/>
              </w:rPr>
              <w:t>富荣基金管理有限公司旗下全部基金</w:t>
            </w:r>
            <w:r w:rsidRPr="00BF3231">
              <w:rPr>
                <w:rFonts w:hint="eastAsia"/>
              </w:rPr>
              <w:t>2025</w:t>
            </w:r>
            <w:r w:rsidRPr="00BF3231">
              <w:rPr>
                <w:rFonts w:hint="eastAsia"/>
              </w:rPr>
              <w:t>年第</w:t>
            </w:r>
            <w:r w:rsidRPr="00BF3231">
              <w:rPr>
                <w:rFonts w:hint="eastAsia"/>
              </w:rPr>
              <w:t>1</w:t>
            </w:r>
            <w:r w:rsidRPr="00BF3231">
              <w:rPr>
                <w:rFonts w:hint="eastAsia"/>
              </w:rPr>
              <w:t>季度报告提示性公告</w:t>
            </w:r>
          </w:p>
        </w:tc>
        <w:tc>
          <w:tcPr>
            <w:tcW w:w="1064" w:type="pct"/>
          </w:tcPr>
          <w:p w14:paraId="6411A8DA" w14:textId="269EBC7B" w:rsidR="00BF7711" w:rsidRPr="00026284" w:rsidRDefault="00BF7711" w:rsidP="00BF7711">
            <w:pPr>
              <w:spacing w:line="360" w:lineRule="auto"/>
              <w:rPr>
                <w:rFonts w:asciiTheme="minorEastAsia" w:hAnsiTheme="minorEastAsia" w:hint="eastAsia"/>
                <w:bCs/>
                <w:sz w:val="22"/>
              </w:rPr>
            </w:pPr>
            <w:r w:rsidRPr="00FD08EB">
              <w:rPr>
                <w:rFonts w:hint="eastAsia"/>
              </w:rPr>
              <w:t>2025</w:t>
            </w:r>
            <w:r w:rsidRPr="00FD08EB">
              <w:rPr>
                <w:rFonts w:hint="eastAsia"/>
              </w:rPr>
              <w:t>年</w:t>
            </w:r>
            <w:r w:rsidRPr="00FD08EB">
              <w:rPr>
                <w:rFonts w:hint="eastAsia"/>
              </w:rPr>
              <w:t>4</w:t>
            </w:r>
            <w:r w:rsidRPr="00FD08EB">
              <w:rPr>
                <w:rFonts w:hint="eastAsia"/>
              </w:rPr>
              <w:t>月</w:t>
            </w:r>
            <w:r w:rsidRPr="00FD08EB">
              <w:rPr>
                <w:rFonts w:hint="eastAsia"/>
              </w:rPr>
              <w:t>22</w:t>
            </w:r>
            <w:r w:rsidRPr="00FD08EB">
              <w:rPr>
                <w:rFonts w:hint="eastAsia"/>
              </w:rPr>
              <w:t>日</w:t>
            </w:r>
          </w:p>
        </w:tc>
      </w:tr>
      <w:tr w:rsidR="00BF7711" w:rsidRPr="00342432" w14:paraId="0A52D9B5" w14:textId="77777777" w:rsidTr="00342432">
        <w:tc>
          <w:tcPr>
            <w:tcW w:w="387" w:type="pct"/>
          </w:tcPr>
          <w:p w14:paraId="30CCD1D6" w14:textId="32B172BB" w:rsidR="00BF7711" w:rsidRPr="00026284" w:rsidRDefault="00BF7711" w:rsidP="00BF7711">
            <w:pPr>
              <w:spacing w:line="360" w:lineRule="auto"/>
              <w:rPr>
                <w:rFonts w:asciiTheme="minorEastAsia" w:hAnsiTheme="minorEastAsia" w:hint="eastAsia"/>
                <w:bCs/>
                <w:sz w:val="22"/>
              </w:rPr>
            </w:pPr>
            <w:r>
              <w:rPr>
                <w:rFonts w:asciiTheme="minorEastAsia" w:hAnsiTheme="minorEastAsia" w:hint="eastAsia"/>
                <w:bCs/>
                <w:sz w:val="22"/>
              </w:rPr>
              <w:t>21</w:t>
            </w:r>
          </w:p>
        </w:tc>
        <w:tc>
          <w:tcPr>
            <w:tcW w:w="3549" w:type="pct"/>
          </w:tcPr>
          <w:p w14:paraId="3C9AD6A2" w14:textId="5C8B44AD" w:rsidR="00BF7711" w:rsidRPr="00026284" w:rsidRDefault="00BF7711" w:rsidP="00BF7711">
            <w:pPr>
              <w:spacing w:line="360" w:lineRule="auto"/>
              <w:rPr>
                <w:rFonts w:asciiTheme="minorEastAsia" w:hAnsiTheme="minorEastAsia" w:hint="eastAsia"/>
                <w:bCs/>
                <w:sz w:val="22"/>
              </w:rPr>
            </w:pPr>
            <w:r w:rsidRPr="00BF3231">
              <w:rPr>
                <w:rFonts w:hint="eastAsia"/>
              </w:rPr>
              <w:t>富荣基金管理有限公司关于提醒投资者防范不法分子假冒本公司名义从事诈骗活动的公告</w:t>
            </w:r>
          </w:p>
        </w:tc>
        <w:tc>
          <w:tcPr>
            <w:tcW w:w="1064" w:type="pct"/>
          </w:tcPr>
          <w:p w14:paraId="1B28E12A" w14:textId="4BB91214" w:rsidR="00BF7711" w:rsidRPr="00026284" w:rsidRDefault="00BF7711" w:rsidP="00BF7711">
            <w:pPr>
              <w:spacing w:line="360" w:lineRule="auto"/>
              <w:rPr>
                <w:rFonts w:asciiTheme="minorEastAsia" w:hAnsiTheme="minorEastAsia" w:hint="eastAsia"/>
                <w:bCs/>
                <w:sz w:val="22"/>
              </w:rPr>
            </w:pPr>
            <w:r w:rsidRPr="00FD08EB">
              <w:rPr>
                <w:rFonts w:hint="eastAsia"/>
              </w:rPr>
              <w:t>2025</w:t>
            </w:r>
            <w:r w:rsidRPr="00FD08EB">
              <w:rPr>
                <w:rFonts w:hint="eastAsia"/>
              </w:rPr>
              <w:t>年</w:t>
            </w:r>
            <w:r w:rsidRPr="00FD08EB">
              <w:rPr>
                <w:rFonts w:hint="eastAsia"/>
              </w:rPr>
              <w:t>5</w:t>
            </w:r>
            <w:r w:rsidRPr="00FD08EB">
              <w:rPr>
                <w:rFonts w:hint="eastAsia"/>
              </w:rPr>
              <w:t>月</w:t>
            </w:r>
            <w:r w:rsidRPr="00FD08EB">
              <w:rPr>
                <w:rFonts w:hint="eastAsia"/>
              </w:rPr>
              <w:t>6</w:t>
            </w:r>
            <w:r w:rsidRPr="00FD08EB">
              <w:rPr>
                <w:rFonts w:hint="eastAsia"/>
              </w:rPr>
              <w:t>日</w:t>
            </w:r>
          </w:p>
        </w:tc>
      </w:tr>
      <w:tr w:rsidR="00BF7711" w:rsidRPr="00342432" w14:paraId="2838BAC8" w14:textId="77777777" w:rsidTr="00342432">
        <w:tc>
          <w:tcPr>
            <w:tcW w:w="387" w:type="pct"/>
          </w:tcPr>
          <w:p w14:paraId="2776B93D" w14:textId="15F765E1" w:rsidR="00BF7711" w:rsidRPr="00026284" w:rsidRDefault="00BF7711" w:rsidP="00BF7711">
            <w:pPr>
              <w:spacing w:line="360" w:lineRule="auto"/>
              <w:rPr>
                <w:rFonts w:asciiTheme="minorEastAsia" w:hAnsiTheme="minorEastAsia" w:hint="eastAsia"/>
                <w:bCs/>
                <w:sz w:val="22"/>
              </w:rPr>
            </w:pPr>
            <w:r>
              <w:rPr>
                <w:rFonts w:asciiTheme="minorEastAsia" w:hAnsiTheme="minorEastAsia" w:hint="eastAsia"/>
                <w:bCs/>
                <w:sz w:val="22"/>
              </w:rPr>
              <w:t>22</w:t>
            </w:r>
          </w:p>
        </w:tc>
        <w:tc>
          <w:tcPr>
            <w:tcW w:w="3549" w:type="pct"/>
          </w:tcPr>
          <w:p w14:paraId="10AD33C0" w14:textId="4F0C2FB2" w:rsidR="00BF7711" w:rsidRPr="00026284" w:rsidRDefault="00BF7711" w:rsidP="00BF7711">
            <w:pPr>
              <w:spacing w:line="360" w:lineRule="auto"/>
              <w:rPr>
                <w:rFonts w:asciiTheme="minorEastAsia" w:hAnsiTheme="minorEastAsia" w:hint="eastAsia"/>
                <w:bCs/>
                <w:sz w:val="22"/>
              </w:rPr>
            </w:pPr>
            <w:r w:rsidRPr="00BF3231">
              <w:rPr>
                <w:rFonts w:hint="eastAsia"/>
              </w:rPr>
              <w:t>富荣基金管理有限公司关于旗下部分基金新增麦</w:t>
            </w:r>
            <w:proofErr w:type="gramStart"/>
            <w:r w:rsidRPr="00BF3231">
              <w:rPr>
                <w:rFonts w:hint="eastAsia"/>
              </w:rPr>
              <w:t>高证券</w:t>
            </w:r>
            <w:proofErr w:type="gramEnd"/>
            <w:r w:rsidRPr="00BF3231">
              <w:rPr>
                <w:rFonts w:hint="eastAsia"/>
              </w:rPr>
              <w:t>有限责任公司为销售机构、开通基金定期定额投资业务和基金转换业务并参加申购及定期定额投资申购费率优惠活动的公告</w:t>
            </w:r>
          </w:p>
        </w:tc>
        <w:tc>
          <w:tcPr>
            <w:tcW w:w="1064" w:type="pct"/>
          </w:tcPr>
          <w:p w14:paraId="5FA71761" w14:textId="3894A1C7" w:rsidR="00BF7711" w:rsidRPr="00026284" w:rsidRDefault="00BF7711" w:rsidP="00BF7711">
            <w:pPr>
              <w:spacing w:line="360" w:lineRule="auto"/>
              <w:rPr>
                <w:rFonts w:asciiTheme="minorEastAsia" w:hAnsiTheme="minorEastAsia" w:hint="eastAsia"/>
                <w:bCs/>
                <w:sz w:val="22"/>
              </w:rPr>
            </w:pPr>
            <w:r w:rsidRPr="00FD08EB">
              <w:rPr>
                <w:rFonts w:hint="eastAsia"/>
              </w:rPr>
              <w:t>2025</w:t>
            </w:r>
            <w:r w:rsidRPr="00FD08EB">
              <w:rPr>
                <w:rFonts w:hint="eastAsia"/>
              </w:rPr>
              <w:t>年</w:t>
            </w:r>
            <w:r w:rsidRPr="00FD08EB">
              <w:rPr>
                <w:rFonts w:hint="eastAsia"/>
              </w:rPr>
              <w:t>5</w:t>
            </w:r>
            <w:r w:rsidRPr="00FD08EB">
              <w:rPr>
                <w:rFonts w:hint="eastAsia"/>
              </w:rPr>
              <w:t>月</w:t>
            </w:r>
            <w:r w:rsidRPr="00FD08EB">
              <w:rPr>
                <w:rFonts w:hint="eastAsia"/>
              </w:rPr>
              <w:t>15</w:t>
            </w:r>
            <w:r w:rsidRPr="00FD08EB">
              <w:rPr>
                <w:rFonts w:hint="eastAsia"/>
              </w:rPr>
              <w:t>日</w:t>
            </w:r>
          </w:p>
        </w:tc>
      </w:tr>
      <w:tr w:rsidR="00BF7711" w:rsidRPr="00342432" w14:paraId="53FC84CA" w14:textId="77777777" w:rsidTr="00342432">
        <w:tc>
          <w:tcPr>
            <w:tcW w:w="387" w:type="pct"/>
          </w:tcPr>
          <w:p w14:paraId="23625CA1" w14:textId="390F16ED" w:rsidR="00BF7711" w:rsidRPr="00026284" w:rsidRDefault="00BF7711" w:rsidP="00BF7711">
            <w:pPr>
              <w:spacing w:line="360" w:lineRule="auto"/>
              <w:rPr>
                <w:rFonts w:asciiTheme="minorEastAsia" w:hAnsiTheme="minorEastAsia" w:hint="eastAsia"/>
                <w:bCs/>
                <w:sz w:val="22"/>
              </w:rPr>
            </w:pPr>
            <w:r>
              <w:rPr>
                <w:rFonts w:asciiTheme="minorEastAsia" w:hAnsiTheme="minorEastAsia" w:hint="eastAsia"/>
                <w:bCs/>
                <w:sz w:val="22"/>
              </w:rPr>
              <w:t>23</w:t>
            </w:r>
          </w:p>
        </w:tc>
        <w:tc>
          <w:tcPr>
            <w:tcW w:w="3549" w:type="pct"/>
          </w:tcPr>
          <w:p w14:paraId="0F885B64" w14:textId="12EF4E74" w:rsidR="00BF7711" w:rsidRPr="00026284" w:rsidRDefault="00BF7711" w:rsidP="00BF7711">
            <w:pPr>
              <w:spacing w:line="360" w:lineRule="auto"/>
              <w:rPr>
                <w:rFonts w:asciiTheme="minorEastAsia" w:hAnsiTheme="minorEastAsia" w:hint="eastAsia"/>
                <w:bCs/>
                <w:sz w:val="22"/>
              </w:rPr>
            </w:pPr>
            <w:r w:rsidRPr="00BF3231">
              <w:rPr>
                <w:rFonts w:hint="eastAsia"/>
              </w:rPr>
              <w:t>富荣基金管理有限公司关于旗下部分基金新增江苏银行股份有限公司为销售机构、开通基金定期定额投资业务和基金转换业务并参加申购及定期定额投资申购费率优惠活动的公告</w:t>
            </w:r>
          </w:p>
        </w:tc>
        <w:tc>
          <w:tcPr>
            <w:tcW w:w="1064" w:type="pct"/>
          </w:tcPr>
          <w:p w14:paraId="7D26C911" w14:textId="57517E01" w:rsidR="00BF7711" w:rsidRPr="00026284" w:rsidRDefault="00BF7711" w:rsidP="00BF7711">
            <w:pPr>
              <w:spacing w:line="360" w:lineRule="auto"/>
              <w:rPr>
                <w:rFonts w:asciiTheme="minorEastAsia" w:hAnsiTheme="minorEastAsia" w:hint="eastAsia"/>
                <w:bCs/>
                <w:sz w:val="22"/>
              </w:rPr>
            </w:pPr>
            <w:r w:rsidRPr="00FD08EB">
              <w:rPr>
                <w:rFonts w:hint="eastAsia"/>
              </w:rPr>
              <w:t>2025</w:t>
            </w:r>
            <w:r w:rsidRPr="00FD08EB">
              <w:rPr>
                <w:rFonts w:hint="eastAsia"/>
              </w:rPr>
              <w:t>年</w:t>
            </w:r>
            <w:r w:rsidRPr="00FD08EB">
              <w:rPr>
                <w:rFonts w:hint="eastAsia"/>
              </w:rPr>
              <w:t>5</w:t>
            </w:r>
            <w:r w:rsidRPr="00FD08EB">
              <w:rPr>
                <w:rFonts w:hint="eastAsia"/>
              </w:rPr>
              <w:t>月</w:t>
            </w:r>
            <w:r w:rsidRPr="00FD08EB">
              <w:rPr>
                <w:rFonts w:hint="eastAsia"/>
              </w:rPr>
              <w:t>23</w:t>
            </w:r>
            <w:r w:rsidRPr="00FD08EB">
              <w:rPr>
                <w:rFonts w:hint="eastAsia"/>
              </w:rPr>
              <w:t>日</w:t>
            </w:r>
          </w:p>
        </w:tc>
      </w:tr>
      <w:tr w:rsidR="00BF7711" w:rsidRPr="00342432" w14:paraId="6E640019" w14:textId="77777777" w:rsidTr="00342432">
        <w:tc>
          <w:tcPr>
            <w:tcW w:w="387" w:type="pct"/>
          </w:tcPr>
          <w:p w14:paraId="197F1DB7" w14:textId="6C5BCDFE" w:rsidR="00BF7711" w:rsidRPr="00026284" w:rsidRDefault="00BF7711" w:rsidP="00BF7711">
            <w:pPr>
              <w:spacing w:line="360" w:lineRule="auto"/>
              <w:rPr>
                <w:rFonts w:asciiTheme="minorEastAsia" w:hAnsiTheme="minorEastAsia" w:hint="eastAsia"/>
                <w:bCs/>
                <w:sz w:val="22"/>
              </w:rPr>
            </w:pPr>
            <w:r>
              <w:rPr>
                <w:rFonts w:asciiTheme="minorEastAsia" w:hAnsiTheme="minorEastAsia" w:hint="eastAsia"/>
                <w:bCs/>
                <w:sz w:val="22"/>
              </w:rPr>
              <w:t>24</w:t>
            </w:r>
          </w:p>
        </w:tc>
        <w:tc>
          <w:tcPr>
            <w:tcW w:w="3549" w:type="pct"/>
          </w:tcPr>
          <w:p w14:paraId="3CA3B146" w14:textId="18FA7D1E" w:rsidR="00BF7711" w:rsidRPr="00026284" w:rsidRDefault="00BF7711" w:rsidP="00BF7711">
            <w:pPr>
              <w:spacing w:line="360" w:lineRule="auto"/>
              <w:rPr>
                <w:rFonts w:asciiTheme="minorEastAsia" w:hAnsiTheme="minorEastAsia" w:hint="eastAsia"/>
                <w:bCs/>
                <w:sz w:val="22"/>
              </w:rPr>
            </w:pPr>
            <w:r w:rsidRPr="00BF3231">
              <w:rPr>
                <w:rFonts w:hint="eastAsia"/>
              </w:rPr>
              <w:t>富荣基金管理有限公司关于旗下部分基金新增联储证券股份有限公司为销售机构、开通基金定期定额投资业务和基金转换业务并参加申购及定期定额投资申购费率优惠活动的公告</w:t>
            </w:r>
          </w:p>
        </w:tc>
        <w:tc>
          <w:tcPr>
            <w:tcW w:w="1064" w:type="pct"/>
          </w:tcPr>
          <w:p w14:paraId="6ED4A251" w14:textId="0CCC4191" w:rsidR="00BF7711" w:rsidRPr="00026284" w:rsidRDefault="00BF7711" w:rsidP="00BF7711">
            <w:pPr>
              <w:spacing w:line="360" w:lineRule="auto"/>
              <w:rPr>
                <w:rFonts w:asciiTheme="minorEastAsia" w:hAnsiTheme="minorEastAsia" w:hint="eastAsia"/>
                <w:bCs/>
                <w:sz w:val="22"/>
              </w:rPr>
            </w:pPr>
            <w:r w:rsidRPr="00FD08EB">
              <w:rPr>
                <w:rFonts w:hint="eastAsia"/>
              </w:rPr>
              <w:t>2025</w:t>
            </w:r>
            <w:r w:rsidRPr="00FD08EB">
              <w:rPr>
                <w:rFonts w:hint="eastAsia"/>
              </w:rPr>
              <w:t>年</w:t>
            </w:r>
            <w:r w:rsidRPr="00FD08EB">
              <w:rPr>
                <w:rFonts w:hint="eastAsia"/>
              </w:rPr>
              <w:t>5</w:t>
            </w:r>
            <w:r w:rsidRPr="00FD08EB">
              <w:rPr>
                <w:rFonts w:hint="eastAsia"/>
              </w:rPr>
              <w:t>月</w:t>
            </w:r>
            <w:r w:rsidRPr="00FD08EB">
              <w:rPr>
                <w:rFonts w:hint="eastAsia"/>
              </w:rPr>
              <w:t>26</w:t>
            </w:r>
            <w:r w:rsidRPr="00FD08EB">
              <w:rPr>
                <w:rFonts w:hint="eastAsia"/>
              </w:rPr>
              <w:t>日</w:t>
            </w:r>
          </w:p>
        </w:tc>
      </w:tr>
      <w:tr w:rsidR="00BF7711" w:rsidRPr="00342432" w14:paraId="60A4535B" w14:textId="77777777" w:rsidTr="00342432">
        <w:tc>
          <w:tcPr>
            <w:tcW w:w="387" w:type="pct"/>
          </w:tcPr>
          <w:p w14:paraId="0D64B6E5" w14:textId="12FC0649" w:rsidR="00BF7711" w:rsidRPr="00026284" w:rsidRDefault="00BF7711" w:rsidP="00BF7711">
            <w:pPr>
              <w:spacing w:line="360" w:lineRule="auto"/>
              <w:rPr>
                <w:rFonts w:asciiTheme="minorEastAsia" w:hAnsiTheme="minorEastAsia" w:hint="eastAsia"/>
                <w:bCs/>
                <w:sz w:val="22"/>
              </w:rPr>
            </w:pPr>
            <w:r>
              <w:rPr>
                <w:rFonts w:asciiTheme="minorEastAsia" w:hAnsiTheme="minorEastAsia" w:hint="eastAsia"/>
                <w:bCs/>
                <w:sz w:val="22"/>
              </w:rPr>
              <w:t>25</w:t>
            </w:r>
          </w:p>
        </w:tc>
        <w:tc>
          <w:tcPr>
            <w:tcW w:w="3549" w:type="pct"/>
          </w:tcPr>
          <w:p w14:paraId="6BC933C0" w14:textId="6989D13E" w:rsidR="00BF7711" w:rsidRPr="00026284" w:rsidRDefault="00BF7711" w:rsidP="00BF7711">
            <w:pPr>
              <w:spacing w:line="360" w:lineRule="auto"/>
              <w:rPr>
                <w:rFonts w:asciiTheme="minorEastAsia" w:hAnsiTheme="minorEastAsia" w:hint="eastAsia"/>
                <w:bCs/>
                <w:sz w:val="22"/>
              </w:rPr>
            </w:pPr>
            <w:r w:rsidRPr="00BF3231">
              <w:rPr>
                <w:rFonts w:hint="eastAsia"/>
              </w:rPr>
              <w:t>富荣基金管理有限公司关于提醒投资者持续完善身份信息资料的公告</w:t>
            </w:r>
          </w:p>
        </w:tc>
        <w:tc>
          <w:tcPr>
            <w:tcW w:w="1064" w:type="pct"/>
          </w:tcPr>
          <w:p w14:paraId="20D32E4F" w14:textId="73961879" w:rsidR="00BF7711" w:rsidRPr="00026284" w:rsidRDefault="00BF7711" w:rsidP="00BF7711">
            <w:pPr>
              <w:spacing w:line="360" w:lineRule="auto"/>
              <w:rPr>
                <w:rFonts w:asciiTheme="minorEastAsia" w:hAnsiTheme="minorEastAsia" w:hint="eastAsia"/>
                <w:bCs/>
                <w:sz w:val="22"/>
              </w:rPr>
            </w:pPr>
            <w:r w:rsidRPr="00FD08EB">
              <w:rPr>
                <w:rFonts w:hint="eastAsia"/>
              </w:rPr>
              <w:t>2025</w:t>
            </w:r>
            <w:r w:rsidRPr="00FD08EB">
              <w:rPr>
                <w:rFonts w:hint="eastAsia"/>
              </w:rPr>
              <w:t>年</w:t>
            </w:r>
            <w:r w:rsidRPr="00FD08EB">
              <w:rPr>
                <w:rFonts w:hint="eastAsia"/>
              </w:rPr>
              <w:t>6</w:t>
            </w:r>
            <w:r w:rsidRPr="00FD08EB">
              <w:rPr>
                <w:rFonts w:hint="eastAsia"/>
              </w:rPr>
              <w:t>月</w:t>
            </w:r>
            <w:r w:rsidRPr="00FD08EB">
              <w:rPr>
                <w:rFonts w:hint="eastAsia"/>
              </w:rPr>
              <w:t>24</w:t>
            </w:r>
            <w:r w:rsidRPr="00FD08EB">
              <w:rPr>
                <w:rFonts w:hint="eastAsia"/>
              </w:rPr>
              <w:t>日</w:t>
            </w:r>
          </w:p>
        </w:tc>
      </w:tr>
    </w:tbl>
    <w:p w14:paraId="54CA906D" w14:textId="0CE4B6AD" w:rsidR="00A10969" w:rsidRDefault="00A10969" w:rsidP="00026284">
      <w:pPr>
        <w:spacing w:line="360" w:lineRule="auto"/>
        <w:ind w:firstLineChars="200" w:firstLine="600"/>
        <w:rPr>
          <w:sz w:val="30"/>
          <w:szCs w:val="30"/>
        </w:rPr>
      </w:pPr>
      <w:r>
        <w:rPr>
          <w:sz w:val="30"/>
          <w:szCs w:val="30"/>
        </w:rPr>
        <w:br w:type="page"/>
      </w:r>
    </w:p>
    <w:p w14:paraId="41A48378" w14:textId="2CBA93F9" w:rsidR="009D10D8" w:rsidRDefault="00A10969">
      <w:pPr>
        <w:pStyle w:val="1"/>
        <w:jc w:val="center"/>
        <w:rPr>
          <w:sz w:val="30"/>
          <w:szCs w:val="30"/>
        </w:rPr>
      </w:pPr>
      <w:bookmarkStart w:id="425" w:name="_Toc173322799"/>
      <w:r>
        <w:rPr>
          <w:rFonts w:hint="eastAsia"/>
          <w:sz w:val="30"/>
          <w:szCs w:val="30"/>
        </w:rPr>
        <w:lastRenderedPageBreak/>
        <w:t xml:space="preserve">第二十三部分  </w:t>
      </w:r>
      <w:r w:rsidR="009E4577">
        <w:rPr>
          <w:rFonts w:hint="eastAsia"/>
          <w:sz w:val="30"/>
          <w:szCs w:val="30"/>
        </w:rPr>
        <w:t>招募说明书存放及查阅方式</w:t>
      </w:r>
      <w:bookmarkEnd w:id="421"/>
      <w:bookmarkEnd w:id="422"/>
      <w:bookmarkEnd w:id="423"/>
      <w:bookmarkEnd w:id="424"/>
      <w:bookmarkEnd w:id="425"/>
    </w:p>
    <w:p w14:paraId="5F5465B0"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43CDFBA3"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503B68DE" w14:textId="77777777" w:rsidR="009D10D8" w:rsidRDefault="009D10D8">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308ED46E" w14:textId="77777777" w:rsidR="009D10D8" w:rsidRDefault="009D10D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9D10D8">
          <w:footerReference w:type="default" r:id="rId27"/>
          <w:pgSz w:w="11906" w:h="16838"/>
          <w:pgMar w:top="1440" w:right="1800" w:bottom="1440" w:left="1800" w:header="851" w:footer="992" w:gutter="0"/>
          <w:cols w:space="425"/>
          <w:docGrid w:type="lines" w:linePitch="312"/>
        </w:sectPr>
      </w:pPr>
      <w:bookmarkStart w:id="426" w:name="_Toc416268879"/>
      <w:bookmarkStart w:id="427" w:name="_Toc263092330"/>
      <w:bookmarkEnd w:id="61"/>
      <w:bookmarkEnd w:id="62"/>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26"/>
      <w:bookmarkEnd w:id="427"/>
    </w:p>
    <w:p w14:paraId="72784C16" w14:textId="09B84E7D" w:rsidR="009D10D8" w:rsidRDefault="009E4577">
      <w:pPr>
        <w:pStyle w:val="1"/>
        <w:jc w:val="center"/>
      </w:pPr>
      <w:bookmarkStart w:id="428" w:name="_Toc173322800"/>
      <w:r>
        <w:rPr>
          <w:sz w:val="30"/>
          <w:szCs w:val="30"/>
        </w:rPr>
        <w:lastRenderedPageBreak/>
        <w:t>第二十</w:t>
      </w:r>
      <w:r w:rsidR="00A10969">
        <w:rPr>
          <w:rFonts w:hint="eastAsia"/>
          <w:sz w:val="30"/>
          <w:szCs w:val="30"/>
        </w:rPr>
        <w:t>四</w:t>
      </w:r>
      <w:r>
        <w:rPr>
          <w:sz w:val="30"/>
          <w:szCs w:val="30"/>
        </w:rPr>
        <w:t>部分  备查文件</w:t>
      </w:r>
      <w:bookmarkEnd w:id="428"/>
    </w:p>
    <w:p w14:paraId="0C0BD6D1"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以下备查文件存放在基金管理人的办公场所，在办公时间可供免费查阅。</w:t>
      </w:r>
    </w:p>
    <w:p w14:paraId="3D3CB5EA"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富荣研究优选</w:t>
      </w:r>
      <w:r>
        <w:rPr>
          <w:rFonts w:asciiTheme="minorEastAsia" w:hAnsiTheme="minorEastAsia" w:cs="Arial" w:hint="eastAsia"/>
          <w:kern w:val="0"/>
          <w:sz w:val="24"/>
          <w:szCs w:val="24"/>
        </w:rPr>
        <w:t>混合型</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5D1BAF5E"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（二）《富荣研究优选</w:t>
      </w:r>
      <w:r>
        <w:rPr>
          <w:rFonts w:asciiTheme="minorEastAsia" w:hAnsiTheme="minorEastAsia" w:cs="Arial" w:hint="eastAsia"/>
          <w:kern w:val="0"/>
          <w:sz w:val="24"/>
          <w:szCs w:val="24"/>
        </w:rPr>
        <w:t>混合型</w:t>
      </w:r>
      <w:r>
        <w:rPr>
          <w:rFonts w:asciiTheme="minorEastAsia" w:hAnsiTheme="minorEastAsia" w:cs="Arial"/>
          <w:kern w:val="0"/>
          <w:sz w:val="24"/>
          <w:szCs w:val="24"/>
        </w:rPr>
        <w:t xml:space="preserve">证券投资基金基金合同》 </w:t>
      </w:r>
    </w:p>
    <w:p w14:paraId="0A238F6E"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（三）《富荣研究优选</w:t>
      </w:r>
      <w:r>
        <w:rPr>
          <w:rFonts w:asciiTheme="minorEastAsia" w:hAnsiTheme="minorEastAsia" w:cs="Arial" w:hint="eastAsia"/>
          <w:kern w:val="0"/>
          <w:sz w:val="24"/>
          <w:szCs w:val="24"/>
        </w:rPr>
        <w:t>混合型</w:t>
      </w:r>
      <w:r>
        <w:rPr>
          <w:rFonts w:asciiTheme="minorEastAsia" w:hAnsiTheme="minorEastAsia" w:cs="Arial"/>
          <w:kern w:val="0"/>
          <w:sz w:val="24"/>
          <w:szCs w:val="24"/>
        </w:rPr>
        <w:t xml:space="preserve">证券投资基金托管协议》 </w:t>
      </w:r>
    </w:p>
    <w:p w14:paraId="1142201E"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（四）基金管理人业务资格批件、营业执照</w:t>
      </w:r>
    </w:p>
    <w:p w14:paraId="30D6D85F"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（五）基金托管人业务资格批件、营业执照</w:t>
      </w:r>
    </w:p>
    <w:p w14:paraId="3D377434"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富荣研究优选</w:t>
      </w:r>
      <w:r>
        <w:rPr>
          <w:rFonts w:asciiTheme="minorEastAsia" w:hAnsiTheme="minorEastAsia" w:cs="Arial" w:hint="eastAsia"/>
          <w:kern w:val="0"/>
          <w:sz w:val="24"/>
          <w:szCs w:val="24"/>
        </w:rPr>
        <w:t>混合型</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1371B181"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（七）中国证监会要求的其他文件</w:t>
      </w:r>
    </w:p>
    <w:p w14:paraId="0BB367B3"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查阅方式：投资者可在营业时间免费查阅，也可按工本费购买复印件。</w:t>
      </w:r>
    </w:p>
    <w:p w14:paraId="403E8128" w14:textId="77777777" w:rsidR="00A10969" w:rsidRDefault="00A1096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1924C8CF" w14:textId="77777777" w:rsidR="00A10969" w:rsidRDefault="00A1096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1882C5F2" w14:textId="77777777" w:rsidR="00A10969" w:rsidRDefault="00A1096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7C87DE90" w14:textId="77777777" w:rsidR="00A10969" w:rsidRDefault="00A1096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52854C73" w14:textId="77777777" w:rsidR="00A10969" w:rsidRDefault="00A1096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65EAF137" w14:textId="77777777" w:rsidR="00A10969" w:rsidRDefault="00A1096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225AD8F6" w14:textId="77777777" w:rsidR="00A10969" w:rsidRDefault="00A1096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0E693BEB" w14:textId="77777777" w:rsidR="009D10D8" w:rsidRDefault="009E4577">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富荣基金管理有限公司 </w:t>
      </w:r>
    </w:p>
    <w:p w14:paraId="762C5B58" w14:textId="06FF7870" w:rsidR="009D10D8" w:rsidRDefault="00A10969">
      <w:pPr>
        <w:widowControl/>
        <w:adjustRightInd w:val="0"/>
        <w:snapToGrid w:val="0"/>
        <w:spacing w:line="360" w:lineRule="auto"/>
        <w:ind w:rightChars="-85" w:right="-178"/>
        <w:jc w:val="right"/>
      </w:pPr>
      <w:r>
        <w:rPr>
          <w:rFonts w:asciiTheme="minorEastAsia" w:hAnsiTheme="minorEastAsia" w:cs="Arial" w:hint="eastAsia"/>
          <w:kern w:val="0"/>
          <w:sz w:val="24"/>
          <w:szCs w:val="24"/>
        </w:rPr>
        <w:t>202</w:t>
      </w:r>
      <w:r w:rsidR="00AB09B7">
        <w:rPr>
          <w:rFonts w:asciiTheme="minorEastAsia" w:hAnsiTheme="minorEastAsia" w:cs="Arial" w:hint="eastAsia"/>
          <w:kern w:val="0"/>
          <w:sz w:val="24"/>
          <w:szCs w:val="24"/>
        </w:rPr>
        <w:t>5</w:t>
      </w:r>
      <w:r w:rsidR="009E4577">
        <w:rPr>
          <w:rFonts w:asciiTheme="minorEastAsia" w:hAnsiTheme="minorEastAsia" w:cs="Arial" w:hint="eastAsia"/>
          <w:kern w:val="0"/>
          <w:sz w:val="24"/>
          <w:szCs w:val="24"/>
        </w:rPr>
        <w:t>年</w:t>
      </w:r>
      <w:r w:rsidR="00CE2C42">
        <w:rPr>
          <w:rFonts w:asciiTheme="minorEastAsia" w:hAnsiTheme="minorEastAsia" w:cs="Arial" w:hint="eastAsia"/>
          <w:kern w:val="0"/>
          <w:sz w:val="24"/>
          <w:szCs w:val="24"/>
        </w:rPr>
        <w:t>8</w:t>
      </w:r>
      <w:r w:rsidR="009E4577">
        <w:rPr>
          <w:rFonts w:asciiTheme="minorEastAsia" w:hAnsiTheme="minorEastAsia" w:cs="Arial" w:hint="eastAsia"/>
          <w:kern w:val="0"/>
          <w:sz w:val="24"/>
          <w:szCs w:val="24"/>
        </w:rPr>
        <w:t xml:space="preserve"> 月 </w:t>
      </w:r>
      <w:r w:rsidR="00395D42">
        <w:rPr>
          <w:rFonts w:asciiTheme="minorEastAsia" w:hAnsiTheme="minorEastAsia" w:cs="Arial" w:hint="eastAsia"/>
          <w:kern w:val="0"/>
          <w:sz w:val="24"/>
          <w:szCs w:val="24"/>
        </w:rPr>
        <w:t>8</w:t>
      </w:r>
      <w:r w:rsidR="009E4577">
        <w:rPr>
          <w:rFonts w:asciiTheme="minorEastAsia" w:hAnsiTheme="minorEastAsia" w:cs="Arial" w:hint="eastAsia"/>
          <w:kern w:val="0"/>
          <w:sz w:val="24"/>
          <w:szCs w:val="24"/>
        </w:rPr>
        <w:t xml:space="preserve"> 日</w:t>
      </w:r>
    </w:p>
    <w:p w14:paraId="1EB928EB" w14:textId="77777777" w:rsidR="009D10D8" w:rsidRDefault="009D10D8">
      <w:pPr>
        <w:widowControl/>
        <w:jc w:val="left"/>
        <w:rPr>
          <w:rFonts w:asciiTheme="minorEastAsia" w:hAnsiTheme="minorEastAsia" w:cs="Arial" w:hint="eastAsia"/>
          <w:kern w:val="0"/>
          <w:sz w:val="24"/>
          <w:szCs w:val="24"/>
        </w:rPr>
      </w:pPr>
    </w:p>
    <w:p w14:paraId="40639337" w14:textId="77777777" w:rsidR="009D10D8" w:rsidRDefault="009D10D8">
      <w:pPr>
        <w:widowControl/>
        <w:adjustRightInd w:val="0"/>
        <w:snapToGrid w:val="0"/>
        <w:spacing w:line="360" w:lineRule="auto"/>
        <w:ind w:rightChars="-85" w:right="-178" w:firstLineChars="200" w:firstLine="420"/>
        <w:jc w:val="right"/>
        <w:rPr>
          <w:rFonts w:ascii="Arial" w:eastAsia="宋体" w:hAnsi="Arial" w:cs="Arial"/>
          <w:kern w:val="0"/>
          <w:szCs w:val="21"/>
        </w:rPr>
      </w:pPr>
    </w:p>
    <w:sectPr w:rsidR="009D10D8" w:rsidSect="00701305">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D5A696" w14:textId="77777777" w:rsidR="007845DC" w:rsidRDefault="007845DC">
      <w:r>
        <w:separator/>
      </w:r>
    </w:p>
  </w:endnote>
  <w:endnote w:type="continuationSeparator" w:id="0">
    <w:p w14:paraId="5BF11CDB" w14:textId="77777777" w:rsidR="007845DC" w:rsidRDefault="007845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微软雅黑"/>
    <w:charset w:val="86"/>
    <w:family w:val="auto"/>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微软雅黑"/>
    <w:charset w:val="00"/>
    <w:family w:val="auto"/>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801C6A" w14:textId="77777777" w:rsidR="00CF6734" w:rsidRDefault="00CF6734">
    <w:pPr>
      <w:pStyle w:val="a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08632575"/>
    </w:sdtPr>
    <w:sdtContent>
      <w:p w14:paraId="10050DFB" w14:textId="7A15F232" w:rsidR="00CF6734" w:rsidRDefault="00CF6734">
        <w:pPr>
          <w:pStyle w:val="af2"/>
          <w:jc w:val="center"/>
        </w:pPr>
        <w:r>
          <w:rPr>
            <w:lang w:val="zh-CN"/>
          </w:rPr>
          <w:fldChar w:fldCharType="begin"/>
        </w:r>
        <w:r>
          <w:rPr>
            <w:lang w:val="zh-CN"/>
          </w:rPr>
          <w:instrText>PAGE   \* MERGEFORMAT</w:instrText>
        </w:r>
        <w:r>
          <w:rPr>
            <w:lang w:val="zh-CN"/>
          </w:rPr>
          <w:fldChar w:fldCharType="separate"/>
        </w:r>
        <w:r w:rsidR="00FB191A">
          <w:rPr>
            <w:noProof/>
            <w:lang w:val="zh-CN"/>
          </w:rPr>
          <w:t>3</w:t>
        </w:r>
        <w:r>
          <w:rPr>
            <w:lang w:val="zh-CN"/>
          </w:rPr>
          <w:fldChar w:fldCharType="end"/>
        </w:r>
      </w:p>
    </w:sdtContent>
  </w:sdt>
  <w:p w14:paraId="48923DB7" w14:textId="77777777" w:rsidR="00CF6734" w:rsidRDefault="00CF6734">
    <w:pPr>
      <w:pStyle w:val="af2"/>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941F17" w14:textId="77777777" w:rsidR="00CF6734" w:rsidRDefault="00CF6734">
    <w:pPr>
      <w:pStyle w:val="af2"/>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1473134"/>
    </w:sdtPr>
    <w:sdtContent>
      <w:p w14:paraId="4FBE80E4" w14:textId="19734C7B" w:rsidR="00CF6734" w:rsidRDefault="00CF6734">
        <w:pPr>
          <w:pStyle w:val="af2"/>
          <w:jc w:val="center"/>
        </w:pPr>
        <w:r>
          <w:rPr>
            <w:lang w:val="zh-CN"/>
          </w:rPr>
          <w:fldChar w:fldCharType="begin"/>
        </w:r>
        <w:r>
          <w:rPr>
            <w:lang w:val="zh-CN"/>
          </w:rPr>
          <w:instrText>PAGE   \* MERGEFORMAT</w:instrText>
        </w:r>
        <w:r>
          <w:rPr>
            <w:lang w:val="zh-CN"/>
          </w:rPr>
          <w:fldChar w:fldCharType="separate"/>
        </w:r>
        <w:r w:rsidR="00FB191A">
          <w:rPr>
            <w:noProof/>
            <w:lang w:val="zh-CN"/>
          </w:rPr>
          <w:t>4</w:t>
        </w:r>
        <w:r>
          <w:rPr>
            <w:lang w:val="zh-CN"/>
          </w:rPr>
          <w:fldChar w:fldCharType="end"/>
        </w:r>
      </w:p>
    </w:sdtContent>
  </w:sdt>
  <w:p w14:paraId="5A638F15" w14:textId="77777777" w:rsidR="00CF6734" w:rsidRDefault="00CF6734">
    <w:pPr>
      <w:pStyle w:val="af2"/>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43926611"/>
    </w:sdtPr>
    <w:sdtContent>
      <w:p w14:paraId="3F505121" w14:textId="1F4A8E6A" w:rsidR="00CF6734" w:rsidRDefault="00CF6734">
        <w:pPr>
          <w:pStyle w:val="af2"/>
          <w:jc w:val="center"/>
        </w:pPr>
        <w:r>
          <w:rPr>
            <w:lang w:val="zh-CN"/>
          </w:rPr>
          <w:fldChar w:fldCharType="begin"/>
        </w:r>
        <w:r>
          <w:rPr>
            <w:lang w:val="zh-CN"/>
          </w:rPr>
          <w:instrText>PAGE   \* MERGEFORMAT</w:instrText>
        </w:r>
        <w:r>
          <w:rPr>
            <w:lang w:val="zh-CN"/>
          </w:rPr>
          <w:fldChar w:fldCharType="separate"/>
        </w:r>
        <w:r w:rsidR="00FB191A">
          <w:rPr>
            <w:noProof/>
            <w:lang w:val="zh-CN"/>
          </w:rPr>
          <w:t>9</w:t>
        </w:r>
        <w:r>
          <w:rPr>
            <w:lang w:val="zh-CN"/>
          </w:rPr>
          <w:fldChar w:fldCharType="end"/>
        </w:r>
      </w:p>
    </w:sdtContent>
  </w:sdt>
  <w:p w14:paraId="6BCBAF61" w14:textId="77777777" w:rsidR="00CF6734" w:rsidRDefault="00CF6734">
    <w:pPr>
      <w:pStyle w:val="af2"/>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20737179"/>
    </w:sdtPr>
    <w:sdtContent>
      <w:p w14:paraId="0DC7373C" w14:textId="50DC1D25" w:rsidR="00CF6734" w:rsidRDefault="00CF6734">
        <w:pPr>
          <w:pStyle w:val="af2"/>
          <w:jc w:val="center"/>
        </w:pPr>
        <w:r>
          <w:rPr>
            <w:lang w:val="zh-CN"/>
          </w:rPr>
          <w:fldChar w:fldCharType="begin"/>
        </w:r>
        <w:r>
          <w:rPr>
            <w:lang w:val="zh-CN"/>
          </w:rPr>
          <w:instrText>PAGE   \* MERGEFORMAT</w:instrText>
        </w:r>
        <w:r>
          <w:rPr>
            <w:lang w:val="zh-CN"/>
          </w:rPr>
          <w:fldChar w:fldCharType="separate"/>
        </w:r>
        <w:r w:rsidR="00FB191A">
          <w:rPr>
            <w:noProof/>
            <w:lang w:val="zh-CN"/>
          </w:rPr>
          <w:t>23</w:t>
        </w:r>
        <w:r>
          <w:rPr>
            <w:lang w:val="zh-CN"/>
          </w:rPr>
          <w:fldChar w:fldCharType="end"/>
        </w:r>
      </w:p>
    </w:sdtContent>
  </w:sdt>
  <w:p w14:paraId="2E9EA502" w14:textId="77777777" w:rsidR="00CF6734" w:rsidRDefault="00CF6734">
    <w:pPr>
      <w:pStyle w:val="af2"/>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22465510"/>
    </w:sdtPr>
    <w:sdtContent>
      <w:p w14:paraId="7C9EA6D5" w14:textId="379E1458" w:rsidR="00CF6734" w:rsidRDefault="00CF6734">
        <w:pPr>
          <w:pStyle w:val="af2"/>
          <w:jc w:val="center"/>
        </w:pPr>
        <w:r>
          <w:rPr>
            <w:lang w:val="zh-CN"/>
          </w:rPr>
          <w:fldChar w:fldCharType="begin"/>
        </w:r>
        <w:r>
          <w:rPr>
            <w:lang w:val="zh-CN"/>
          </w:rPr>
          <w:instrText>PAGE   \* MERGEFORMAT</w:instrText>
        </w:r>
        <w:r>
          <w:rPr>
            <w:lang w:val="zh-CN"/>
          </w:rPr>
          <w:fldChar w:fldCharType="separate"/>
        </w:r>
        <w:r w:rsidR="00FB191A">
          <w:rPr>
            <w:noProof/>
            <w:lang w:val="zh-CN"/>
          </w:rPr>
          <w:t>40</w:t>
        </w:r>
        <w:r>
          <w:rPr>
            <w:lang w:val="zh-CN"/>
          </w:rPr>
          <w:fldChar w:fldCharType="end"/>
        </w:r>
      </w:p>
    </w:sdtContent>
  </w:sdt>
  <w:p w14:paraId="5D9ECF58" w14:textId="77777777" w:rsidR="00CF6734" w:rsidRDefault="00CF6734">
    <w:pPr>
      <w:pStyle w:val="af2"/>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2677094"/>
    </w:sdtPr>
    <w:sdtContent>
      <w:p w14:paraId="28516696" w14:textId="21670901" w:rsidR="00CF6734" w:rsidRDefault="00CF6734">
        <w:pPr>
          <w:pStyle w:val="af2"/>
          <w:jc w:val="center"/>
        </w:pPr>
        <w:r>
          <w:rPr>
            <w:lang w:val="zh-CN"/>
          </w:rPr>
          <w:fldChar w:fldCharType="begin"/>
        </w:r>
        <w:r>
          <w:rPr>
            <w:lang w:val="zh-CN"/>
          </w:rPr>
          <w:instrText>PAGE   \* MERGEFORMAT</w:instrText>
        </w:r>
        <w:r>
          <w:rPr>
            <w:lang w:val="zh-CN"/>
          </w:rPr>
          <w:fldChar w:fldCharType="separate"/>
        </w:r>
        <w:r w:rsidR="00FB191A">
          <w:rPr>
            <w:noProof/>
            <w:lang w:val="zh-CN"/>
          </w:rPr>
          <w:t>41</w:t>
        </w:r>
        <w:r>
          <w:rPr>
            <w:lang w:val="zh-CN"/>
          </w:rPr>
          <w:fldChar w:fldCharType="end"/>
        </w:r>
      </w:p>
    </w:sdtContent>
  </w:sdt>
  <w:p w14:paraId="55D94CAD" w14:textId="77777777" w:rsidR="00CF6734" w:rsidRDefault="00CF6734">
    <w:pPr>
      <w:pStyle w:val="af2"/>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0824264"/>
    </w:sdtPr>
    <w:sdtContent>
      <w:p w14:paraId="17313BF5" w14:textId="5BC0D6F2" w:rsidR="00CF6734" w:rsidRDefault="00CF6734">
        <w:pPr>
          <w:pStyle w:val="af2"/>
          <w:jc w:val="center"/>
        </w:pPr>
        <w:r>
          <w:rPr>
            <w:lang w:val="zh-CN"/>
          </w:rPr>
          <w:fldChar w:fldCharType="begin"/>
        </w:r>
        <w:r>
          <w:rPr>
            <w:lang w:val="zh-CN"/>
          </w:rPr>
          <w:instrText>PAGE   \* MERGEFORMAT</w:instrText>
        </w:r>
        <w:r>
          <w:rPr>
            <w:lang w:val="zh-CN"/>
          </w:rPr>
          <w:fldChar w:fldCharType="separate"/>
        </w:r>
        <w:r w:rsidR="00FB191A">
          <w:rPr>
            <w:noProof/>
            <w:lang w:val="zh-CN"/>
          </w:rPr>
          <w:t>42</w:t>
        </w:r>
        <w:r>
          <w:rPr>
            <w:lang w:val="zh-CN"/>
          </w:rPr>
          <w:fldChar w:fldCharType="end"/>
        </w:r>
      </w:p>
    </w:sdtContent>
  </w:sdt>
  <w:p w14:paraId="56D5F25B" w14:textId="77777777" w:rsidR="00CF6734" w:rsidRDefault="00CF6734">
    <w:pPr>
      <w:pStyle w:val="af2"/>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30503540"/>
    </w:sdtPr>
    <w:sdtContent>
      <w:p w14:paraId="4EBD75D5" w14:textId="49D95C0E" w:rsidR="00CF6734" w:rsidRDefault="00CF6734">
        <w:pPr>
          <w:pStyle w:val="af2"/>
          <w:jc w:val="center"/>
        </w:pPr>
        <w:r>
          <w:rPr>
            <w:lang w:val="zh-CN"/>
          </w:rPr>
          <w:fldChar w:fldCharType="begin"/>
        </w:r>
        <w:r>
          <w:rPr>
            <w:lang w:val="zh-CN"/>
          </w:rPr>
          <w:instrText>PAGE   \* MERGEFORMAT</w:instrText>
        </w:r>
        <w:r>
          <w:rPr>
            <w:lang w:val="zh-CN"/>
          </w:rPr>
          <w:fldChar w:fldCharType="separate"/>
        </w:r>
        <w:r w:rsidR="00FB191A">
          <w:rPr>
            <w:noProof/>
            <w:lang w:val="zh-CN"/>
          </w:rPr>
          <w:t>101</w:t>
        </w:r>
        <w:r>
          <w:rPr>
            <w:lang w:val="zh-CN"/>
          </w:rPr>
          <w:fldChar w:fldCharType="end"/>
        </w:r>
      </w:p>
    </w:sdtContent>
  </w:sdt>
  <w:p w14:paraId="1D49891B" w14:textId="77777777" w:rsidR="00CF6734" w:rsidRDefault="00CF6734">
    <w:pPr>
      <w:pStyle w:val="af2"/>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56314526"/>
    </w:sdtPr>
    <w:sdtContent>
      <w:p w14:paraId="69ED0C5E" w14:textId="01616C69" w:rsidR="00CF6734" w:rsidRDefault="00CF6734">
        <w:pPr>
          <w:pStyle w:val="af2"/>
          <w:jc w:val="center"/>
        </w:pPr>
        <w:r>
          <w:rPr>
            <w:lang w:val="zh-CN"/>
          </w:rPr>
          <w:fldChar w:fldCharType="begin"/>
        </w:r>
        <w:r>
          <w:rPr>
            <w:lang w:val="zh-CN"/>
          </w:rPr>
          <w:instrText>PAGE   \* MERGEFORMAT</w:instrText>
        </w:r>
        <w:r>
          <w:rPr>
            <w:lang w:val="zh-CN"/>
          </w:rPr>
          <w:fldChar w:fldCharType="separate"/>
        </w:r>
        <w:r w:rsidR="00FB191A">
          <w:rPr>
            <w:noProof/>
            <w:lang w:val="zh-CN"/>
          </w:rPr>
          <w:t>103</w:t>
        </w:r>
        <w:r>
          <w:rPr>
            <w:lang w:val="zh-CN"/>
          </w:rPr>
          <w:fldChar w:fldCharType="end"/>
        </w:r>
      </w:p>
    </w:sdtContent>
  </w:sdt>
  <w:p w14:paraId="46005D4C" w14:textId="77777777" w:rsidR="00CF6734" w:rsidRDefault="00CF6734">
    <w:pPr>
      <w:pStyle w:val="af2"/>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6391200"/>
    </w:sdtPr>
    <w:sdtContent>
      <w:p w14:paraId="2DAC1714" w14:textId="51F6F827" w:rsidR="00CF6734" w:rsidRDefault="00CF6734">
        <w:pPr>
          <w:pStyle w:val="af2"/>
          <w:jc w:val="center"/>
        </w:pPr>
        <w:r>
          <w:rPr>
            <w:lang w:val="zh-CN"/>
          </w:rPr>
          <w:fldChar w:fldCharType="begin"/>
        </w:r>
        <w:r>
          <w:rPr>
            <w:lang w:val="zh-CN"/>
          </w:rPr>
          <w:instrText>PAGE   \* MERGEFORMAT</w:instrText>
        </w:r>
        <w:r>
          <w:rPr>
            <w:lang w:val="zh-CN"/>
          </w:rPr>
          <w:fldChar w:fldCharType="separate"/>
        </w:r>
        <w:r w:rsidR="00FB191A">
          <w:rPr>
            <w:noProof/>
            <w:lang w:val="zh-CN"/>
          </w:rPr>
          <w:t>142</w:t>
        </w:r>
        <w:r>
          <w:rPr>
            <w:lang w:val="zh-CN"/>
          </w:rPr>
          <w:fldChar w:fldCharType="end"/>
        </w:r>
      </w:p>
    </w:sdtContent>
  </w:sdt>
  <w:p w14:paraId="3DFE33F5" w14:textId="77777777" w:rsidR="00CF6734" w:rsidRDefault="00CF6734">
    <w:pPr>
      <w:pStyle w:val="af2"/>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97491673"/>
    </w:sdtPr>
    <w:sdtContent>
      <w:p w14:paraId="7AE72A81" w14:textId="1C70560C" w:rsidR="00CF6734" w:rsidRDefault="00CF6734">
        <w:pPr>
          <w:pStyle w:val="af2"/>
          <w:jc w:val="center"/>
        </w:pPr>
        <w:r>
          <w:rPr>
            <w:lang w:val="zh-CN"/>
          </w:rPr>
          <w:fldChar w:fldCharType="begin"/>
        </w:r>
        <w:r>
          <w:rPr>
            <w:lang w:val="zh-CN"/>
          </w:rPr>
          <w:instrText>PAGE   \* MERGEFORMAT</w:instrText>
        </w:r>
        <w:r>
          <w:rPr>
            <w:lang w:val="zh-CN"/>
          </w:rPr>
          <w:fldChar w:fldCharType="separate"/>
        </w:r>
        <w:r w:rsidR="00FB191A">
          <w:rPr>
            <w:noProof/>
            <w:lang w:val="zh-CN"/>
          </w:rPr>
          <w:t>144</w:t>
        </w:r>
        <w:r>
          <w:rPr>
            <w:lang w:val="zh-CN"/>
          </w:rPr>
          <w:fldChar w:fldCharType="end"/>
        </w:r>
      </w:p>
    </w:sdtContent>
  </w:sdt>
  <w:p w14:paraId="115698DE" w14:textId="77777777" w:rsidR="00CF6734" w:rsidRDefault="00CF6734">
    <w:pPr>
      <w:pStyle w:val="af2"/>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5544669"/>
      <w:docPartObj>
        <w:docPartGallery w:val="Page Numbers (Bottom of Page)"/>
        <w:docPartUnique/>
      </w:docPartObj>
    </w:sdtPr>
    <w:sdtContent>
      <w:p w14:paraId="10E44508" w14:textId="13537EFC" w:rsidR="00CF6734" w:rsidRDefault="00CF6734">
        <w:pPr>
          <w:pStyle w:val="af2"/>
          <w:jc w:val="center"/>
        </w:pPr>
        <w:r>
          <w:fldChar w:fldCharType="begin"/>
        </w:r>
        <w:r>
          <w:instrText>PAGE   \* MERGEFORMAT</w:instrText>
        </w:r>
        <w:r>
          <w:fldChar w:fldCharType="separate"/>
        </w:r>
        <w:r w:rsidR="00FB191A" w:rsidRPr="00FB191A">
          <w:rPr>
            <w:noProof/>
            <w:lang w:val="zh-CN"/>
          </w:rPr>
          <w:t>149</w:t>
        </w:r>
        <w:r>
          <w:fldChar w:fldCharType="end"/>
        </w:r>
      </w:p>
    </w:sdtContent>
  </w:sdt>
  <w:p w14:paraId="5450886E" w14:textId="77777777" w:rsidR="00CF6734" w:rsidRDefault="00CF6734">
    <w:pPr>
      <w:pStyle w:val="af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47D3E3" w14:textId="77777777" w:rsidR="007845DC" w:rsidRDefault="007845DC">
      <w:r>
        <w:separator/>
      </w:r>
    </w:p>
  </w:footnote>
  <w:footnote w:type="continuationSeparator" w:id="0">
    <w:p w14:paraId="37EDD41A" w14:textId="77777777" w:rsidR="007845DC" w:rsidRDefault="007845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521206" w14:textId="77777777" w:rsidR="00CF6734" w:rsidRDefault="00CF6734">
    <w:pPr>
      <w:pStyle w:val="af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EA5BBE" w14:textId="11BC0747" w:rsidR="00CF6734" w:rsidRDefault="00CF6734">
    <w:pPr>
      <w:pStyle w:val="af4"/>
      <w:jc w:val="both"/>
    </w:pPr>
    <w:r>
      <w:rPr>
        <w:rFonts w:ascii="Arial" w:hAnsi="Arial" w:cs="Arial" w:hint="eastAsia"/>
        <w:szCs w:val="21"/>
      </w:rPr>
      <w:t>富荣研究优选混合型证券投资基金更新的</w:t>
    </w:r>
    <w:r>
      <w:rPr>
        <w:rFonts w:hint="eastAsia"/>
      </w:rPr>
      <w:t>招募说明书（</w:t>
    </w:r>
    <w:r>
      <w:rPr>
        <w:rFonts w:hint="eastAsia"/>
      </w:rPr>
      <w:t>2025</w:t>
    </w:r>
    <w:r>
      <w:rPr>
        <w:rFonts w:hint="eastAsia"/>
      </w:rPr>
      <w:t>年第</w:t>
    </w:r>
    <w:r>
      <w:rPr>
        <w:rFonts w:hint="eastAsia"/>
      </w:rPr>
      <w:t>2</w:t>
    </w:r>
    <w:r>
      <w:rPr>
        <w:rFonts w:hint="eastAsia"/>
      </w:rPr>
      <w:t>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41F7B4" w14:textId="77777777" w:rsidR="00CF6734" w:rsidRDefault="00CF6734">
    <w:pPr>
      <w:pStyle w:val="af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3473C0F"/>
    <w:multiLevelType w:val="multilevel"/>
    <w:tmpl w:val="13473C0F"/>
    <w:lvl w:ilvl="0">
      <w:start w:val="1"/>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887692281">
    <w:abstractNumId w:val="0"/>
  </w:num>
  <w:num w:numId="2" w16cid:durableId="1471021896">
    <w:abstractNumId w:val="1"/>
  </w:num>
  <w:num w:numId="3" w16cid:durableId="1417557202">
    <w:abstractNumId w:val="2"/>
  </w:num>
  <w:num w:numId="4" w16cid:durableId="73813585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8189830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F7FFB5BE"/>
    <w:rsid w:val="00001E24"/>
    <w:rsid w:val="0000336D"/>
    <w:rsid w:val="00007E80"/>
    <w:rsid w:val="00007F8E"/>
    <w:rsid w:val="0001082F"/>
    <w:rsid w:val="00011E0C"/>
    <w:rsid w:val="00014A4A"/>
    <w:rsid w:val="000150A1"/>
    <w:rsid w:val="0001528A"/>
    <w:rsid w:val="00016B2F"/>
    <w:rsid w:val="00020EB7"/>
    <w:rsid w:val="000213BB"/>
    <w:rsid w:val="00021C6F"/>
    <w:rsid w:val="00023057"/>
    <w:rsid w:val="00024EED"/>
    <w:rsid w:val="00024F19"/>
    <w:rsid w:val="00025ADD"/>
    <w:rsid w:val="00026284"/>
    <w:rsid w:val="00026A47"/>
    <w:rsid w:val="000304DE"/>
    <w:rsid w:val="00030CC5"/>
    <w:rsid w:val="000324C3"/>
    <w:rsid w:val="00032C15"/>
    <w:rsid w:val="00034D9A"/>
    <w:rsid w:val="00036415"/>
    <w:rsid w:val="0003661E"/>
    <w:rsid w:val="00040033"/>
    <w:rsid w:val="000417AB"/>
    <w:rsid w:val="00041CC2"/>
    <w:rsid w:val="00041F00"/>
    <w:rsid w:val="000437AF"/>
    <w:rsid w:val="00043AE3"/>
    <w:rsid w:val="00043E2F"/>
    <w:rsid w:val="000449BA"/>
    <w:rsid w:val="000455CE"/>
    <w:rsid w:val="00045DF2"/>
    <w:rsid w:val="000507C1"/>
    <w:rsid w:val="00050E32"/>
    <w:rsid w:val="000515D1"/>
    <w:rsid w:val="0005270F"/>
    <w:rsid w:val="0005295B"/>
    <w:rsid w:val="00053F56"/>
    <w:rsid w:val="00053FD5"/>
    <w:rsid w:val="00055889"/>
    <w:rsid w:val="00055F60"/>
    <w:rsid w:val="000570B2"/>
    <w:rsid w:val="000579D5"/>
    <w:rsid w:val="00057A6D"/>
    <w:rsid w:val="0006090B"/>
    <w:rsid w:val="00061EFE"/>
    <w:rsid w:val="00062169"/>
    <w:rsid w:val="00062C1B"/>
    <w:rsid w:val="00063460"/>
    <w:rsid w:val="00063887"/>
    <w:rsid w:val="00063FB4"/>
    <w:rsid w:val="0006474E"/>
    <w:rsid w:val="00065FA9"/>
    <w:rsid w:val="00066597"/>
    <w:rsid w:val="000671C9"/>
    <w:rsid w:val="00070358"/>
    <w:rsid w:val="00071C0B"/>
    <w:rsid w:val="00072066"/>
    <w:rsid w:val="00072559"/>
    <w:rsid w:val="000735E4"/>
    <w:rsid w:val="000740F2"/>
    <w:rsid w:val="00075112"/>
    <w:rsid w:val="00076BAE"/>
    <w:rsid w:val="00076E9C"/>
    <w:rsid w:val="000775DC"/>
    <w:rsid w:val="000776EE"/>
    <w:rsid w:val="000807B7"/>
    <w:rsid w:val="000817BB"/>
    <w:rsid w:val="000820F4"/>
    <w:rsid w:val="00084A9D"/>
    <w:rsid w:val="000901D4"/>
    <w:rsid w:val="00092FE3"/>
    <w:rsid w:val="00093B11"/>
    <w:rsid w:val="00094942"/>
    <w:rsid w:val="0009505B"/>
    <w:rsid w:val="0009610D"/>
    <w:rsid w:val="00096D0E"/>
    <w:rsid w:val="000A07FA"/>
    <w:rsid w:val="000A09DD"/>
    <w:rsid w:val="000A0F82"/>
    <w:rsid w:val="000A1798"/>
    <w:rsid w:val="000A2809"/>
    <w:rsid w:val="000A3482"/>
    <w:rsid w:val="000A34E4"/>
    <w:rsid w:val="000A351C"/>
    <w:rsid w:val="000A4496"/>
    <w:rsid w:val="000A53A9"/>
    <w:rsid w:val="000B0075"/>
    <w:rsid w:val="000B0476"/>
    <w:rsid w:val="000B3BDB"/>
    <w:rsid w:val="000B467C"/>
    <w:rsid w:val="000B4DA0"/>
    <w:rsid w:val="000B6836"/>
    <w:rsid w:val="000B720D"/>
    <w:rsid w:val="000B7428"/>
    <w:rsid w:val="000B7ACE"/>
    <w:rsid w:val="000C00C5"/>
    <w:rsid w:val="000C0BDF"/>
    <w:rsid w:val="000C1E78"/>
    <w:rsid w:val="000C2A62"/>
    <w:rsid w:val="000C3020"/>
    <w:rsid w:val="000C36FD"/>
    <w:rsid w:val="000C3CAB"/>
    <w:rsid w:val="000C4C8F"/>
    <w:rsid w:val="000C6964"/>
    <w:rsid w:val="000D13F2"/>
    <w:rsid w:val="000D1C20"/>
    <w:rsid w:val="000D2964"/>
    <w:rsid w:val="000D2A86"/>
    <w:rsid w:val="000D2BAE"/>
    <w:rsid w:val="000D3337"/>
    <w:rsid w:val="000D4699"/>
    <w:rsid w:val="000D525E"/>
    <w:rsid w:val="000D7F1C"/>
    <w:rsid w:val="000E1E9B"/>
    <w:rsid w:val="000E3D34"/>
    <w:rsid w:val="000E4187"/>
    <w:rsid w:val="000E7BCA"/>
    <w:rsid w:val="000F1852"/>
    <w:rsid w:val="000F4000"/>
    <w:rsid w:val="000F4E57"/>
    <w:rsid w:val="000F5114"/>
    <w:rsid w:val="000F5C40"/>
    <w:rsid w:val="000F63F5"/>
    <w:rsid w:val="000F685B"/>
    <w:rsid w:val="000F6B6F"/>
    <w:rsid w:val="00100EB0"/>
    <w:rsid w:val="00101ED0"/>
    <w:rsid w:val="00102D5B"/>
    <w:rsid w:val="0010455F"/>
    <w:rsid w:val="00105BC6"/>
    <w:rsid w:val="00107B18"/>
    <w:rsid w:val="00110756"/>
    <w:rsid w:val="00111FD3"/>
    <w:rsid w:val="00112609"/>
    <w:rsid w:val="00112ACF"/>
    <w:rsid w:val="00114C8C"/>
    <w:rsid w:val="00115947"/>
    <w:rsid w:val="00116670"/>
    <w:rsid w:val="0012019B"/>
    <w:rsid w:val="001209F5"/>
    <w:rsid w:val="001225F3"/>
    <w:rsid w:val="0012332B"/>
    <w:rsid w:val="00127ED5"/>
    <w:rsid w:val="00127EE7"/>
    <w:rsid w:val="00130055"/>
    <w:rsid w:val="00132839"/>
    <w:rsid w:val="00135275"/>
    <w:rsid w:val="00136502"/>
    <w:rsid w:val="001369D9"/>
    <w:rsid w:val="001431F8"/>
    <w:rsid w:val="00144747"/>
    <w:rsid w:val="00145063"/>
    <w:rsid w:val="00147C35"/>
    <w:rsid w:val="00150AFC"/>
    <w:rsid w:val="0015138A"/>
    <w:rsid w:val="00151DB5"/>
    <w:rsid w:val="00152048"/>
    <w:rsid w:val="001548F6"/>
    <w:rsid w:val="001569AD"/>
    <w:rsid w:val="00157AF8"/>
    <w:rsid w:val="001609F9"/>
    <w:rsid w:val="001635EE"/>
    <w:rsid w:val="00166406"/>
    <w:rsid w:val="00166FE9"/>
    <w:rsid w:val="0016706A"/>
    <w:rsid w:val="001702A1"/>
    <w:rsid w:val="001704C2"/>
    <w:rsid w:val="001705BF"/>
    <w:rsid w:val="0017094D"/>
    <w:rsid w:val="00170C44"/>
    <w:rsid w:val="00170C4B"/>
    <w:rsid w:val="00171AF9"/>
    <w:rsid w:val="00171B39"/>
    <w:rsid w:val="00173C75"/>
    <w:rsid w:val="001745C9"/>
    <w:rsid w:val="001756AE"/>
    <w:rsid w:val="00175EFD"/>
    <w:rsid w:val="001815D7"/>
    <w:rsid w:val="00181F45"/>
    <w:rsid w:val="00184AAE"/>
    <w:rsid w:val="00184E9F"/>
    <w:rsid w:val="00185220"/>
    <w:rsid w:val="00185938"/>
    <w:rsid w:val="00186FFA"/>
    <w:rsid w:val="001939DE"/>
    <w:rsid w:val="001943FC"/>
    <w:rsid w:val="00194D9A"/>
    <w:rsid w:val="001952E5"/>
    <w:rsid w:val="00195BA6"/>
    <w:rsid w:val="00196862"/>
    <w:rsid w:val="00196FB7"/>
    <w:rsid w:val="00197F8C"/>
    <w:rsid w:val="001A0D71"/>
    <w:rsid w:val="001A0F3B"/>
    <w:rsid w:val="001A1315"/>
    <w:rsid w:val="001A1C76"/>
    <w:rsid w:val="001A3539"/>
    <w:rsid w:val="001A41F8"/>
    <w:rsid w:val="001A4CAD"/>
    <w:rsid w:val="001A6505"/>
    <w:rsid w:val="001A670B"/>
    <w:rsid w:val="001B0FE2"/>
    <w:rsid w:val="001B101B"/>
    <w:rsid w:val="001B1C13"/>
    <w:rsid w:val="001B23ED"/>
    <w:rsid w:val="001B3F49"/>
    <w:rsid w:val="001B413F"/>
    <w:rsid w:val="001B56E7"/>
    <w:rsid w:val="001B598D"/>
    <w:rsid w:val="001B5B83"/>
    <w:rsid w:val="001B716E"/>
    <w:rsid w:val="001C08B6"/>
    <w:rsid w:val="001C1D11"/>
    <w:rsid w:val="001C275F"/>
    <w:rsid w:val="001C2E09"/>
    <w:rsid w:val="001C404F"/>
    <w:rsid w:val="001C66FB"/>
    <w:rsid w:val="001C71D3"/>
    <w:rsid w:val="001C79DE"/>
    <w:rsid w:val="001C7D92"/>
    <w:rsid w:val="001D24DB"/>
    <w:rsid w:val="001D3C2F"/>
    <w:rsid w:val="001D4772"/>
    <w:rsid w:val="001E05E8"/>
    <w:rsid w:val="001E0E1D"/>
    <w:rsid w:val="001E3ADC"/>
    <w:rsid w:val="001E3B99"/>
    <w:rsid w:val="001E48AE"/>
    <w:rsid w:val="001E7C1E"/>
    <w:rsid w:val="001F029F"/>
    <w:rsid w:val="001F0DEC"/>
    <w:rsid w:val="001F141D"/>
    <w:rsid w:val="001F2A1F"/>
    <w:rsid w:val="001F2EE0"/>
    <w:rsid w:val="001F32BF"/>
    <w:rsid w:val="001F670C"/>
    <w:rsid w:val="001F6CAF"/>
    <w:rsid w:val="001F6E0D"/>
    <w:rsid w:val="001F7512"/>
    <w:rsid w:val="00201AB5"/>
    <w:rsid w:val="0020279D"/>
    <w:rsid w:val="00203D74"/>
    <w:rsid w:val="002040A3"/>
    <w:rsid w:val="002078F3"/>
    <w:rsid w:val="00207B12"/>
    <w:rsid w:val="00207C5C"/>
    <w:rsid w:val="00207CD5"/>
    <w:rsid w:val="00207EFA"/>
    <w:rsid w:val="00210437"/>
    <w:rsid w:val="00211085"/>
    <w:rsid w:val="00211B75"/>
    <w:rsid w:val="00212156"/>
    <w:rsid w:val="00212167"/>
    <w:rsid w:val="002126B2"/>
    <w:rsid w:val="002138DB"/>
    <w:rsid w:val="002210DF"/>
    <w:rsid w:val="00224418"/>
    <w:rsid w:val="00224EE1"/>
    <w:rsid w:val="0022597A"/>
    <w:rsid w:val="00225DB5"/>
    <w:rsid w:val="002262B3"/>
    <w:rsid w:val="002275A8"/>
    <w:rsid w:val="00227859"/>
    <w:rsid w:val="00227AD6"/>
    <w:rsid w:val="00227AFA"/>
    <w:rsid w:val="00230271"/>
    <w:rsid w:val="0023113A"/>
    <w:rsid w:val="00231927"/>
    <w:rsid w:val="00232510"/>
    <w:rsid w:val="00232779"/>
    <w:rsid w:val="002339E6"/>
    <w:rsid w:val="00234F40"/>
    <w:rsid w:val="0023618C"/>
    <w:rsid w:val="0023759E"/>
    <w:rsid w:val="0023788E"/>
    <w:rsid w:val="00241ACA"/>
    <w:rsid w:val="002430FE"/>
    <w:rsid w:val="002472F8"/>
    <w:rsid w:val="002507FE"/>
    <w:rsid w:val="0025184A"/>
    <w:rsid w:val="002518DB"/>
    <w:rsid w:val="00252C86"/>
    <w:rsid w:val="0025398C"/>
    <w:rsid w:val="00257F94"/>
    <w:rsid w:val="002601E9"/>
    <w:rsid w:val="00260AE0"/>
    <w:rsid w:val="0026217C"/>
    <w:rsid w:val="002622A9"/>
    <w:rsid w:val="00263BCA"/>
    <w:rsid w:val="00266917"/>
    <w:rsid w:val="00266A12"/>
    <w:rsid w:val="002701CE"/>
    <w:rsid w:val="00272867"/>
    <w:rsid w:val="00272F3A"/>
    <w:rsid w:val="00273FCA"/>
    <w:rsid w:val="002752C2"/>
    <w:rsid w:val="00275C95"/>
    <w:rsid w:val="002775A2"/>
    <w:rsid w:val="00282732"/>
    <w:rsid w:val="002834CB"/>
    <w:rsid w:val="00283A8E"/>
    <w:rsid w:val="00283E0C"/>
    <w:rsid w:val="00283F15"/>
    <w:rsid w:val="002841F3"/>
    <w:rsid w:val="002863C8"/>
    <w:rsid w:val="00291943"/>
    <w:rsid w:val="00291D52"/>
    <w:rsid w:val="00292E84"/>
    <w:rsid w:val="00293582"/>
    <w:rsid w:val="002940A2"/>
    <w:rsid w:val="00294C41"/>
    <w:rsid w:val="00295C02"/>
    <w:rsid w:val="00295EF8"/>
    <w:rsid w:val="002966EC"/>
    <w:rsid w:val="002A18EC"/>
    <w:rsid w:val="002A1DD0"/>
    <w:rsid w:val="002A6E10"/>
    <w:rsid w:val="002A7CB9"/>
    <w:rsid w:val="002B01D8"/>
    <w:rsid w:val="002B1A83"/>
    <w:rsid w:val="002B3281"/>
    <w:rsid w:val="002B3FE1"/>
    <w:rsid w:val="002B435D"/>
    <w:rsid w:val="002B4DD9"/>
    <w:rsid w:val="002B64A8"/>
    <w:rsid w:val="002B701E"/>
    <w:rsid w:val="002C29A4"/>
    <w:rsid w:val="002C385C"/>
    <w:rsid w:val="002C3C29"/>
    <w:rsid w:val="002C438F"/>
    <w:rsid w:val="002C60D4"/>
    <w:rsid w:val="002C6368"/>
    <w:rsid w:val="002D3234"/>
    <w:rsid w:val="002D32E2"/>
    <w:rsid w:val="002D33E0"/>
    <w:rsid w:val="002D581C"/>
    <w:rsid w:val="002E29A3"/>
    <w:rsid w:val="002E2B52"/>
    <w:rsid w:val="002E2D5E"/>
    <w:rsid w:val="002E342B"/>
    <w:rsid w:val="002E3582"/>
    <w:rsid w:val="002E4399"/>
    <w:rsid w:val="002E7690"/>
    <w:rsid w:val="002F097C"/>
    <w:rsid w:val="002F0AEB"/>
    <w:rsid w:val="002F27BA"/>
    <w:rsid w:val="002F3DFB"/>
    <w:rsid w:val="0030418D"/>
    <w:rsid w:val="003042BB"/>
    <w:rsid w:val="003049CB"/>
    <w:rsid w:val="00305747"/>
    <w:rsid w:val="0030641D"/>
    <w:rsid w:val="00307617"/>
    <w:rsid w:val="003079B5"/>
    <w:rsid w:val="00307A3B"/>
    <w:rsid w:val="00307AB6"/>
    <w:rsid w:val="003155E3"/>
    <w:rsid w:val="00315D57"/>
    <w:rsid w:val="0032059A"/>
    <w:rsid w:val="00324E41"/>
    <w:rsid w:val="00326A72"/>
    <w:rsid w:val="00326E04"/>
    <w:rsid w:val="00327DF4"/>
    <w:rsid w:val="00327F7E"/>
    <w:rsid w:val="0033271C"/>
    <w:rsid w:val="0033347C"/>
    <w:rsid w:val="00333E36"/>
    <w:rsid w:val="0033564F"/>
    <w:rsid w:val="00336927"/>
    <w:rsid w:val="00340466"/>
    <w:rsid w:val="0034084F"/>
    <w:rsid w:val="00341D19"/>
    <w:rsid w:val="00342432"/>
    <w:rsid w:val="00344461"/>
    <w:rsid w:val="003464BC"/>
    <w:rsid w:val="003464D5"/>
    <w:rsid w:val="00352C16"/>
    <w:rsid w:val="00353591"/>
    <w:rsid w:val="00354A44"/>
    <w:rsid w:val="003558A1"/>
    <w:rsid w:val="00355E38"/>
    <w:rsid w:val="003567DD"/>
    <w:rsid w:val="00357378"/>
    <w:rsid w:val="00357882"/>
    <w:rsid w:val="00361F09"/>
    <w:rsid w:val="00364E7A"/>
    <w:rsid w:val="00365C58"/>
    <w:rsid w:val="0036675B"/>
    <w:rsid w:val="0036697D"/>
    <w:rsid w:val="00367003"/>
    <w:rsid w:val="00367074"/>
    <w:rsid w:val="003679D5"/>
    <w:rsid w:val="00367E2C"/>
    <w:rsid w:val="00370B4F"/>
    <w:rsid w:val="00371EC6"/>
    <w:rsid w:val="00371ED5"/>
    <w:rsid w:val="00376750"/>
    <w:rsid w:val="00377542"/>
    <w:rsid w:val="00381810"/>
    <w:rsid w:val="00381F92"/>
    <w:rsid w:val="00384FAE"/>
    <w:rsid w:val="003857A0"/>
    <w:rsid w:val="00386A86"/>
    <w:rsid w:val="0038750D"/>
    <w:rsid w:val="00390719"/>
    <w:rsid w:val="00391651"/>
    <w:rsid w:val="003928DF"/>
    <w:rsid w:val="00392C0F"/>
    <w:rsid w:val="00394FC2"/>
    <w:rsid w:val="00395D42"/>
    <w:rsid w:val="003962D5"/>
    <w:rsid w:val="0039785F"/>
    <w:rsid w:val="00397AF5"/>
    <w:rsid w:val="003A1C92"/>
    <w:rsid w:val="003A2622"/>
    <w:rsid w:val="003A3022"/>
    <w:rsid w:val="003A6148"/>
    <w:rsid w:val="003A733C"/>
    <w:rsid w:val="003A78F9"/>
    <w:rsid w:val="003B2407"/>
    <w:rsid w:val="003B2B86"/>
    <w:rsid w:val="003B2C1E"/>
    <w:rsid w:val="003B318D"/>
    <w:rsid w:val="003B374D"/>
    <w:rsid w:val="003B3D76"/>
    <w:rsid w:val="003B42BB"/>
    <w:rsid w:val="003B55CE"/>
    <w:rsid w:val="003C0A28"/>
    <w:rsid w:val="003C12F6"/>
    <w:rsid w:val="003C3BD4"/>
    <w:rsid w:val="003C4E68"/>
    <w:rsid w:val="003C6950"/>
    <w:rsid w:val="003C71FB"/>
    <w:rsid w:val="003D25AE"/>
    <w:rsid w:val="003D32C5"/>
    <w:rsid w:val="003D3E7F"/>
    <w:rsid w:val="003D4F54"/>
    <w:rsid w:val="003D4F7C"/>
    <w:rsid w:val="003E33DE"/>
    <w:rsid w:val="003E608B"/>
    <w:rsid w:val="003E7547"/>
    <w:rsid w:val="003F024E"/>
    <w:rsid w:val="003F07F0"/>
    <w:rsid w:val="003F0D6B"/>
    <w:rsid w:val="003F1495"/>
    <w:rsid w:val="003F1645"/>
    <w:rsid w:val="003F2C03"/>
    <w:rsid w:val="003F2F14"/>
    <w:rsid w:val="003F3EBD"/>
    <w:rsid w:val="003F7179"/>
    <w:rsid w:val="003F71BA"/>
    <w:rsid w:val="0040162C"/>
    <w:rsid w:val="00402349"/>
    <w:rsid w:val="004052E3"/>
    <w:rsid w:val="004055CF"/>
    <w:rsid w:val="00405A20"/>
    <w:rsid w:val="00407289"/>
    <w:rsid w:val="0041093D"/>
    <w:rsid w:val="0041206B"/>
    <w:rsid w:val="00412850"/>
    <w:rsid w:val="00413B26"/>
    <w:rsid w:val="00416668"/>
    <w:rsid w:val="0041693E"/>
    <w:rsid w:val="00416A03"/>
    <w:rsid w:val="00416A30"/>
    <w:rsid w:val="00417728"/>
    <w:rsid w:val="00417E3F"/>
    <w:rsid w:val="0042002D"/>
    <w:rsid w:val="004212FB"/>
    <w:rsid w:val="00423971"/>
    <w:rsid w:val="00424206"/>
    <w:rsid w:val="004254CB"/>
    <w:rsid w:val="00427D57"/>
    <w:rsid w:val="0043056B"/>
    <w:rsid w:val="004307A3"/>
    <w:rsid w:val="00432722"/>
    <w:rsid w:val="00432BFD"/>
    <w:rsid w:val="004334EC"/>
    <w:rsid w:val="0043445B"/>
    <w:rsid w:val="004344F1"/>
    <w:rsid w:val="00434ACE"/>
    <w:rsid w:val="00434E0A"/>
    <w:rsid w:val="004353E6"/>
    <w:rsid w:val="00435458"/>
    <w:rsid w:val="00436233"/>
    <w:rsid w:val="0043660A"/>
    <w:rsid w:val="004366F9"/>
    <w:rsid w:val="00436D31"/>
    <w:rsid w:val="00437669"/>
    <w:rsid w:val="004419FB"/>
    <w:rsid w:val="004452AB"/>
    <w:rsid w:val="004459DE"/>
    <w:rsid w:val="00447A84"/>
    <w:rsid w:val="00451F4D"/>
    <w:rsid w:val="00453401"/>
    <w:rsid w:val="00456CDA"/>
    <w:rsid w:val="004570E4"/>
    <w:rsid w:val="004571DF"/>
    <w:rsid w:val="00457A75"/>
    <w:rsid w:val="004604B4"/>
    <w:rsid w:val="004616B2"/>
    <w:rsid w:val="00461C13"/>
    <w:rsid w:val="00461F51"/>
    <w:rsid w:val="004632CC"/>
    <w:rsid w:val="00463AC0"/>
    <w:rsid w:val="00463D15"/>
    <w:rsid w:val="004657EA"/>
    <w:rsid w:val="00465D2A"/>
    <w:rsid w:val="004665F2"/>
    <w:rsid w:val="00467F0E"/>
    <w:rsid w:val="00470701"/>
    <w:rsid w:val="004720D1"/>
    <w:rsid w:val="00473F80"/>
    <w:rsid w:val="00476243"/>
    <w:rsid w:val="00476ADE"/>
    <w:rsid w:val="00477CC7"/>
    <w:rsid w:val="00480219"/>
    <w:rsid w:val="00481714"/>
    <w:rsid w:val="00481E25"/>
    <w:rsid w:val="004820BD"/>
    <w:rsid w:val="004822FB"/>
    <w:rsid w:val="0048357D"/>
    <w:rsid w:val="00483AE1"/>
    <w:rsid w:val="0048715E"/>
    <w:rsid w:val="00487357"/>
    <w:rsid w:val="00490E64"/>
    <w:rsid w:val="004914FA"/>
    <w:rsid w:val="004922D1"/>
    <w:rsid w:val="00493840"/>
    <w:rsid w:val="00494FA6"/>
    <w:rsid w:val="00496E65"/>
    <w:rsid w:val="0049731F"/>
    <w:rsid w:val="004A1E58"/>
    <w:rsid w:val="004A4445"/>
    <w:rsid w:val="004A65D7"/>
    <w:rsid w:val="004B45FA"/>
    <w:rsid w:val="004B5348"/>
    <w:rsid w:val="004B5F31"/>
    <w:rsid w:val="004B617B"/>
    <w:rsid w:val="004B72B2"/>
    <w:rsid w:val="004C13D9"/>
    <w:rsid w:val="004C1FB1"/>
    <w:rsid w:val="004C27F1"/>
    <w:rsid w:val="004C391C"/>
    <w:rsid w:val="004C42FE"/>
    <w:rsid w:val="004C4A0F"/>
    <w:rsid w:val="004C4BF6"/>
    <w:rsid w:val="004C4EE6"/>
    <w:rsid w:val="004C7982"/>
    <w:rsid w:val="004C79C5"/>
    <w:rsid w:val="004D1712"/>
    <w:rsid w:val="004D253C"/>
    <w:rsid w:val="004D2D86"/>
    <w:rsid w:val="004D3208"/>
    <w:rsid w:val="004D3275"/>
    <w:rsid w:val="004D5A0E"/>
    <w:rsid w:val="004D693A"/>
    <w:rsid w:val="004D719C"/>
    <w:rsid w:val="004D73CA"/>
    <w:rsid w:val="004D781D"/>
    <w:rsid w:val="004D7A1C"/>
    <w:rsid w:val="004E08FD"/>
    <w:rsid w:val="004E28F1"/>
    <w:rsid w:val="004E3FD5"/>
    <w:rsid w:val="004E411F"/>
    <w:rsid w:val="004E5BE5"/>
    <w:rsid w:val="004E75AB"/>
    <w:rsid w:val="004F02E3"/>
    <w:rsid w:val="004F4A3C"/>
    <w:rsid w:val="004F4E5A"/>
    <w:rsid w:val="004F589D"/>
    <w:rsid w:val="004F7007"/>
    <w:rsid w:val="00501B74"/>
    <w:rsid w:val="00503979"/>
    <w:rsid w:val="005043F9"/>
    <w:rsid w:val="005067A5"/>
    <w:rsid w:val="00506A9D"/>
    <w:rsid w:val="00511DC2"/>
    <w:rsid w:val="00513369"/>
    <w:rsid w:val="00514E09"/>
    <w:rsid w:val="00515CEA"/>
    <w:rsid w:val="00516A76"/>
    <w:rsid w:val="00517167"/>
    <w:rsid w:val="00520016"/>
    <w:rsid w:val="00521864"/>
    <w:rsid w:val="00525D26"/>
    <w:rsid w:val="005266D4"/>
    <w:rsid w:val="00527F85"/>
    <w:rsid w:val="005307B0"/>
    <w:rsid w:val="00532478"/>
    <w:rsid w:val="005339D1"/>
    <w:rsid w:val="00534DF8"/>
    <w:rsid w:val="005370C1"/>
    <w:rsid w:val="00540285"/>
    <w:rsid w:val="00540E2F"/>
    <w:rsid w:val="00541D67"/>
    <w:rsid w:val="005435FB"/>
    <w:rsid w:val="00543AAE"/>
    <w:rsid w:val="00546072"/>
    <w:rsid w:val="00550B96"/>
    <w:rsid w:val="0055173A"/>
    <w:rsid w:val="00552750"/>
    <w:rsid w:val="0055353E"/>
    <w:rsid w:val="00553A91"/>
    <w:rsid w:val="00553C15"/>
    <w:rsid w:val="00555BA2"/>
    <w:rsid w:val="00556041"/>
    <w:rsid w:val="0055734F"/>
    <w:rsid w:val="00557D9C"/>
    <w:rsid w:val="005622B6"/>
    <w:rsid w:val="0056275F"/>
    <w:rsid w:val="00562DCF"/>
    <w:rsid w:val="00563324"/>
    <w:rsid w:val="00563426"/>
    <w:rsid w:val="00564640"/>
    <w:rsid w:val="00565760"/>
    <w:rsid w:val="00566F0E"/>
    <w:rsid w:val="005677AD"/>
    <w:rsid w:val="00571308"/>
    <w:rsid w:val="005730A9"/>
    <w:rsid w:val="00573164"/>
    <w:rsid w:val="0057704C"/>
    <w:rsid w:val="00577C24"/>
    <w:rsid w:val="005801AA"/>
    <w:rsid w:val="005803F4"/>
    <w:rsid w:val="00581D26"/>
    <w:rsid w:val="0058289A"/>
    <w:rsid w:val="005829AA"/>
    <w:rsid w:val="00582E8F"/>
    <w:rsid w:val="005854A2"/>
    <w:rsid w:val="00585A88"/>
    <w:rsid w:val="005878CD"/>
    <w:rsid w:val="0059102D"/>
    <w:rsid w:val="005916C4"/>
    <w:rsid w:val="00592ACD"/>
    <w:rsid w:val="00592B7E"/>
    <w:rsid w:val="00592F1D"/>
    <w:rsid w:val="00593DBE"/>
    <w:rsid w:val="0059486A"/>
    <w:rsid w:val="00595A44"/>
    <w:rsid w:val="00597B85"/>
    <w:rsid w:val="005A098B"/>
    <w:rsid w:val="005A2417"/>
    <w:rsid w:val="005A304E"/>
    <w:rsid w:val="005A3605"/>
    <w:rsid w:val="005A4328"/>
    <w:rsid w:val="005A4878"/>
    <w:rsid w:val="005A4D49"/>
    <w:rsid w:val="005A6549"/>
    <w:rsid w:val="005A66E5"/>
    <w:rsid w:val="005A7462"/>
    <w:rsid w:val="005A7A85"/>
    <w:rsid w:val="005B1DAC"/>
    <w:rsid w:val="005B38F6"/>
    <w:rsid w:val="005B5C87"/>
    <w:rsid w:val="005B766D"/>
    <w:rsid w:val="005B7F6F"/>
    <w:rsid w:val="005C0239"/>
    <w:rsid w:val="005C220D"/>
    <w:rsid w:val="005C5145"/>
    <w:rsid w:val="005C6A23"/>
    <w:rsid w:val="005D19A9"/>
    <w:rsid w:val="005D51A1"/>
    <w:rsid w:val="005D6453"/>
    <w:rsid w:val="005E0189"/>
    <w:rsid w:val="005E0420"/>
    <w:rsid w:val="005E29FB"/>
    <w:rsid w:val="005F0253"/>
    <w:rsid w:val="005F27B9"/>
    <w:rsid w:val="005F3AD5"/>
    <w:rsid w:val="005F4F71"/>
    <w:rsid w:val="005F62D9"/>
    <w:rsid w:val="005F6C53"/>
    <w:rsid w:val="005F7A57"/>
    <w:rsid w:val="00600D85"/>
    <w:rsid w:val="00601DA1"/>
    <w:rsid w:val="00601E16"/>
    <w:rsid w:val="006020EA"/>
    <w:rsid w:val="00602B88"/>
    <w:rsid w:val="006038C3"/>
    <w:rsid w:val="0060438B"/>
    <w:rsid w:val="00604F83"/>
    <w:rsid w:val="0060620F"/>
    <w:rsid w:val="00606E9A"/>
    <w:rsid w:val="006105E9"/>
    <w:rsid w:val="00611CEA"/>
    <w:rsid w:val="006132D5"/>
    <w:rsid w:val="00613D11"/>
    <w:rsid w:val="006140CC"/>
    <w:rsid w:val="0061438B"/>
    <w:rsid w:val="006162F5"/>
    <w:rsid w:val="006207D7"/>
    <w:rsid w:val="00620DB5"/>
    <w:rsid w:val="006212EC"/>
    <w:rsid w:val="006218FD"/>
    <w:rsid w:val="00621934"/>
    <w:rsid w:val="0062238B"/>
    <w:rsid w:val="00622A23"/>
    <w:rsid w:val="00624228"/>
    <w:rsid w:val="006259CB"/>
    <w:rsid w:val="00626C8D"/>
    <w:rsid w:val="00626D65"/>
    <w:rsid w:val="00627DBF"/>
    <w:rsid w:val="00627E38"/>
    <w:rsid w:val="00627E69"/>
    <w:rsid w:val="00632249"/>
    <w:rsid w:val="00634B85"/>
    <w:rsid w:val="00634E01"/>
    <w:rsid w:val="00635709"/>
    <w:rsid w:val="006367A1"/>
    <w:rsid w:val="00636857"/>
    <w:rsid w:val="00637A2B"/>
    <w:rsid w:val="006404E1"/>
    <w:rsid w:val="006411B1"/>
    <w:rsid w:val="00641394"/>
    <w:rsid w:val="006424F1"/>
    <w:rsid w:val="0064443C"/>
    <w:rsid w:val="006447F2"/>
    <w:rsid w:val="006448EE"/>
    <w:rsid w:val="0064498B"/>
    <w:rsid w:val="00644FA5"/>
    <w:rsid w:val="006459AC"/>
    <w:rsid w:val="00645FCE"/>
    <w:rsid w:val="0064649E"/>
    <w:rsid w:val="00646DF1"/>
    <w:rsid w:val="00647036"/>
    <w:rsid w:val="00647304"/>
    <w:rsid w:val="00647998"/>
    <w:rsid w:val="00647B84"/>
    <w:rsid w:val="006500C3"/>
    <w:rsid w:val="006504A9"/>
    <w:rsid w:val="006505B7"/>
    <w:rsid w:val="00650E90"/>
    <w:rsid w:val="006541D8"/>
    <w:rsid w:val="006544D5"/>
    <w:rsid w:val="00655103"/>
    <w:rsid w:val="00656F9A"/>
    <w:rsid w:val="006610F6"/>
    <w:rsid w:val="006619D7"/>
    <w:rsid w:val="006620BA"/>
    <w:rsid w:val="00662717"/>
    <w:rsid w:val="00664560"/>
    <w:rsid w:val="006662A1"/>
    <w:rsid w:val="00666ACE"/>
    <w:rsid w:val="00673746"/>
    <w:rsid w:val="00673BD7"/>
    <w:rsid w:val="006748D6"/>
    <w:rsid w:val="0067571F"/>
    <w:rsid w:val="00675885"/>
    <w:rsid w:val="0068149E"/>
    <w:rsid w:val="0068156F"/>
    <w:rsid w:val="006827D6"/>
    <w:rsid w:val="0068365D"/>
    <w:rsid w:val="006845DD"/>
    <w:rsid w:val="00686670"/>
    <w:rsid w:val="006866D0"/>
    <w:rsid w:val="006869A7"/>
    <w:rsid w:val="00687DC9"/>
    <w:rsid w:val="00692F77"/>
    <w:rsid w:val="0069362E"/>
    <w:rsid w:val="00693DDD"/>
    <w:rsid w:val="006A1FB2"/>
    <w:rsid w:val="006A2D71"/>
    <w:rsid w:val="006A3AEA"/>
    <w:rsid w:val="006A609D"/>
    <w:rsid w:val="006A62A6"/>
    <w:rsid w:val="006A6921"/>
    <w:rsid w:val="006B08E7"/>
    <w:rsid w:val="006B231F"/>
    <w:rsid w:val="006B2EB8"/>
    <w:rsid w:val="006B324A"/>
    <w:rsid w:val="006B3803"/>
    <w:rsid w:val="006B4675"/>
    <w:rsid w:val="006B5E4E"/>
    <w:rsid w:val="006B6220"/>
    <w:rsid w:val="006B788D"/>
    <w:rsid w:val="006C0E2C"/>
    <w:rsid w:val="006C2816"/>
    <w:rsid w:val="006C365F"/>
    <w:rsid w:val="006C3D87"/>
    <w:rsid w:val="006C4A63"/>
    <w:rsid w:val="006C62CD"/>
    <w:rsid w:val="006C632A"/>
    <w:rsid w:val="006C688D"/>
    <w:rsid w:val="006C6DCF"/>
    <w:rsid w:val="006C7F36"/>
    <w:rsid w:val="006C7F55"/>
    <w:rsid w:val="006D0194"/>
    <w:rsid w:val="006D0E54"/>
    <w:rsid w:val="006D11CD"/>
    <w:rsid w:val="006D4512"/>
    <w:rsid w:val="006D6E03"/>
    <w:rsid w:val="006D6E60"/>
    <w:rsid w:val="006E30D2"/>
    <w:rsid w:val="006E47D9"/>
    <w:rsid w:val="006E4865"/>
    <w:rsid w:val="006E52A2"/>
    <w:rsid w:val="006E55E8"/>
    <w:rsid w:val="006E567D"/>
    <w:rsid w:val="006E6B5E"/>
    <w:rsid w:val="006E6F0C"/>
    <w:rsid w:val="006E7CCA"/>
    <w:rsid w:val="006F0F3C"/>
    <w:rsid w:val="006F0F6A"/>
    <w:rsid w:val="006F36D3"/>
    <w:rsid w:val="006F3870"/>
    <w:rsid w:val="006F4638"/>
    <w:rsid w:val="006F58A0"/>
    <w:rsid w:val="006F5C33"/>
    <w:rsid w:val="006F741E"/>
    <w:rsid w:val="00700A1F"/>
    <w:rsid w:val="00701305"/>
    <w:rsid w:val="00702056"/>
    <w:rsid w:val="007021F5"/>
    <w:rsid w:val="00702608"/>
    <w:rsid w:val="00702DD7"/>
    <w:rsid w:val="00703058"/>
    <w:rsid w:val="007032EB"/>
    <w:rsid w:val="00703F25"/>
    <w:rsid w:val="00704683"/>
    <w:rsid w:val="00704D7F"/>
    <w:rsid w:val="007066B5"/>
    <w:rsid w:val="00707B95"/>
    <w:rsid w:val="00710D35"/>
    <w:rsid w:val="0071206F"/>
    <w:rsid w:val="00713346"/>
    <w:rsid w:val="007142AE"/>
    <w:rsid w:val="0071452E"/>
    <w:rsid w:val="00714D4B"/>
    <w:rsid w:val="007163E0"/>
    <w:rsid w:val="00716B55"/>
    <w:rsid w:val="00716D3B"/>
    <w:rsid w:val="007170B3"/>
    <w:rsid w:val="00717A34"/>
    <w:rsid w:val="00722704"/>
    <w:rsid w:val="00723B1D"/>
    <w:rsid w:val="00723EE3"/>
    <w:rsid w:val="007270B2"/>
    <w:rsid w:val="00727272"/>
    <w:rsid w:val="00732DA2"/>
    <w:rsid w:val="0073397A"/>
    <w:rsid w:val="00733A2D"/>
    <w:rsid w:val="0073584E"/>
    <w:rsid w:val="00736608"/>
    <w:rsid w:val="00736F54"/>
    <w:rsid w:val="00740060"/>
    <w:rsid w:val="00740281"/>
    <w:rsid w:val="00740890"/>
    <w:rsid w:val="00740CBA"/>
    <w:rsid w:val="00741DBB"/>
    <w:rsid w:val="00742372"/>
    <w:rsid w:val="00743C6B"/>
    <w:rsid w:val="0074463C"/>
    <w:rsid w:val="00744DD8"/>
    <w:rsid w:val="00745CA2"/>
    <w:rsid w:val="00746029"/>
    <w:rsid w:val="00746174"/>
    <w:rsid w:val="00746D8F"/>
    <w:rsid w:val="00746F57"/>
    <w:rsid w:val="00750314"/>
    <w:rsid w:val="00750772"/>
    <w:rsid w:val="007530DC"/>
    <w:rsid w:val="007546AB"/>
    <w:rsid w:val="0075534A"/>
    <w:rsid w:val="007554CF"/>
    <w:rsid w:val="00755AAB"/>
    <w:rsid w:val="007601CB"/>
    <w:rsid w:val="00760DC1"/>
    <w:rsid w:val="0076181C"/>
    <w:rsid w:val="00762387"/>
    <w:rsid w:val="00766DBF"/>
    <w:rsid w:val="00767E9E"/>
    <w:rsid w:val="00771C0C"/>
    <w:rsid w:val="00771D0E"/>
    <w:rsid w:val="00773E87"/>
    <w:rsid w:val="00774210"/>
    <w:rsid w:val="007743FF"/>
    <w:rsid w:val="00774BE4"/>
    <w:rsid w:val="00775ABC"/>
    <w:rsid w:val="00780A15"/>
    <w:rsid w:val="00780CE8"/>
    <w:rsid w:val="00781A2E"/>
    <w:rsid w:val="0078316E"/>
    <w:rsid w:val="007834DB"/>
    <w:rsid w:val="007845DC"/>
    <w:rsid w:val="00785039"/>
    <w:rsid w:val="00785310"/>
    <w:rsid w:val="00785A76"/>
    <w:rsid w:val="00787C08"/>
    <w:rsid w:val="00787D48"/>
    <w:rsid w:val="007903C5"/>
    <w:rsid w:val="00790987"/>
    <w:rsid w:val="00790FC7"/>
    <w:rsid w:val="007929DD"/>
    <w:rsid w:val="007942D9"/>
    <w:rsid w:val="0079445F"/>
    <w:rsid w:val="00794997"/>
    <w:rsid w:val="00795893"/>
    <w:rsid w:val="00795A6A"/>
    <w:rsid w:val="00796706"/>
    <w:rsid w:val="007967A8"/>
    <w:rsid w:val="007A0133"/>
    <w:rsid w:val="007A266B"/>
    <w:rsid w:val="007A354C"/>
    <w:rsid w:val="007A559F"/>
    <w:rsid w:val="007A57BE"/>
    <w:rsid w:val="007A6409"/>
    <w:rsid w:val="007A659F"/>
    <w:rsid w:val="007A6F07"/>
    <w:rsid w:val="007A708A"/>
    <w:rsid w:val="007B0165"/>
    <w:rsid w:val="007B0530"/>
    <w:rsid w:val="007B11A4"/>
    <w:rsid w:val="007B1A77"/>
    <w:rsid w:val="007B37B1"/>
    <w:rsid w:val="007B3A9A"/>
    <w:rsid w:val="007C09AB"/>
    <w:rsid w:val="007C30A7"/>
    <w:rsid w:val="007C384C"/>
    <w:rsid w:val="007C4C3E"/>
    <w:rsid w:val="007C51A5"/>
    <w:rsid w:val="007C5BF3"/>
    <w:rsid w:val="007C6BA1"/>
    <w:rsid w:val="007C7B4E"/>
    <w:rsid w:val="007C7D83"/>
    <w:rsid w:val="007D3214"/>
    <w:rsid w:val="007D3B33"/>
    <w:rsid w:val="007D5378"/>
    <w:rsid w:val="007D7248"/>
    <w:rsid w:val="007E0DDF"/>
    <w:rsid w:val="007E174A"/>
    <w:rsid w:val="007E36BF"/>
    <w:rsid w:val="007E6165"/>
    <w:rsid w:val="007E6BA9"/>
    <w:rsid w:val="007E7483"/>
    <w:rsid w:val="007F0C2B"/>
    <w:rsid w:val="007F0F86"/>
    <w:rsid w:val="007F20DE"/>
    <w:rsid w:val="007F3034"/>
    <w:rsid w:val="007F3452"/>
    <w:rsid w:val="007F4D1F"/>
    <w:rsid w:val="007F5FFE"/>
    <w:rsid w:val="007F610C"/>
    <w:rsid w:val="007F72A0"/>
    <w:rsid w:val="007F7416"/>
    <w:rsid w:val="007F7827"/>
    <w:rsid w:val="00800633"/>
    <w:rsid w:val="0080091B"/>
    <w:rsid w:val="008101DA"/>
    <w:rsid w:val="0081243C"/>
    <w:rsid w:val="00815169"/>
    <w:rsid w:val="008170B0"/>
    <w:rsid w:val="00817FFC"/>
    <w:rsid w:val="0082084A"/>
    <w:rsid w:val="0082089D"/>
    <w:rsid w:val="00820F4A"/>
    <w:rsid w:val="00821726"/>
    <w:rsid w:val="008246FF"/>
    <w:rsid w:val="00824FDE"/>
    <w:rsid w:val="008253FA"/>
    <w:rsid w:val="008266F8"/>
    <w:rsid w:val="00826E64"/>
    <w:rsid w:val="00827213"/>
    <w:rsid w:val="00827565"/>
    <w:rsid w:val="008276B4"/>
    <w:rsid w:val="00827AF1"/>
    <w:rsid w:val="00827F46"/>
    <w:rsid w:val="0083059C"/>
    <w:rsid w:val="00831A98"/>
    <w:rsid w:val="00836A83"/>
    <w:rsid w:val="00842CCB"/>
    <w:rsid w:val="008437A5"/>
    <w:rsid w:val="00847C44"/>
    <w:rsid w:val="0085003E"/>
    <w:rsid w:val="00853093"/>
    <w:rsid w:val="0085407A"/>
    <w:rsid w:val="00855E87"/>
    <w:rsid w:val="00855EC3"/>
    <w:rsid w:val="008613AC"/>
    <w:rsid w:val="00861559"/>
    <w:rsid w:val="00861F5A"/>
    <w:rsid w:val="008641EB"/>
    <w:rsid w:val="00864D27"/>
    <w:rsid w:val="0086578E"/>
    <w:rsid w:val="00865A22"/>
    <w:rsid w:val="00866153"/>
    <w:rsid w:val="008667D3"/>
    <w:rsid w:val="00866878"/>
    <w:rsid w:val="00870D12"/>
    <w:rsid w:val="00871622"/>
    <w:rsid w:val="008733D4"/>
    <w:rsid w:val="00874351"/>
    <w:rsid w:val="008744E1"/>
    <w:rsid w:val="00874CE7"/>
    <w:rsid w:val="00874DD2"/>
    <w:rsid w:val="00884B02"/>
    <w:rsid w:val="0088622D"/>
    <w:rsid w:val="00886530"/>
    <w:rsid w:val="0088667C"/>
    <w:rsid w:val="00886EAA"/>
    <w:rsid w:val="00887898"/>
    <w:rsid w:val="00890371"/>
    <w:rsid w:val="0089172A"/>
    <w:rsid w:val="00891F50"/>
    <w:rsid w:val="0089269D"/>
    <w:rsid w:val="00892775"/>
    <w:rsid w:val="008929A7"/>
    <w:rsid w:val="008931A0"/>
    <w:rsid w:val="0089384B"/>
    <w:rsid w:val="00895CF9"/>
    <w:rsid w:val="00896041"/>
    <w:rsid w:val="008A0316"/>
    <w:rsid w:val="008A06C3"/>
    <w:rsid w:val="008A0CB5"/>
    <w:rsid w:val="008A2FA6"/>
    <w:rsid w:val="008A35AA"/>
    <w:rsid w:val="008A3BFA"/>
    <w:rsid w:val="008A3D44"/>
    <w:rsid w:val="008A6710"/>
    <w:rsid w:val="008B23EF"/>
    <w:rsid w:val="008B2775"/>
    <w:rsid w:val="008B2C70"/>
    <w:rsid w:val="008B2FEF"/>
    <w:rsid w:val="008B3FD5"/>
    <w:rsid w:val="008B4D5A"/>
    <w:rsid w:val="008B4D9A"/>
    <w:rsid w:val="008B657B"/>
    <w:rsid w:val="008B6C7F"/>
    <w:rsid w:val="008B6C99"/>
    <w:rsid w:val="008B7004"/>
    <w:rsid w:val="008B7206"/>
    <w:rsid w:val="008B7336"/>
    <w:rsid w:val="008C3F19"/>
    <w:rsid w:val="008C709A"/>
    <w:rsid w:val="008C72FF"/>
    <w:rsid w:val="008C7978"/>
    <w:rsid w:val="008D25BC"/>
    <w:rsid w:val="008D2EA1"/>
    <w:rsid w:val="008D355E"/>
    <w:rsid w:val="008D3588"/>
    <w:rsid w:val="008D3884"/>
    <w:rsid w:val="008D4285"/>
    <w:rsid w:val="008D4429"/>
    <w:rsid w:val="008D62D7"/>
    <w:rsid w:val="008D682A"/>
    <w:rsid w:val="008D696E"/>
    <w:rsid w:val="008D769B"/>
    <w:rsid w:val="008E103C"/>
    <w:rsid w:val="008E12EB"/>
    <w:rsid w:val="008E18A6"/>
    <w:rsid w:val="008E4607"/>
    <w:rsid w:val="008E59EB"/>
    <w:rsid w:val="008E5FF6"/>
    <w:rsid w:val="008E6D3B"/>
    <w:rsid w:val="008F2FAF"/>
    <w:rsid w:val="008F3918"/>
    <w:rsid w:val="008F412E"/>
    <w:rsid w:val="008F6E8B"/>
    <w:rsid w:val="008F7348"/>
    <w:rsid w:val="008F78A8"/>
    <w:rsid w:val="00900E8E"/>
    <w:rsid w:val="00902224"/>
    <w:rsid w:val="00903CB1"/>
    <w:rsid w:val="00904611"/>
    <w:rsid w:val="009046B4"/>
    <w:rsid w:val="009047C2"/>
    <w:rsid w:val="00904B70"/>
    <w:rsid w:val="00904EB3"/>
    <w:rsid w:val="0090511D"/>
    <w:rsid w:val="00905342"/>
    <w:rsid w:val="00905381"/>
    <w:rsid w:val="00906588"/>
    <w:rsid w:val="00907531"/>
    <w:rsid w:val="00911A0B"/>
    <w:rsid w:val="00911C03"/>
    <w:rsid w:val="009127E2"/>
    <w:rsid w:val="009129A5"/>
    <w:rsid w:val="00913D49"/>
    <w:rsid w:val="00916A1B"/>
    <w:rsid w:val="00917135"/>
    <w:rsid w:val="00917A8E"/>
    <w:rsid w:val="009202B7"/>
    <w:rsid w:val="009225A6"/>
    <w:rsid w:val="00922978"/>
    <w:rsid w:val="009229B7"/>
    <w:rsid w:val="00923BA5"/>
    <w:rsid w:val="009249C5"/>
    <w:rsid w:val="00927435"/>
    <w:rsid w:val="00927495"/>
    <w:rsid w:val="009277AE"/>
    <w:rsid w:val="00927EC4"/>
    <w:rsid w:val="00932586"/>
    <w:rsid w:val="00933594"/>
    <w:rsid w:val="00943D86"/>
    <w:rsid w:val="00943DCD"/>
    <w:rsid w:val="00943E94"/>
    <w:rsid w:val="00944DDE"/>
    <w:rsid w:val="009463F2"/>
    <w:rsid w:val="009467B9"/>
    <w:rsid w:val="00947662"/>
    <w:rsid w:val="0095094F"/>
    <w:rsid w:val="00953446"/>
    <w:rsid w:val="00953A8B"/>
    <w:rsid w:val="00953A9D"/>
    <w:rsid w:val="0095414F"/>
    <w:rsid w:val="0095464E"/>
    <w:rsid w:val="00954913"/>
    <w:rsid w:val="00955037"/>
    <w:rsid w:val="00955C3E"/>
    <w:rsid w:val="00956FD1"/>
    <w:rsid w:val="00961263"/>
    <w:rsid w:val="00961907"/>
    <w:rsid w:val="00961F52"/>
    <w:rsid w:val="00962247"/>
    <w:rsid w:val="009639D8"/>
    <w:rsid w:val="00965D95"/>
    <w:rsid w:val="00965E53"/>
    <w:rsid w:val="00970002"/>
    <w:rsid w:val="00970058"/>
    <w:rsid w:val="00971061"/>
    <w:rsid w:val="00971DE0"/>
    <w:rsid w:val="00972CC9"/>
    <w:rsid w:val="00974B2D"/>
    <w:rsid w:val="009768C7"/>
    <w:rsid w:val="009775BB"/>
    <w:rsid w:val="00977E6D"/>
    <w:rsid w:val="00980EE0"/>
    <w:rsid w:val="00981602"/>
    <w:rsid w:val="009816B8"/>
    <w:rsid w:val="00981EA6"/>
    <w:rsid w:val="009824BA"/>
    <w:rsid w:val="0098279D"/>
    <w:rsid w:val="00982B15"/>
    <w:rsid w:val="00982F8A"/>
    <w:rsid w:val="00986F18"/>
    <w:rsid w:val="0098753F"/>
    <w:rsid w:val="00990375"/>
    <w:rsid w:val="00990719"/>
    <w:rsid w:val="009922A6"/>
    <w:rsid w:val="00992BC7"/>
    <w:rsid w:val="00993AC8"/>
    <w:rsid w:val="00994C45"/>
    <w:rsid w:val="009974C2"/>
    <w:rsid w:val="00997664"/>
    <w:rsid w:val="00997906"/>
    <w:rsid w:val="009A1160"/>
    <w:rsid w:val="009A4AE9"/>
    <w:rsid w:val="009A5C6A"/>
    <w:rsid w:val="009A7585"/>
    <w:rsid w:val="009B2161"/>
    <w:rsid w:val="009B2AFA"/>
    <w:rsid w:val="009B33EE"/>
    <w:rsid w:val="009B33F0"/>
    <w:rsid w:val="009B41BB"/>
    <w:rsid w:val="009B5534"/>
    <w:rsid w:val="009C148D"/>
    <w:rsid w:val="009C1ADC"/>
    <w:rsid w:val="009C4CCC"/>
    <w:rsid w:val="009C5CAD"/>
    <w:rsid w:val="009C7EC3"/>
    <w:rsid w:val="009D10D8"/>
    <w:rsid w:val="009D11EF"/>
    <w:rsid w:val="009D2B1D"/>
    <w:rsid w:val="009D39E5"/>
    <w:rsid w:val="009D6C7B"/>
    <w:rsid w:val="009D7B45"/>
    <w:rsid w:val="009E0008"/>
    <w:rsid w:val="009E0EA7"/>
    <w:rsid w:val="009E0EEA"/>
    <w:rsid w:val="009E19E9"/>
    <w:rsid w:val="009E2D8D"/>
    <w:rsid w:val="009E4577"/>
    <w:rsid w:val="009E71B1"/>
    <w:rsid w:val="009F05AC"/>
    <w:rsid w:val="009F2352"/>
    <w:rsid w:val="009F527B"/>
    <w:rsid w:val="00A01319"/>
    <w:rsid w:val="00A02C03"/>
    <w:rsid w:val="00A0497F"/>
    <w:rsid w:val="00A06F1A"/>
    <w:rsid w:val="00A10026"/>
    <w:rsid w:val="00A105D3"/>
    <w:rsid w:val="00A10969"/>
    <w:rsid w:val="00A10B82"/>
    <w:rsid w:val="00A13228"/>
    <w:rsid w:val="00A15FE7"/>
    <w:rsid w:val="00A233EB"/>
    <w:rsid w:val="00A23F1B"/>
    <w:rsid w:val="00A24011"/>
    <w:rsid w:val="00A25BD3"/>
    <w:rsid w:val="00A25F53"/>
    <w:rsid w:val="00A268F2"/>
    <w:rsid w:val="00A27A58"/>
    <w:rsid w:val="00A30939"/>
    <w:rsid w:val="00A317E0"/>
    <w:rsid w:val="00A32B7B"/>
    <w:rsid w:val="00A36D05"/>
    <w:rsid w:val="00A406B6"/>
    <w:rsid w:val="00A40719"/>
    <w:rsid w:val="00A41DC4"/>
    <w:rsid w:val="00A43CC6"/>
    <w:rsid w:val="00A4419B"/>
    <w:rsid w:val="00A441D8"/>
    <w:rsid w:val="00A478C6"/>
    <w:rsid w:val="00A509FC"/>
    <w:rsid w:val="00A515EC"/>
    <w:rsid w:val="00A52083"/>
    <w:rsid w:val="00A54334"/>
    <w:rsid w:val="00A5662E"/>
    <w:rsid w:val="00A56D34"/>
    <w:rsid w:val="00A617C7"/>
    <w:rsid w:val="00A62D68"/>
    <w:rsid w:val="00A64091"/>
    <w:rsid w:val="00A66633"/>
    <w:rsid w:val="00A70800"/>
    <w:rsid w:val="00A70CD3"/>
    <w:rsid w:val="00A72F96"/>
    <w:rsid w:val="00A737CD"/>
    <w:rsid w:val="00A7470D"/>
    <w:rsid w:val="00A76477"/>
    <w:rsid w:val="00A80A75"/>
    <w:rsid w:val="00A81E6E"/>
    <w:rsid w:val="00A8232E"/>
    <w:rsid w:val="00A84026"/>
    <w:rsid w:val="00A84DEF"/>
    <w:rsid w:val="00A85BF2"/>
    <w:rsid w:val="00A86555"/>
    <w:rsid w:val="00A870EE"/>
    <w:rsid w:val="00A902FD"/>
    <w:rsid w:val="00A90C15"/>
    <w:rsid w:val="00A90E33"/>
    <w:rsid w:val="00A919E1"/>
    <w:rsid w:val="00A91A75"/>
    <w:rsid w:val="00A94EE3"/>
    <w:rsid w:val="00A95996"/>
    <w:rsid w:val="00A9718B"/>
    <w:rsid w:val="00A9733E"/>
    <w:rsid w:val="00A97A34"/>
    <w:rsid w:val="00AA00C1"/>
    <w:rsid w:val="00AA06B3"/>
    <w:rsid w:val="00AA1B86"/>
    <w:rsid w:val="00AA1D46"/>
    <w:rsid w:val="00AA1DCC"/>
    <w:rsid w:val="00AA23F2"/>
    <w:rsid w:val="00AA5B81"/>
    <w:rsid w:val="00AB09B7"/>
    <w:rsid w:val="00AB0C24"/>
    <w:rsid w:val="00AB178E"/>
    <w:rsid w:val="00AB7834"/>
    <w:rsid w:val="00AB7A62"/>
    <w:rsid w:val="00AC06BC"/>
    <w:rsid w:val="00AC365A"/>
    <w:rsid w:val="00AC3A9B"/>
    <w:rsid w:val="00AC48B9"/>
    <w:rsid w:val="00AC5E33"/>
    <w:rsid w:val="00AC6648"/>
    <w:rsid w:val="00AC683E"/>
    <w:rsid w:val="00AC6ACB"/>
    <w:rsid w:val="00AC76DE"/>
    <w:rsid w:val="00AC7860"/>
    <w:rsid w:val="00AC7FFA"/>
    <w:rsid w:val="00AD0F00"/>
    <w:rsid w:val="00AD2515"/>
    <w:rsid w:val="00AD352B"/>
    <w:rsid w:val="00AD4A06"/>
    <w:rsid w:val="00AD5119"/>
    <w:rsid w:val="00AD54D7"/>
    <w:rsid w:val="00AD7C5A"/>
    <w:rsid w:val="00AE3BBE"/>
    <w:rsid w:val="00AE58E1"/>
    <w:rsid w:val="00AE760D"/>
    <w:rsid w:val="00AF0459"/>
    <w:rsid w:val="00AF0CC0"/>
    <w:rsid w:val="00AF234D"/>
    <w:rsid w:val="00AF2EDB"/>
    <w:rsid w:val="00AF46AF"/>
    <w:rsid w:val="00AF666B"/>
    <w:rsid w:val="00AF7806"/>
    <w:rsid w:val="00B00CB2"/>
    <w:rsid w:val="00B00E64"/>
    <w:rsid w:val="00B01097"/>
    <w:rsid w:val="00B013D2"/>
    <w:rsid w:val="00B05F2B"/>
    <w:rsid w:val="00B0678B"/>
    <w:rsid w:val="00B06B61"/>
    <w:rsid w:val="00B11BD0"/>
    <w:rsid w:val="00B120B9"/>
    <w:rsid w:val="00B122C2"/>
    <w:rsid w:val="00B12A5F"/>
    <w:rsid w:val="00B12EFE"/>
    <w:rsid w:val="00B17162"/>
    <w:rsid w:val="00B208BE"/>
    <w:rsid w:val="00B230AC"/>
    <w:rsid w:val="00B2428E"/>
    <w:rsid w:val="00B257F8"/>
    <w:rsid w:val="00B2607C"/>
    <w:rsid w:val="00B26126"/>
    <w:rsid w:val="00B26AC4"/>
    <w:rsid w:val="00B30835"/>
    <w:rsid w:val="00B31A82"/>
    <w:rsid w:val="00B3218B"/>
    <w:rsid w:val="00B33233"/>
    <w:rsid w:val="00B35DB5"/>
    <w:rsid w:val="00B3614F"/>
    <w:rsid w:val="00B378E1"/>
    <w:rsid w:val="00B4339A"/>
    <w:rsid w:val="00B444DB"/>
    <w:rsid w:val="00B462B0"/>
    <w:rsid w:val="00B507A8"/>
    <w:rsid w:val="00B51CC3"/>
    <w:rsid w:val="00B53466"/>
    <w:rsid w:val="00B54D6B"/>
    <w:rsid w:val="00B550E5"/>
    <w:rsid w:val="00B55E1C"/>
    <w:rsid w:val="00B577FF"/>
    <w:rsid w:val="00B57A86"/>
    <w:rsid w:val="00B57E1F"/>
    <w:rsid w:val="00B60627"/>
    <w:rsid w:val="00B60CAE"/>
    <w:rsid w:val="00B612FE"/>
    <w:rsid w:val="00B6279C"/>
    <w:rsid w:val="00B6555E"/>
    <w:rsid w:val="00B6572D"/>
    <w:rsid w:val="00B657B2"/>
    <w:rsid w:val="00B65864"/>
    <w:rsid w:val="00B66964"/>
    <w:rsid w:val="00B67F9E"/>
    <w:rsid w:val="00B701CC"/>
    <w:rsid w:val="00B70C00"/>
    <w:rsid w:val="00B713F9"/>
    <w:rsid w:val="00B725B9"/>
    <w:rsid w:val="00B7322D"/>
    <w:rsid w:val="00B7394E"/>
    <w:rsid w:val="00B74125"/>
    <w:rsid w:val="00B74DE5"/>
    <w:rsid w:val="00B75320"/>
    <w:rsid w:val="00B762B2"/>
    <w:rsid w:val="00B76A24"/>
    <w:rsid w:val="00B76C5D"/>
    <w:rsid w:val="00B80137"/>
    <w:rsid w:val="00B807F6"/>
    <w:rsid w:val="00B8145F"/>
    <w:rsid w:val="00B8243F"/>
    <w:rsid w:val="00B841A9"/>
    <w:rsid w:val="00B84727"/>
    <w:rsid w:val="00B874F3"/>
    <w:rsid w:val="00B904EB"/>
    <w:rsid w:val="00B91090"/>
    <w:rsid w:val="00B9156C"/>
    <w:rsid w:val="00B93190"/>
    <w:rsid w:val="00B94070"/>
    <w:rsid w:val="00B9434C"/>
    <w:rsid w:val="00B94D03"/>
    <w:rsid w:val="00B9537A"/>
    <w:rsid w:val="00B96AA3"/>
    <w:rsid w:val="00BA2179"/>
    <w:rsid w:val="00BA2D3A"/>
    <w:rsid w:val="00BA6526"/>
    <w:rsid w:val="00BA6A61"/>
    <w:rsid w:val="00BB0E10"/>
    <w:rsid w:val="00BB3BBE"/>
    <w:rsid w:val="00BB6706"/>
    <w:rsid w:val="00BC0CD9"/>
    <w:rsid w:val="00BC0ECB"/>
    <w:rsid w:val="00BC1664"/>
    <w:rsid w:val="00BC23F7"/>
    <w:rsid w:val="00BC5EEA"/>
    <w:rsid w:val="00BD1034"/>
    <w:rsid w:val="00BD3B97"/>
    <w:rsid w:val="00BE059D"/>
    <w:rsid w:val="00BE3049"/>
    <w:rsid w:val="00BE31E8"/>
    <w:rsid w:val="00BE52BC"/>
    <w:rsid w:val="00BE5886"/>
    <w:rsid w:val="00BF1CE5"/>
    <w:rsid w:val="00BF303E"/>
    <w:rsid w:val="00BF5CAD"/>
    <w:rsid w:val="00BF6D52"/>
    <w:rsid w:val="00BF7711"/>
    <w:rsid w:val="00BF7B8F"/>
    <w:rsid w:val="00C01DB3"/>
    <w:rsid w:val="00C01FDA"/>
    <w:rsid w:val="00C02AAA"/>
    <w:rsid w:val="00C02B65"/>
    <w:rsid w:val="00C03236"/>
    <w:rsid w:val="00C04900"/>
    <w:rsid w:val="00C056B1"/>
    <w:rsid w:val="00C07554"/>
    <w:rsid w:val="00C079CB"/>
    <w:rsid w:val="00C126A1"/>
    <w:rsid w:val="00C13C8B"/>
    <w:rsid w:val="00C14229"/>
    <w:rsid w:val="00C15154"/>
    <w:rsid w:val="00C151E8"/>
    <w:rsid w:val="00C169CD"/>
    <w:rsid w:val="00C2125F"/>
    <w:rsid w:val="00C22EC5"/>
    <w:rsid w:val="00C30FD2"/>
    <w:rsid w:val="00C3180D"/>
    <w:rsid w:val="00C325B9"/>
    <w:rsid w:val="00C32A46"/>
    <w:rsid w:val="00C33B54"/>
    <w:rsid w:val="00C35B9A"/>
    <w:rsid w:val="00C43018"/>
    <w:rsid w:val="00C43AB1"/>
    <w:rsid w:val="00C43F36"/>
    <w:rsid w:val="00C4420B"/>
    <w:rsid w:val="00C4483D"/>
    <w:rsid w:val="00C4508A"/>
    <w:rsid w:val="00C45E81"/>
    <w:rsid w:val="00C4686F"/>
    <w:rsid w:val="00C47192"/>
    <w:rsid w:val="00C47BA9"/>
    <w:rsid w:val="00C50456"/>
    <w:rsid w:val="00C50655"/>
    <w:rsid w:val="00C5449B"/>
    <w:rsid w:val="00C553BF"/>
    <w:rsid w:val="00C55A70"/>
    <w:rsid w:val="00C5687A"/>
    <w:rsid w:val="00C569CB"/>
    <w:rsid w:val="00C57D04"/>
    <w:rsid w:val="00C61360"/>
    <w:rsid w:val="00C61A87"/>
    <w:rsid w:val="00C62978"/>
    <w:rsid w:val="00C63530"/>
    <w:rsid w:val="00C63584"/>
    <w:rsid w:val="00C70DA5"/>
    <w:rsid w:val="00C71655"/>
    <w:rsid w:val="00C716C4"/>
    <w:rsid w:val="00C71CCE"/>
    <w:rsid w:val="00C72C6C"/>
    <w:rsid w:val="00C735C3"/>
    <w:rsid w:val="00C73B18"/>
    <w:rsid w:val="00C756DC"/>
    <w:rsid w:val="00C76B96"/>
    <w:rsid w:val="00C7780F"/>
    <w:rsid w:val="00C855B0"/>
    <w:rsid w:val="00C855E8"/>
    <w:rsid w:val="00C86460"/>
    <w:rsid w:val="00C873FB"/>
    <w:rsid w:val="00C8745B"/>
    <w:rsid w:val="00C87F34"/>
    <w:rsid w:val="00C9350B"/>
    <w:rsid w:val="00C94615"/>
    <w:rsid w:val="00C959B1"/>
    <w:rsid w:val="00C96251"/>
    <w:rsid w:val="00C96BD8"/>
    <w:rsid w:val="00C970D0"/>
    <w:rsid w:val="00CA1FB8"/>
    <w:rsid w:val="00CA3D1C"/>
    <w:rsid w:val="00CA503F"/>
    <w:rsid w:val="00CA55C9"/>
    <w:rsid w:val="00CA6A98"/>
    <w:rsid w:val="00CA6AE2"/>
    <w:rsid w:val="00CA7D51"/>
    <w:rsid w:val="00CB04F5"/>
    <w:rsid w:val="00CB3441"/>
    <w:rsid w:val="00CB483E"/>
    <w:rsid w:val="00CB6322"/>
    <w:rsid w:val="00CB6A88"/>
    <w:rsid w:val="00CB7CC8"/>
    <w:rsid w:val="00CB7FDF"/>
    <w:rsid w:val="00CC016C"/>
    <w:rsid w:val="00CC1524"/>
    <w:rsid w:val="00CC38A4"/>
    <w:rsid w:val="00CC38BC"/>
    <w:rsid w:val="00CC3DEA"/>
    <w:rsid w:val="00CC3FD6"/>
    <w:rsid w:val="00CC4646"/>
    <w:rsid w:val="00CC4BBF"/>
    <w:rsid w:val="00CC5211"/>
    <w:rsid w:val="00CC65D6"/>
    <w:rsid w:val="00CC661A"/>
    <w:rsid w:val="00CC6848"/>
    <w:rsid w:val="00CC6F62"/>
    <w:rsid w:val="00CC7326"/>
    <w:rsid w:val="00CD0E38"/>
    <w:rsid w:val="00CD14EE"/>
    <w:rsid w:val="00CD3951"/>
    <w:rsid w:val="00CD466E"/>
    <w:rsid w:val="00CD6407"/>
    <w:rsid w:val="00CD7625"/>
    <w:rsid w:val="00CE0741"/>
    <w:rsid w:val="00CE087B"/>
    <w:rsid w:val="00CE2C42"/>
    <w:rsid w:val="00CE33BB"/>
    <w:rsid w:val="00CE433D"/>
    <w:rsid w:val="00CE5C34"/>
    <w:rsid w:val="00CE653A"/>
    <w:rsid w:val="00CE6B61"/>
    <w:rsid w:val="00CF05B4"/>
    <w:rsid w:val="00CF1BA6"/>
    <w:rsid w:val="00CF1D49"/>
    <w:rsid w:val="00CF2220"/>
    <w:rsid w:val="00CF24F4"/>
    <w:rsid w:val="00CF48EF"/>
    <w:rsid w:val="00CF5831"/>
    <w:rsid w:val="00CF6734"/>
    <w:rsid w:val="00D00216"/>
    <w:rsid w:val="00D0390E"/>
    <w:rsid w:val="00D03BF9"/>
    <w:rsid w:val="00D040E4"/>
    <w:rsid w:val="00D04116"/>
    <w:rsid w:val="00D052E5"/>
    <w:rsid w:val="00D05AD2"/>
    <w:rsid w:val="00D05E9B"/>
    <w:rsid w:val="00D076A0"/>
    <w:rsid w:val="00D12E4A"/>
    <w:rsid w:val="00D13E48"/>
    <w:rsid w:val="00D153A1"/>
    <w:rsid w:val="00D15D01"/>
    <w:rsid w:val="00D201F4"/>
    <w:rsid w:val="00D20D5E"/>
    <w:rsid w:val="00D21C3E"/>
    <w:rsid w:val="00D220CB"/>
    <w:rsid w:val="00D2224D"/>
    <w:rsid w:val="00D22C99"/>
    <w:rsid w:val="00D24D4A"/>
    <w:rsid w:val="00D266E1"/>
    <w:rsid w:val="00D27438"/>
    <w:rsid w:val="00D31CFA"/>
    <w:rsid w:val="00D32E0A"/>
    <w:rsid w:val="00D330AB"/>
    <w:rsid w:val="00D3314C"/>
    <w:rsid w:val="00D3567F"/>
    <w:rsid w:val="00D3588A"/>
    <w:rsid w:val="00D360EA"/>
    <w:rsid w:val="00D37186"/>
    <w:rsid w:val="00D40F56"/>
    <w:rsid w:val="00D41102"/>
    <w:rsid w:val="00D42938"/>
    <w:rsid w:val="00D436A2"/>
    <w:rsid w:val="00D4394D"/>
    <w:rsid w:val="00D43FF0"/>
    <w:rsid w:val="00D45974"/>
    <w:rsid w:val="00D45BCE"/>
    <w:rsid w:val="00D466C1"/>
    <w:rsid w:val="00D5008E"/>
    <w:rsid w:val="00D50BF6"/>
    <w:rsid w:val="00D51298"/>
    <w:rsid w:val="00D51F1D"/>
    <w:rsid w:val="00D5367C"/>
    <w:rsid w:val="00D539D0"/>
    <w:rsid w:val="00D54704"/>
    <w:rsid w:val="00D55835"/>
    <w:rsid w:val="00D56867"/>
    <w:rsid w:val="00D579D9"/>
    <w:rsid w:val="00D60C57"/>
    <w:rsid w:val="00D61184"/>
    <w:rsid w:val="00D620BC"/>
    <w:rsid w:val="00D62D7A"/>
    <w:rsid w:val="00D646EF"/>
    <w:rsid w:val="00D65047"/>
    <w:rsid w:val="00D65943"/>
    <w:rsid w:val="00D678EB"/>
    <w:rsid w:val="00D67A9A"/>
    <w:rsid w:val="00D67B99"/>
    <w:rsid w:val="00D72EC7"/>
    <w:rsid w:val="00D72F9D"/>
    <w:rsid w:val="00D73195"/>
    <w:rsid w:val="00D73D18"/>
    <w:rsid w:val="00D746F0"/>
    <w:rsid w:val="00D74935"/>
    <w:rsid w:val="00D767F4"/>
    <w:rsid w:val="00D80B74"/>
    <w:rsid w:val="00D83FBD"/>
    <w:rsid w:val="00D8716B"/>
    <w:rsid w:val="00D879F9"/>
    <w:rsid w:val="00D87E19"/>
    <w:rsid w:val="00D90250"/>
    <w:rsid w:val="00D9048A"/>
    <w:rsid w:val="00D9095D"/>
    <w:rsid w:val="00D9445F"/>
    <w:rsid w:val="00D9458E"/>
    <w:rsid w:val="00D94904"/>
    <w:rsid w:val="00D963EA"/>
    <w:rsid w:val="00D97EAA"/>
    <w:rsid w:val="00DA019A"/>
    <w:rsid w:val="00DA1D15"/>
    <w:rsid w:val="00DA21CB"/>
    <w:rsid w:val="00DA314E"/>
    <w:rsid w:val="00DA3702"/>
    <w:rsid w:val="00DA3803"/>
    <w:rsid w:val="00DA3916"/>
    <w:rsid w:val="00DA3E33"/>
    <w:rsid w:val="00DA40AA"/>
    <w:rsid w:val="00DA4881"/>
    <w:rsid w:val="00DA53A0"/>
    <w:rsid w:val="00DA5FBF"/>
    <w:rsid w:val="00DA6765"/>
    <w:rsid w:val="00DA6AD8"/>
    <w:rsid w:val="00DA6EE3"/>
    <w:rsid w:val="00DA79A0"/>
    <w:rsid w:val="00DB36A1"/>
    <w:rsid w:val="00DB6A8E"/>
    <w:rsid w:val="00DC09FD"/>
    <w:rsid w:val="00DC0DB5"/>
    <w:rsid w:val="00DC0E66"/>
    <w:rsid w:val="00DC18B9"/>
    <w:rsid w:val="00DC45FE"/>
    <w:rsid w:val="00DC7717"/>
    <w:rsid w:val="00DC7978"/>
    <w:rsid w:val="00DD0A4B"/>
    <w:rsid w:val="00DD0C64"/>
    <w:rsid w:val="00DD1AFB"/>
    <w:rsid w:val="00DD27F1"/>
    <w:rsid w:val="00DD3BE2"/>
    <w:rsid w:val="00DD4528"/>
    <w:rsid w:val="00DD53A7"/>
    <w:rsid w:val="00DD56A4"/>
    <w:rsid w:val="00DD5DCA"/>
    <w:rsid w:val="00DD6105"/>
    <w:rsid w:val="00DD72CD"/>
    <w:rsid w:val="00DE005F"/>
    <w:rsid w:val="00DE05E1"/>
    <w:rsid w:val="00DE3476"/>
    <w:rsid w:val="00DE4379"/>
    <w:rsid w:val="00DE50F1"/>
    <w:rsid w:val="00DE633F"/>
    <w:rsid w:val="00DF0229"/>
    <w:rsid w:val="00DF2AC6"/>
    <w:rsid w:val="00DF304F"/>
    <w:rsid w:val="00DF38F8"/>
    <w:rsid w:val="00DF45B1"/>
    <w:rsid w:val="00DF6319"/>
    <w:rsid w:val="00DF6BD8"/>
    <w:rsid w:val="00DF783A"/>
    <w:rsid w:val="00E02500"/>
    <w:rsid w:val="00E02857"/>
    <w:rsid w:val="00E03248"/>
    <w:rsid w:val="00E1034C"/>
    <w:rsid w:val="00E106B1"/>
    <w:rsid w:val="00E10CD8"/>
    <w:rsid w:val="00E11B05"/>
    <w:rsid w:val="00E12766"/>
    <w:rsid w:val="00E139AD"/>
    <w:rsid w:val="00E141FF"/>
    <w:rsid w:val="00E14466"/>
    <w:rsid w:val="00E174CD"/>
    <w:rsid w:val="00E176A7"/>
    <w:rsid w:val="00E17756"/>
    <w:rsid w:val="00E2140F"/>
    <w:rsid w:val="00E240DA"/>
    <w:rsid w:val="00E2460D"/>
    <w:rsid w:val="00E24BAE"/>
    <w:rsid w:val="00E26015"/>
    <w:rsid w:val="00E27A70"/>
    <w:rsid w:val="00E30609"/>
    <w:rsid w:val="00E3329D"/>
    <w:rsid w:val="00E33A83"/>
    <w:rsid w:val="00E33B1F"/>
    <w:rsid w:val="00E343B0"/>
    <w:rsid w:val="00E35017"/>
    <w:rsid w:val="00E355E6"/>
    <w:rsid w:val="00E365A5"/>
    <w:rsid w:val="00E40F3D"/>
    <w:rsid w:val="00E41248"/>
    <w:rsid w:val="00E41440"/>
    <w:rsid w:val="00E41F54"/>
    <w:rsid w:val="00E420B8"/>
    <w:rsid w:val="00E43134"/>
    <w:rsid w:val="00E441CE"/>
    <w:rsid w:val="00E47286"/>
    <w:rsid w:val="00E47675"/>
    <w:rsid w:val="00E50115"/>
    <w:rsid w:val="00E51132"/>
    <w:rsid w:val="00E5173A"/>
    <w:rsid w:val="00E51C3F"/>
    <w:rsid w:val="00E52137"/>
    <w:rsid w:val="00E52176"/>
    <w:rsid w:val="00E52A7D"/>
    <w:rsid w:val="00E54C08"/>
    <w:rsid w:val="00E54E26"/>
    <w:rsid w:val="00E552BF"/>
    <w:rsid w:val="00E55E4E"/>
    <w:rsid w:val="00E57235"/>
    <w:rsid w:val="00E57A93"/>
    <w:rsid w:val="00E61D84"/>
    <w:rsid w:val="00E62684"/>
    <w:rsid w:val="00E63ED8"/>
    <w:rsid w:val="00E669D9"/>
    <w:rsid w:val="00E674AD"/>
    <w:rsid w:val="00E70940"/>
    <w:rsid w:val="00E7129C"/>
    <w:rsid w:val="00E717B9"/>
    <w:rsid w:val="00E7399B"/>
    <w:rsid w:val="00E748C9"/>
    <w:rsid w:val="00E74B49"/>
    <w:rsid w:val="00E76519"/>
    <w:rsid w:val="00E80778"/>
    <w:rsid w:val="00E80F55"/>
    <w:rsid w:val="00E81500"/>
    <w:rsid w:val="00E82762"/>
    <w:rsid w:val="00E83BA2"/>
    <w:rsid w:val="00E85501"/>
    <w:rsid w:val="00E86E07"/>
    <w:rsid w:val="00E87192"/>
    <w:rsid w:val="00E90D94"/>
    <w:rsid w:val="00E91FD1"/>
    <w:rsid w:val="00E9391B"/>
    <w:rsid w:val="00E93FC3"/>
    <w:rsid w:val="00E94FCE"/>
    <w:rsid w:val="00E954C7"/>
    <w:rsid w:val="00E96579"/>
    <w:rsid w:val="00E973A1"/>
    <w:rsid w:val="00EA118C"/>
    <w:rsid w:val="00EA21B1"/>
    <w:rsid w:val="00EA303A"/>
    <w:rsid w:val="00EA440C"/>
    <w:rsid w:val="00EA48DF"/>
    <w:rsid w:val="00EA61A5"/>
    <w:rsid w:val="00EA663F"/>
    <w:rsid w:val="00EB099E"/>
    <w:rsid w:val="00EB3716"/>
    <w:rsid w:val="00EB393D"/>
    <w:rsid w:val="00EB4E35"/>
    <w:rsid w:val="00EB59F8"/>
    <w:rsid w:val="00EB7500"/>
    <w:rsid w:val="00EB7A6E"/>
    <w:rsid w:val="00EC00EA"/>
    <w:rsid w:val="00EC055C"/>
    <w:rsid w:val="00EC1AE2"/>
    <w:rsid w:val="00EC3E1C"/>
    <w:rsid w:val="00EC3E30"/>
    <w:rsid w:val="00EC42CA"/>
    <w:rsid w:val="00EC5578"/>
    <w:rsid w:val="00ED00EB"/>
    <w:rsid w:val="00ED1535"/>
    <w:rsid w:val="00ED161A"/>
    <w:rsid w:val="00ED215A"/>
    <w:rsid w:val="00ED28A0"/>
    <w:rsid w:val="00ED6DD5"/>
    <w:rsid w:val="00ED6E64"/>
    <w:rsid w:val="00ED759A"/>
    <w:rsid w:val="00ED7EC6"/>
    <w:rsid w:val="00EE2CAD"/>
    <w:rsid w:val="00EE2DDB"/>
    <w:rsid w:val="00EE3223"/>
    <w:rsid w:val="00EE32AB"/>
    <w:rsid w:val="00EE361C"/>
    <w:rsid w:val="00EE769B"/>
    <w:rsid w:val="00EF005C"/>
    <w:rsid w:val="00EF0BA8"/>
    <w:rsid w:val="00EF0BEE"/>
    <w:rsid w:val="00EF23BF"/>
    <w:rsid w:val="00EF388D"/>
    <w:rsid w:val="00EF4FA9"/>
    <w:rsid w:val="00EF666F"/>
    <w:rsid w:val="00EF7526"/>
    <w:rsid w:val="00F00F4C"/>
    <w:rsid w:val="00F01C7B"/>
    <w:rsid w:val="00F0312E"/>
    <w:rsid w:val="00F0470B"/>
    <w:rsid w:val="00F06043"/>
    <w:rsid w:val="00F0657B"/>
    <w:rsid w:val="00F07C7F"/>
    <w:rsid w:val="00F1136A"/>
    <w:rsid w:val="00F123C7"/>
    <w:rsid w:val="00F123CF"/>
    <w:rsid w:val="00F13903"/>
    <w:rsid w:val="00F14E8B"/>
    <w:rsid w:val="00F152EA"/>
    <w:rsid w:val="00F16B98"/>
    <w:rsid w:val="00F170B8"/>
    <w:rsid w:val="00F21671"/>
    <w:rsid w:val="00F225F5"/>
    <w:rsid w:val="00F24306"/>
    <w:rsid w:val="00F27A37"/>
    <w:rsid w:val="00F31116"/>
    <w:rsid w:val="00F32B8F"/>
    <w:rsid w:val="00F36309"/>
    <w:rsid w:val="00F36E5E"/>
    <w:rsid w:val="00F37574"/>
    <w:rsid w:val="00F40855"/>
    <w:rsid w:val="00F40B47"/>
    <w:rsid w:val="00F414AC"/>
    <w:rsid w:val="00F41633"/>
    <w:rsid w:val="00F418FA"/>
    <w:rsid w:val="00F4197A"/>
    <w:rsid w:val="00F42888"/>
    <w:rsid w:val="00F4567E"/>
    <w:rsid w:val="00F46275"/>
    <w:rsid w:val="00F46DF6"/>
    <w:rsid w:val="00F4785D"/>
    <w:rsid w:val="00F47904"/>
    <w:rsid w:val="00F502CB"/>
    <w:rsid w:val="00F52598"/>
    <w:rsid w:val="00F53671"/>
    <w:rsid w:val="00F549C9"/>
    <w:rsid w:val="00F559B1"/>
    <w:rsid w:val="00F562CC"/>
    <w:rsid w:val="00F5696E"/>
    <w:rsid w:val="00F579C1"/>
    <w:rsid w:val="00F57AF4"/>
    <w:rsid w:val="00F57BAE"/>
    <w:rsid w:val="00F61A63"/>
    <w:rsid w:val="00F61F55"/>
    <w:rsid w:val="00F718F5"/>
    <w:rsid w:val="00F72EA2"/>
    <w:rsid w:val="00F76299"/>
    <w:rsid w:val="00F802F6"/>
    <w:rsid w:val="00F80437"/>
    <w:rsid w:val="00F8118C"/>
    <w:rsid w:val="00F81A31"/>
    <w:rsid w:val="00F81B60"/>
    <w:rsid w:val="00F82480"/>
    <w:rsid w:val="00F8348C"/>
    <w:rsid w:val="00F8358E"/>
    <w:rsid w:val="00F8366C"/>
    <w:rsid w:val="00F84877"/>
    <w:rsid w:val="00F85F0C"/>
    <w:rsid w:val="00F86EA6"/>
    <w:rsid w:val="00F87422"/>
    <w:rsid w:val="00F919AC"/>
    <w:rsid w:val="00F92CCB"/>
    <w:rsid w:val="00F943D3"/>
    <w:rsid w:val="00F974D6"/>
    <w:rsid w:val="00F978F4"/>
    <w:rsid w:val="00FA073A"/>
    <w:rsid w:val="00FA1CEB"/>
    <w:rsid w:val="00FA20B1"/>
    <w:rsid w:val="00FA20E0"/>
    <w:rsid w:val="00FA387A"/>
    <w:rsid w:val="00FA44A3"/>
    <w:rsid w:val="00FA4D06"/>
    <w:rsid w:val="00FA4FF0"/>
    <w:rsid w:val="00FA6603"/>
    <w:rsid w:val="00FA6BC6"/>
    <w:rsid w:val="00FA7A04"/>
    <w:rsid w:val="00FB0928"/>
    <w:rsid w:val="00FB0F8C"/>
    <w:rsid w:val="00FB191A"/>
    <w:rsid w:val="00FB3241"/>
    <w:rsid w:val="00FB360B"/>
    <w:rsid w:val="00FB389B"/>
    <w:rsid w:val="00FB5322"/>
    <w:rsid w:val="00FB53B6"/>
    <w:rsid w:val="00FB5917"/>
    <w:rsid w:val="00FB72D8"/>
    <w:rsid w:val="00FC0EC4"/>
    <w:rsid w:val="00FC0FC7"/>
    <w:rsid w:val="00FC2B2D"/>
    <w:rsid w:val="00FC3827"/>
    <w:rsid w:val="00FC72A1"/>
    <w:rsid w:val="00FC761C"/>
    <w:rsid w:val="00FD02A4"/>
    <w:rsid w:val="00FD0980"/>
    <w:rsid w:val="00FD13AE"/>
    <w:rsid w:val="00FD2447"/>
    <w:rsid w:val="00FD3125"/>
    <w:rsid w:val="00FD3C51"/>
    <w:rsid w:val="00FD3D2B"/>
    <w:rsid w:val="00FD40A6"/>
    <w:rsid w:val="00FD7D3B"/>
    <w:rsid w:val="00FE09BA"/>
    <w:rsid w:val="00FE0A3A"/>
    <w:rsid w:val="00FE351A"/>
    <w:rsid w:val="00FE6303"/>
    <w:rsid w:val="00FE71D4"/>
    <w:rsid w:val="00FE7430"/>
    <w:rsid w:val="00FF171F"/>
    <w:rsid w:val="00FF180E"/>
    <w:rsid w:val="00FF1AC9"/>
    <w:rsid w:val="00FF252B"/>
    <w:rsid w:val="00FF284A"/>
    <w:rsid w:val="00FF3DF2"/>
    <w:rsid w:val="00FF4E68"/>
    <w:rsid w:val="00FF5B67"/>
    <w:rsid w:val="00FF5EAD"/>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4C4EC43"/>
  <w15:docId w15:val="{B81755BF-259D-47BD-8841-F6A7330B0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Pr>
      <w:b/>
    </w:rPr>
  </w:style>
  <w:style w:type="paragraph" w:styleId="a4">
    <w:name w:val="annotation text"/>
    <w:basedOn w:val="a"/>
    <w:link w:val="a6"/>
    <w:unhideWhenUsed/>
    <w:qFormat/>
    <w:pPr>
      <w:jc w:val="left"/>
    </w:pPr>
    <w:rPr>
      <w:rFonts w:ascii="Times New Roman" w:eastAsia="宋体" w:hAnsi="Times New Roman" w:cs="Times New Roman"/>
      <w:szCs w:val="20"/>
    </w:rPr>
  </w:style>
  <w:style w:type="paragraph" w:styleId="a7">
    <w:name w:val="Normal Indent"/>
    <w:aliases w:val="特点,表正文,正文非缩进,段1,正文缩进1,ALT+Z,no-step,缩进"/>
    <w:basedOn w:val="a"/>
    <w:unhideWhenUsed/>
    <w:qFormat/>
    <w:pPr>
      <w:ind w:firstLineChars="200" w:firstLine="420"/>
    </w:pPr>
    <w:rPr>
      <w:rFonts w:ascii="Times New Roman" w:eastAsia="宋体" w:hAnsi="Times New Roman" w:cs="Times New Roman"/>
      <w:szCs w:val="20"/>
    </w:rPr>
  </w:style>
  <w:style w:type="paragraph" w:styleId="a8">
    <w:name w:val="Document Map"/>
    <w:basedOn w:val="a"/>
    <w:link w:val="a9"/>
    <w:unhideWhenUsed/>
    <w:qFormat/>
    <w:pPr>
      <w:shd w:val="clear" w:color="auto" w:fill="000080"/>
    </w:pPr>
    <w:rPr>
      <w:rFonts w:ascii="Times New Roman" w:eastAsia="宋体" w:hAnsi="Times New Roman" w:cs="Times New Roman"/>
      <w:szCs w:val="20"/>
    </w:rPr>
  </w:style>
  <w:style w:type="paragraph" w:styleId="aa">
    <w:name w:val="Body Text"/>
    <w:basedOn w:val="a"/>
    <w:link w:val="ab"/>
    <w:unhideWhenUsed/>
    <w:qFormat/>
    <w:pPr>
      <w:autoSpaceDE w:val="0"/>
      <w:autoSpaceDN w:val="0"/>
      <w:adjustRightInd w:val="0"/>
      <w:spacing w:line="360" w:lineRule="auto"/>
      <w:jc w:val="left"/>
    </w:pPr>
    <w:rPr>
      <w:rFonts w:ascii="宋体" w:eastAsia="宋体" w:hAnsi="Calibri" w:cs="Times New Roman"/>
      <w:kern w:val="0"/>
    </w:rPr>
  </w:style>
  <w:style w:type="paragraph" w:styleId="ac">
    <w:name w:val="Body Text Indent"/>
    <w:basedOn w:val="a"/>
    <w:link w:val="ad"/>
    <w:uiPriority w:val="99"/>
    <w:unhideWhenUsed/>
    <w:qFormat/>
    <w:pPr>
      <w:spacing w:after="120"/>
      <w:ind w:leftChars="200" w:left="420"/>
    </w:pPr>
  </w:style>
  <w:style w:type="paragraph" w:styleId="TOC3">
    <w:name w:val="toc 3"/>
    <w:basedOn w:val="a"/>
    <w:next w:val="a"/>
    <w:unhideWhenUsed/>
    <w:qFormat/>
    <w:pPr>
      <w:ind w:leftChars="400" w:left="840"/>
    </w:pPr>
    <w:rPr>
      <w:rFonts w:ascii="Times New Roman" w:eastAsia="宋体" w:hAnsi="Times New Roman" w:cs="Times New Roman"/>
      <w:szCs w:val="20"/>
    </w:rPr>
  </w:style>
  <w:style w:type="paragraph" w:styleId="ae">
    <w:name w:val="Plain Text"/>
    <w:basedOn w:val="a"/>
    <w:link w:val="af"/>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unhideWhenUsed/>
    <w:qFormat/>
    <w:pPr>
      <w:spacing w:line="360" w:lineRule="auto"/>
      <w:ind w:firstLine="425"/>
    </w:pPr>
    <w:rPr>
      <w:rFonts w:ascii="仿宋_GB2312" w:eastAsia="仿宋_GB2312" w:hAnsi="Times New Roman" w:cs="Times New Roman"/>
      <w:sz w:val="28"/>
      <w:szCs w:val="20"/>
    </w:rPr>
  </w:style>
  <w:style w:type="paragraph" w:styleId="af0">
    <w:name w:val="Balloon Text"/>
    <w:basedOn w:val="a"/>
    <w:link w:val="af1"/>
    <w:unhideWhenUsed/>
    <w:qFormat/>
    <w:rPr>
      <w:rFonts w:ascii="Times New Roman" w:eastAsia="宋体" w:hAnsi="Times New Roman" w:cs="Times New Roman"/>
      <w:sz w:val="18"/>
      <w:szCs w:val="20"/>
    </w:rPr>
  </w:style>
  <w:style w:type="paragraph" w:styleId="af2">
    <w:name w:val="footer"/>
    <w:basedOn w:val="a"/>
    <w:link w:val="af3"/>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4">
    <w:name w:val="header"/>
    <w:basedOn w:val="a"/>
    <w:link w:val="af5"/>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6">
    <w:name w:val="footnote text"/>
    <w:basedOn w:val="a"/>
    <w:link w:val="af7"/>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8">
    <w:name w:val="Title"/>
    <w:basedOn w:val="a"/>
    <w:next w:val="a"/>
    <w:link w:val="af9"/>
    <w:qFormat/>
    <w:pPr>
      <w:spacing w:before="240" w:after="60"/>
      <w:jc w:val="center"/>
      <w:outlineLvl w:val="0"/>
    </w:pPr>
    <w:rPr>
      <w:rFonts w:ascii="Cambria" w:eastAsia="宋体" w:hAnsi="Cambria" w:cs="Times New Roman"/>
      <w:b/>
      <w:sz w:val="32"/>
    </w:rPr>
  </w:style>
  <w:style w:type="character" w:styleId="afa">
    <w:name w:val="FollowedHyperlink"/>
    <w:basedOn w:val="a0"/>
    <w:uiPriority w:val="99"/>
    <w:unhideWhenUsed/>
    <w:qFormat/>
    <w:rPr>
      <w:color w:val="800080" w:themeColor="followedHyperlink"/>
      <w:u w:val="single"/>
    </w:rPr>
  </w:style>
  <w:style w:type="character" w:styleId="afb">
    <w:name w:val="Hyperlink"/>
    <w:uiPriority w:val="99"/>
    <w:unhideWhenUsed/>
    <w:qFormat/>
    <w:rPr>
      <w:color w:val="0000FF"/>
      <w:u w:val="single"/>
    </w:rPr>
  </w:style>
  <w:style w:type="character" w:styleId="afc">
    <w:name w:val="annotation reference"/>
    <w:unhideWhenUsed/>
    <w:qFormat/>
    <w:rPr>
      <w:sz w:val="21"/>
    </w:rPr>
  </w:style>
  <w:style w:type="character" w:styleId="afd">
    <w:name w:val="footnote reference"/>
    <w:unhideWhenUsed/>
    <w:qFormat/>
    <w:rPr>
      <w:vertAlign w:val="superscript"/>
    </w:rPr>
  </w:style>
  <w:style w:type="table" w:styleId="afe">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7">
    <w:name w:val="脚注文本 字符"/>
    <w:basedOn w:val="a0"/>
    <w:link w:val="af6"/>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5">
    <w:name w:val="页眉 字符"/>
    <w:basedOn w:val="a0"/>
    <w:link w:val="af4"/>
    <w:uiPriority w:val="99"/>
    <w:qFormat/>
    <w:rPr>
      <w:rFonts w:ascii="Times New Roman" w:eastAsia="宋体" w:hAnsi="Times New Roman" w:cs="Times New Roman"/>
      <w:sz w:val="18"/>
      <w:szCs w:val="18"/>
    </w:rPr>
  </w:style>
  <w:style w:type="character" w:customStyle="1" w:styleId="af3">
    <w:name w:val="页脚 字符"/>
    <w:basedOn w:val="a0"/>
    <w:link w:val="af2"/>
    <w:uiPriority w:val="99"/>
    <w:qFormat/>
    <w:rPr>
      <w:rFonts w:ascii="Times New Roman" w:eastAsia="宋体" w:hAnsi="Times New Roman" w:cs="Times New Roman"/>
      <w:sz w:val="18"/>
      <w:szCs w:val="18"/>
    </w:rPr>
  </w:style>
  <w:style w:type="character" w:customStyle="1" w:styleId="af9">
    <w:name w:val="标题 字符"/>
    <w:basedOn w:val="a0"/>
    <w:link w:val="af8"/>
    <w:qFormat/>
    <w:rPr>
      <w:rFonts w:ascii="Cambria" w:eastAsia="宋体" w:hAnsi="Cambria" w:cs="Times New Roman"/>
      <w:b/>
      <w:sz w:val="32"/>
    </w:rPr>
  </w:style>
  <w:style w:type="character" w:customStyle="1" w:styleId="ab">
    <w:name w:val="正文文本 字符"/>
    <w:basedOn w:val="a0"/>
    <w:link w:val="aa"/>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9">
    <w:name w:val="文档结构图 字符"/>
    <w:basedOn w:val="a0"/>
    <w:link w:val="a8"/>
    <w:semiHidden/>
    <w:qFormat/>
    <w:rPr>
      <w:rFonts w:ascii="Times New Roman" w:eastAsia="宋体" w:hAnsi="Times New Roman" w:cs="Times New Roman"/>
      <w:szCs w:val="20"/>
      <w:shd w:val="clear" w:color="auto" w:fill="000080"/>
    </w:rPr>
  </w:style>
  <w:style w:type="character" w:customStyle="1" w:styleId="af">
    <w:name w:val="纯文本 字符"/>
    <w:basedOn w:val="a0"/>
    <w:link w:val="ae"/>
    <w:semiHidden/>
    <w:qFormat/>
    <w:rPr>
      <w:rFonts w:ascii="宋体" w:eastAsia="宋体" w:hAnsi="Courier New" w:cs="Times New Roman"/>
      <w:kern w:val="0"/>
      <w:szCs w:val="20"/>
    </w:rPr>
  </w:style>
  <w:style w:type="character" w:customStyle="1" w:styleId="a5">
    <w:name w:val="批注主题 字符"/>
    <w:basedOn w:val="Char"/>
    <w:link w:val="a3"/>
    <w:semiHidden/>
    <w:qFormat/>
    <w:rPr>
      <w:rFonts w:ascii="Times New Roman" w:eastAsia="宋体" w:hAnsi="Times New Roman" w:cs="Times New Roman"/>
      <w:b/>
      <w:szCs w:val="20"/>
    </w:rPr>
  </w:style>
  <w:style w:type="character" w:customStyle="1" w:styleId="af1">
    <w:name w:val="批注框文本 字符"/>
    <w:basedOn w:val="a0"/>
    <w:link w:val="af0"/>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a"/>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6">
    <w:name w:val="批注文字 字符"/>
    <w:basedOn w:val="a0"/>
    <w:link w:val="a4"/>
    <w:qFormat/>
    <w:locked/>
    <w:rPr>
      <w:rFonts w:ascii="Times New Roman" w:eastAsia="宋体" w:hAnsi="Times New Roman" w:cs="Times New Roman"/>
      <w:szCs w:val="20"/>
    </w:rPr>
  </w:style>
  <w:style w:type="character" w:customStyle="1" w:styleId="Char12">
    <w:name w:val="批注主题 Char1"/>
    <w:basedOn w:val="a6"/>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customStyle="1" w:styleId="12">
    <w:name w:val="列表段落1"/>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character" w:customStyle="1" w:styleId="ad">
    <w:name w:val="正文文本缩进 字符"/>
    <w:basedOn w:val="a0"/>
    <w:link w:val="ac"/>
    <w:uiPriority w:val="99"/>
    <w:semiHidden/>
    <w:qFormat/>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qFormat/>
    <w:rPr>
      <w:rFonts w:asciiTheme="minorHAnsi" w:eastAsiaTheme="minorEastAsia" w:hAnsiTheme="minorHAnsi" w:cstheme="minorBidi"/>
      <w:kern w:val="2"/>
      <w:sz w:val="21"/>
      <w:szCs w:val="22"/>
    </w:rPr>
  </w:style>
  <w:style w:type="paragraph" w:customStyle="1" w:styleId="33">
    <w:name w:val="修订3"/>
    <w:hidden/>
    <w:uiPriority w:val="99"/>
    <w:unhideWhenUsed/>
    <w:qFormat/>
    <w:rPr>
      <w:rFonts w:asciiTheme="minorHAnsi" w:eastAsiaTheme="minorEastAsia" w:hAnsiTheme="minorHAnsi" w:cstheme="minorBidi"/>
      <w:kern w:val="2"/>
      <w:sz w:val="21"/>
      <w:szCs w:val="22"/>
    </w:rPr>
  </w:style>
  <w:style w:type="paragraph" w:customStyle="1" w:styleId="4">
    <w:name w:val="修订4"/>
    <w:hidden/>
    <w:uiPriority w:val="99"/>
    <w:semiHidden/>
    <w:qFormat/>
    <w:rPr>
      <w:rFonts w:asciiTheme="minorHAnsi" w:eastAsiaTheme="minorEastAsia" w:hAnsiTheme="minorHAnsi" w:cstheme="minorBidi"/>
      <w:kern w:val="2"/>
      <w:sz w:val="21"/>
      <w:szCs w:val="22"/>
    </w:rPr>
  </w:style>
  <w:style w:type="paragraph" w:styleId="aff1">
    <w:name w:val="Revision"/>
    <w:hidden/>
    <w:uiPriority w:val="99"/>
    <w:semiHidden/>
    <w:rsid w:val="007903C5"/>
    <w:rPr>
      <w:rFonts w:asciiTheme="minorHAnsi" w:eastAsiaTheme="minorEastAsia" w:hAnsiTheme="minorHAnsi" w:cstheme="minorBidi"/>
      <w:kern w:val="2"/>
      <w:sz w:val="21"/>
      <w:szCs w:val="22"/>
    </w:rPr>
  </w:style>
  <w:style w:type="paragraph" w:styleId="aff2">
    <w:name w:val="List Paragraph"/>
    <w:basedOn w:val="a"/>
    <w:uiPriority w:val="34"/>
    <w:qFormat/>
    <w:rsid w:val="00461C13"/>
    <w:pPr>
      <w:spacing w:after="160" w:line="278" w:lineRule="auto"/>
      <w:ind w:left="720"/>
      <w:contextualSpacing/>
      <w:jc w:val="left"/>
    </w:pPr>
    <w:rPr>
      <w:sz w:val="22"/>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7.xml"/><Relationship Id="rId26" Type="http://schemas.openxmlformats.org/officeDocument/2006/relationships/footer" Target="footer13.xml"/><Relationship Id="rId3" Type="http://schemas.openxmlformats.org/officeDocument/2006/relationships/numbering" Target="numbering.xml"/><Relationship Id="rId21" Type="http://schemas.openxmlformats.org/officeDocument/2006/relationships/image" Target="media/image1.jpeg"/><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6.xml"/><Relationship Id="rId25" Type="http://schemas.openxmlformats.org/officeDocument/2006/relationships/footer" Target="footer12.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footer" Target="footer9.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11.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footer" Target="footer10.xml"/><Relationship Id="rId28"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footer" Target="footer8.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2.jpeg"/><Relationship Id="rId27" Type="http://schemas.openxmlformats.org/officeDocument/2006/relationships/footer" Target="footer1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823E3B1-4118-46B0-810A-621B1891A7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1487</TotalTime>
  <Pages>135</Pages>
  <Words>47145</Words>
  <Characters>48088</Characters>
  <Application>Microsoft Office Word</Application>
  <DocSecurity>0</DocSecurity>
  <Lines>2289</Lines>
  <Paragraphs>2116</Paragraphs>
  <ScaleCrop>false</ScaleCrop>
  <Company>Microsoft</Company>
  <LinksUpToDate>false</LinksUpToDate>
  <CharactersWithSpaces>93117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徐铮</cp:lastModifiedBy>
  <cp:revision>124</cp:revision>
  <cp:lastPrinted>2022-04-14T05:05:00Z</cp:lastPrinted>
  <dcterms:created xsi:type="dcterms:W3CDTF">2023-07-21T11:23:00Z</dcterms:created>
  <dcterms:modified xsi:type="dcterms:W3CDTF">2025-08-05T07:20:00Z</dcterms:modified>
  <cp:contentStatus>浙商银行*回复: 3-公告-富荣研究优选混合型证券投资基金招募说明书*linbin@czbank.com*liuzf@furamc.com.cn * * *2023-07-21 19:24:34;</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ies>
</file>