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EDB4A" w14:textId="77777777" w:rsidR="00F3741D" w:rsidRDefault="00000000">
      <w:pPr>
        <w:jc w:val="center"/>
        <w:rPr>
          <w:rFonts w:ascii="黑体" w:eastAsia="黑体" w:hAnsi="黑体" w:hint="eastAsia"/>
          <w:b/>
          <w:bCs/>
        </w:rPr>
      </w:pPr>
      <w:r>
        <w:rPr>
          <w:rFonts w:ascii="黑体" w:eastAsia="黑体" w:hAnsi="黑体" w:hint="eastAsia"/>
          <w:b/>
          <w:bCs/>
        </w:rPr>
        <w:t>【峥选定投】20250724定投日志</w:t>
      </w:r>
    </w:p>
    <w:p w14:paraId="650F68DE" w14:textId="77777777" w:rsidR="00F3741D" w:rsidRDefault="00000000">
      <w:pPr>
        <w:ind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大家好！我是富荣信息技术混合、富荣福锦混合的基金经理李延峥。我于7月23日定投买入富荣信息技术混合A、富荣福锦混合A两只产品各1000元。</w:t>
      </w:r>
    </w:p>
    <w:p w14:paraId="1B36F553" w14:textId="77777777" w:rsidR="00F3741D" w:rsidRDefault="00000000">
      <w:pPr>
        <w:jc w:val="center"/>
        <w:rPr>
          <w:rFonts w:ascii="黑体" w:hAnsi="黑体" w:hint="eastAsia"/>
        </w:rPr>
      </w:pPr>
      <w:r>
        <w:rPr>
          <w:rFonts w:ascii="黑体" w:hAnsi="黑体" w:hint="eastAsia"/>
          <w:noProof/>
        </w:rPr>
        <w:drawing>
          <wp:inline distT="0" distB="0" distL="0" distR="0" wp14:anchorId="240E8EC3" wp14:editId="5D879F63">
            <wp:extent cx="4114800" cy="5810250"/>
            <wp:effectExtent l="0" t="0" r="0" b="0"/>
            <wp:docPr id="11934835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483543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581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E417A" w14:textId="77777777" w:rsidR="00F3741D" w:rsidRDefault="00000000" w:rsidP="00562EFC">
      <w:pPr>
        <w:spacing w:line="279" w:lineRule="auto"/>
        <w:ind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近期我们发布了富荣信息技术混合和富荣福锦混合的基金二季报，现在将重点信息进行摘录，供大家参考：</w:t>
      </w:r>
    </w:p>
    <w:p w14:paraId="6ED2B45E" w14:textId="77777777" w:rsidR="00F3741D" w:rsidRDefault="00000000" w:rsidP="00562EFC">
      <w:pPr>
        <w:pStyle w:val="af2"/>
        <w:numPr>
          <w:ilvl w:val="0"/>
          <w:numId w:val="1"/>
        </w:numPr>
        <w:spacing w:line="279" w:lineRule="auto"/>
        <w:ind w:left="0"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富荣信息技术混合：2025年二季度，我们对组合进行了一定的调整，在大的方向上仍然看好AI产业的大方向，但在细分领域上遵循产业周期的思路，从AI上游的算力产业链切换到了AI下游应用方向，包括：营销、ERP、财税金融、游戏、视频、端侧硬件等。截至2025年二季末，富荣信息技术混合A近三年净值增长率为</w:t>
      </w:r>
      <w:r>
        <w:rPr>
          <w:rFonts w:ascii="黑体" w:eastAsia="黑体" w:hAnsi="黑体"/>
        </w:rPr>
        <w:t>18.65%</w:t>
      </w:r>
      <w:r>
        <w:rPr>
          <w:rFonts w:ascii="黑体" w:eastAsia="黑体" w:hAnsi="黑体" w:hint="eastAsia"/>
        </w:rPr>
        <w:t>，超过同期业绩比较基准</w:t>
      </w:r>
      <w:r>
        <w:rPr>
          <w:rFonts w:ascii="黑体" w:eastAsia="黑体" w:hAnsi="黑体"/>
        </w:rPr>
        <w:t>5.70%</w:t>
      </w:r>
      <w:r>
        <w:rPr>
          <w:rFonts w:ascii="黑体" w:eastAsia="黑体" w:hAnsi="黑体" w:hint="eastAsia"/>
        </w:rPr>
        <w:t>。另外国泰海通证券排行榜数据显示，截至2025年6月30日，富荣信息技术混合A近三年业绩同类排名为前5%，跑赢2300余只</w:t>
      </w:r>
      <w:r>
        <w:rPr>
          <w:rFonts w:ascii="黑体" w:eastAsia="黑体" w:hAnsi="黑体" w:hint="eastAsia"/>
        </w:rPr>
        <w:lastRenderedPageBreak/>
        <w:t>同类强股混合型基金</w:t>
      </w:r>
      <w:r w:rsidRPr="00562EFC">
        <w:rPr>
          <w:rFonts w:ascii="黑体" w:eastAsia="黑体" w:hAnsi="黑体" w:hint="eastAsia"/>
          <w:vertAlign w:val="superscript"/>
        </w:rPr>
        <w:t>①</w:t>
      </w:r>
      <w:r>
        <w:rPr>
          <w:rFonts w:ascii="黑体" w:eastAsia="黑体" w:hAnsi="黑体" w:hint="eastAsia"/>
        </w:rPr>
        <w:t>。</w:t>
      </w:r>
    </w:p>
    <w:p w14:paraId="245E6C31" w14:textId="77777777" w:rsidR="00F3741D" w:rsidRDefault="00000000" w:rsidP="00562EFC">
      <w:pPr>
        <w:pStyle w:val="af2"/>
        <w:spacing w:line="279" w:lineRule="auto"/>
        <w:ind w:left="0"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对于AI应用我们会首先聚焦能够先商业模式跑通、先兑现收入的场景。方向上由于大模型的幻觉，我们认为在严肃、决策领域可能还需时间，在辅助、效率领域的突破可能更快，拥有私有化数据、客户入口、产业生态的公司在落地上或许会更快。 由于应用爆发方向的不确定性，我们会保持对AI应用方向的持续重点跟踪，做好应对。</w:t>
      </w:r>
    </w:p>
    <w:p w14:paraId="556958F5" w14:textId="541194E7" w:rsidR="00F3741D" w:rsidRDefault="00000000" w:rsidP="00562EFC">
      <w:pPr>
        <w:pStyle w:val="af2"/>
        <w:numPr>
          <w:ilvl w:val="0"/>
          <w:numId w:val="1"/>
        </w:numPr>
        <w:spacing w:line="279" w:lineRule="auto"/>
        <w:ind w:left="0"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富荣福锦混合：2025年二季度，我们主要投资于成长方向，通过主动细致的研究找出中长期维度下成长性充足的赛道和公司，再在其中选出其当下的基本面位置处于边际向上阶段的个股，力争抓住景气度持续向上的产业投资机会。综合我们对于全市场主要成长方向的基本面研究和跟踪，我们认为当下科技行业和部分高端制造行业具备相对优势。截至2025年二季末，富荣福锦混合A近一年净值增长率为</w:t>
      </w:r>
      <w:r>
        <w:rPr>
          <w:rFonts w:ascii="黑体" w:eastAsia="黑体" w:hAnsi="黑体"/>
        </w:rPr>
        <w:t>16.21</w:t>
      </w:r>
      <w:r>
        <w:rPr>
          <w:rFonts w:ascii="黑体" w:eastAsia="黑体" w:hAnsi="黑体" w:hint="eastAsia"/>
        </w:rPr>
        <w:t>%，超越业绩比较基准</w:t>
      </w:r>
      <w:r>
        <w:rPr>
          <w:rFonts w:ascii="黑体" w:eastAsia="黑体" w:hAnsi="黑体"/>
        </w:rPr>
        <w:t>4.45%</w:t>
      </w:r>
      <w:r>
        <w:rPr>
          <w:rFonts w:ascii="黑体" w:eastAsia="黑体" w:hAnsi="黑体" w:hint="eastAsia"/>
        </w:rPr>
        <w:t>；自基金合同生效起至今的净值增长率是94.67%，超越业绩比较基准82.22%。另外根据国泰海通证券排行榜数据显示，富荣福锦混合A近五年业绩同类排名为前10%，获得3年期、5年期五星评级</w:t>
      </w:r>
      <w:r w:rsidRPr="00562EFC">
        <w:rPr>
          <w:rFonts w:ascii="黑体" w:eastAsia="黑体" w:hAnsi="黑体" w:hint="eastAsia"/>
          <w:vertAlign w:val="superscript"/>
        </w:rPr>
        <w:t>②</w:t>
      </w:r>
      <w:r>
        <w:rPr>
          <w:rFonts w:ascii="黑体" w:eastAsia="黑体" w:hAnsi="黑体" w:hint="eastAsia"/>
        </w:rPr>
        <w:t>。</w:t>
      </w:r>
    </w:p>
    <w:p w14:paraId="4586A1F2" w14:textId="77777777" w:rsidR="00F3741D" w:rsidRDefault="00000000" w:rsidP="00562EFC">
      <w:pPr>
        <w:pStyle w:val="af2"/>
        <w:spacing w:line="279" w:lineRule="auto"/>
        <w:ind w:left="0"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展望未来，部分科技和高端制造业公司可能正处于深度受益AI能力提升而带来应用大规模落地的前夜，一些影响产业节奏的事件将市场预期变得相对悲观，但“短期逆势，长期顺势”正是创造超额收益的方法之一。我们选择坚定持有和寻找更好更多的能够在AI浪潮下用技术能力创造价值并实现商业变现的公司。</w:t>
      </w:r>
    </w:p>
    <w:p w14:paraId="58FF8CD1" w14:textId="77777777" w:rsidR="00F3741D" w:rsidRDefault="00F3741D">
      <w:pPr>
        <w:rPr>
          <w:rFonts w:ascii="黑体" w:eastAsia="黑体" w:hAnsi="黑体" w:hint="eastAsia"/>
        </w:rPr>
      </w:pPr>
    </w:p>
    <w:p w14:paraId="5ECA07D7" w14:textId="77777777" w:rsidR="00F3741D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 xml:space="preserve">注： </w:t>
      </w:r>
    </w:p>
    <w:p w14:paraId="079B9BC0" w14:textId="418A3457" w:rsidR="00F3741D" w:rsidRDefault="00000000" w:rsidP="00562EFC">
      <w:pPr>
        <w:pStyle w:val="af2"/>
        <w:numPr>
          <w:ilvl w:val="0"/>
          <w:numId w:val="2"/>
        </w:numPr>
        <w:spacing w:line="279" w:lineRule="auto"/>
        <w:ind w:left="0"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业绩数据来源：基金定期报告，截至2025年6月30日。富荣信息技术混合的业绩比较基准为：中证全指信息技术指数收益率×70%+中债综合指数收益率×30%，同期业绩比较基准收益率为</w:t>
      </w:r>
      <w:r>
        <w:rPr>
          <w:rFonts w:ascii="黑体" w:eastAsia="黑体" w:hAnsi="黑体"/>
        </w:rPr>
        <w:t>12.95</w:t>
      </w:r>
      <w:r>
        <w:rPr>
          <w:rFonts w:ascii="黑体" w:eastAsia="黑体" w:hAnsi="黑体" w:hint="eastAsia"/>
        </w:rPr>
        <w:t>%。排名数据来源：国泰海通证券—基金业绩排行榜，分类标准：强股混合型，富荣信息技术混合A近三年业绩同类排名为99/2467，数据截至2025年6月30日，评价发布时间：2025年7月1日。</w:t>
      </w:r>
    </w:p>
    <w:p w14:paraId="77B2C3A7" w14:textId="77777777" w:rsidR="00F3741D" w:rsidRDefault="00000000" w:rsidP="00562EFC">
      <w:pPr>
        <w:pStyle w:val="af2"/>
        <w:numPr>
          <w:ilvl w:val="0"/>
          <w:numId w:val="2"/>
        </w:numPr>
        <w:spacing w:line="279" w:lineRule="auto"/>
        <w:ind w:left="0"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业绩数据来源：基金定期报告，截至2025年6月30日。富荣福锦混合的业绩比较基准为：中证全债指数收益率×30%+沪深 300 指数收益率×70%，近一年业绩比较基准收益率为</w:t>
      </w:r>
      <w:r>
        <w:rPr>
          <w:rFonts w:ascii="黑体" w:eastAsia="黑体" w:hAnsi="黑体"/>
        </w:rPr>
        <w:t>11.76</w:t>
      </w:r>
      <w:r>
        <w:rPr>
          <w:rFonts w:ascii="黑体" w:eastAsia="黑体" w:hAnsi="黑体" w:hint="eastAsia"/>
        </w:rPr>
        <w:t>%，自合同生效以来业绩比较基准收益率为12.45%。排名及五星评级数据来源：国泰海通证券-基金业绩排行榜，分类标准：偏股混合型，富荣福锦混合A近5年业绩同类排名22/227，数据截至2025年6月30日，评价发布日期：2025年7月1日。</w:t>
      </w:r>
    </w:p>
    <w:p w14:paraId="2008D2A2" w14:textId="77777777" w:rsidR="00F3741D" w:rsidRDefault="00000000" w:rsidP="00562EFC">
      <w:pPr>
        <w:pStyle w:val="af2"/>
        <w:numPr>
          <w:ilvl w:val="0"/>
          <w:numId w:val="2"/>
        </w:numPr>
        <w:spacing w:line="279" w:lineRule="auto"/>
        <w:ind w:left="0"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富荣信息技术混合成立于2021年10月28日，R3（中风险）。基金经理任职期：郎骋成（2021.10.28-2023.12.13）、李延峥（2021.10.28-至今）。富荣信息技术混合A2022年-2024年的业绩及同期业绩比较基准为：-31.80%/-24.20%、13.26%/3.32%、14.82%/16.24%；富荣信息技术混合C2022年-2024年的业绩及同期业绩比较基准为：-32.07%/-24.20%、12.80%/3.32%、14.37%/16.24%。数据来源：定期报告，数据截至2024年12月31日。</w:t>
      </w:r>
    </w:p>
    <w:p w14:paraId="25BE4DAD" w14:textId="77777777" w:rsidR="00562EFC" w:rsidRDefault="00000000" w:rsidP="00562EFC">
      <w:pPr>
        <w:pStyle w:val="af2"/>
        <w:numPr>
          <w:ilvl w:val="0"/>
          <w:numId w:val="2"/>
        </w:numPr>
        <w:spacing w:line="279" w:lineRule="auto"/>
        <w:ind w:left="0" w:firstLineChars="200" w:firstLine="44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富荣福锦混合成立于2018年3月16日，于2021年4月19日增加存托凭证</w:t>
      </w:r>
      <w:r>
        <w:rPr>
          <w:rFonts w:ascii="黑体" w:eastAsia="黑体" w:hAnsi="黑体" w:hint="eastAsia"/>
        </w:rPr>
        <w:lastRenderedPageBreak/>
        <w:t>投资范围和投资策略，R3（中风险）。基金经理任职期：胡长虹（2018.03.16-2018.11.26）、邓宇翔（2018.03.30-2024.06.24）、李天翔（2024.06.07-2025.02.19）、李延峥（2024.08.28-至今）、毛运宏（2025.05.29-至今）。富荣福锦混合A2020年-2024年的业绩及同期业绩比较基准分别为：87.80%/20.09%、8.45%/-1.72%、-9.03%/-14.45%、-13.57%/-6.52%、21.20%/13.43%。富荣福锦混合C2020年-2024年的业绩及同期业绩比较基准分别为：87.60%/20.09%、8.34%/-1.72%、-9.12%/-14.45%、-13.66%/-6.52%、21.14%/13.43%。数据来源：定期报告，数据截至2024年12月31日。</w:t>
      </w:r>
    </w:p>
    <w:p w14:paraId="15231800" w14:textId="7F5CCA00" w:rsidR="00562EFC" w:rsidRPr="00562EFC" w:rsidRDefault="00000000" w:rsidP="00562EFC">
      <w:pPr>
        <w:pStyle w:val="af2"/>
        <w:numPr>
          <w:ilvl w:val="0"/>
          <w:numId w:val="2"/>
        </w:numPr>
        <w:spacing w:line="279" w:lineRule="auto"/>
        <w:ind w:left="0" w:firstLineChars="200" w:firstLine="440"/>
        <w:rPr>
          <w:rFonts w:ascii="黑体" w:eastAsia="黑体" w:hAnsi="黑体"/>
        </w:rPr>
      </w:pPr>
      <w:r w:rsidRPr="00562EFC">
        <w:rPr>
          <w:rFonts w:ascii="黑体" w:eastAsia="黑体" w:hAnsi="黑体" w:hint="eastAsia"/>
        </w:rPr>
        <w:t>基金经理将根据证券市场情况的变化并依据基金合同的约定，灵活调整具体的投资策略。</w:t>
      </w:r>
    </w:p>
    <w:p w14:paraId="0D44499D" w14:textId="7CB05E6B" w:rsidR="00F3741D" w:rsidRPr="00562EFC" w:rsidRDefault="00000000" w:rsidP="00562EFC">
      <w:pPr>
        <w:rPr>
          <w:rFonts w:ascii="黑体" w:eastAsia="黑体" w:hAnsi="黑体" w:hint="eastAsia"/>
        </w:rPr>
      </w:pPr>
      <w:r w:rsidRPr="00562EFC">
        <w:rPr>
          <w:rFonts w:ascii="黑体" w:eastAsia="黑体" w:hAnsi="黑体" w:hint="eastAsia"/>
        </w:rPr>
        <w:t>风险提示：1、投资人应当认真阅读《基金合同》、《招募说明书》、《基金产品资料概要》等基金法律文件，了解基金的风险收益特征，并根据自身的投资目的、投资期限、投资经验、资产状况等判断基金是否和投资人的风险承受能力相适应。2、基金管理人承诺以诚实信用、勤勉尽责的原则管理和运用基金资产，但不保证本基金一定盈利，也不保证最低收益。基金的过往业绩及其净值高低并不预示其未来业绩表现。基金管理人管理的其他基金的业绩并不构成基金业绩表现的保证。3、基金管理人提醒投资人基金投资的“买者自负”原则，在做出投资决策后，基金运营状况与基金净值变化引致的投资风险，由投资人自行负担。我国基金运作时间较短，不能反映证券市场发展的所有阶段。基金经理将根据证券市场情况的变化并依据基金合同的约定，灵活调整具体的投资策略。4、基金评价结果并不预示未来表现，也不视作投资建议。</w:t>
      </w:r>
    </w:p>
    <w:p w14:paraId="0FC8C3DC" w14:textId="77777777" w:rsidR="00F3741D" w:rsidRDefault="00F3741D">
      <w:pPr>
        <w:rPr>
          <w:rFonts w:ascii="黑体" w:eastAsia="黑体" w:hAnsi="黑体" w:hint="eastAsia"/>
        </w:rPr>
      </w:pPr>
    </w:p>
    <w:sectPr w:rsidR="00F374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DE3F6" w14:textId="77777777" w:rsidR="005D4A4E" w:rsidRDefault="005D4A4E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5843693C" w14:textId="77777777" w:rsidR="005D4A4E" w:rsidRDefault="005D4A4E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9BF1AF" w14:textId="77777777" w:rsidR="005D4A4E" w:rsidRDefault="005D4A4E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6CD6F02B" w14:textId="77777777" w:rsidR="005D4A4E" w:rsidRDefault="005D4A4E">
      <w:pPr>
        <w:spacing w:after="0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774650"/>
    <w:multiLevelType w:val="multilevel"/>
    <w:tmpl w:val="3D7746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5AF7D95"/>
    <w:multiLevelType w:val="multilevel"/>
    <w:tmpl w:val="45AF7D95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082600139">
    <w:abstractNumId w:val="0"/>
  </w:num>
  <w:num w:numId="2" w16cid:durableId="18715337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E1E"/>
    <w:rsid w:val="00010ABB"/>
    <w:rsid w:val="00056703"/>
    <w:rsid w:val="000574CD"/>
    <w:rsid w:val="00060BB3"/>
    <w:rsid w:val="00070AC3"/>
    <w:rsid w:val="00085625"/>
    <w:rsid w:val="000A10F0"/>
    <w:rsid w:val="000B5232"/>
    <w:rsid w:val="000B5EC3"/>
    <w:rsid w:val="000D31EC"/>
    <w:rsid w:val="000F5C8C"/>
    <w:rsid w:val="00105B18"/>
    <w:rsid w:val="00111C69"/>
    <w:rsid w:val="0011338E"/>
    <w:rsid w:val="0012278C"/>
    <w:rsid w:val="00131159"/>
    <w:rsid w:val="00135855"/>
    <w:rsid w:val="00136E2C"/>
    <w:rsid w:val="00137ACD"/>
    <w:rsid w:val="00154914"/>
    <w:rsid w:val="00162392"/>
    <w:rsid w:val="001632F8"/>
    <w:rsid w:val="00176D4F"/>
    <w:rsid w:val="001943A4"/>
    <w:rsid w:val="001A1EA6"/>
    <w:rsid w:val="001D23F9"/>
    <w:rsid w:val="001E1D0C"/>
    <w:rsid w:val="001F4529"/>
    <w:rsid w:val="00237722"/>
    <w:rsid w:val="002509DF"/>
    <w:rsid w:val="00262780"/>
    <w:rsid w:val="00281256"/>
    <w:rsid w:val="002B66C1"/>
    <w:rsid w:val="002D4BB0"/>
    <w:rsid w:val="002D650F"/>
    <w:rsid w:val="003012D0"/>
    <w:rsid w:val="0033490C"/>
    <w:rsid w:val="00334EDC"/>
    <w:rsid w:val="003363A4"/>
    <w:rsid w:val="003630B9"/>
    <w:rsid w:val="003B32D2"/>
    <w:rsid w:val="003D49C2"/>
    <w:rsid w:val="003D79A0"/>
    <w:rsid w:val="0042772C"/>
    <w:rsid w:val="00452826"/>
    <w:rsid w:val="00463EF8"/>
    <w:rsid w:val="004709F0"/>
    <w:rsid w:val="00476A8A"/>
    <w:rsid w:val="00497215"/>
    <w:rsid w:val="004A4392"/>
    <w:rsid w:val="00532E84"/>
    <w:rsid w:val="00562EFC"/>
    <w:rsid w:val="00572EDC"/>
    <w:rsid w:val="00580451"/>
    <w:rsid w:val="0058536C"/>
    <w:rsid w:val="005A3900"/>
    <w:rsid w:val="005A5219"/>
    <w:rsid w:val="005C7FAA"/>
    <w:rsid w:val="005D4A4E"/>
    <w:rsid w:val="006251F4"/>
    <w:rsid w:val="006339E4"/>
    <w:rsid w:val="00642E22"/>
    <w:rsid w:val="00652937"/>
    <w:rsid w:val="00663F1B"/>
    <w:rsid w:val="00695FF3"/>
    <w:rsid w:val="00696F3B"/>
    <w:rsid w:val="006C1415"/>
    <w:rsid w:val="006C4D4D"/>
    <w:rsid w:val="006C6FC5"/>
    <w:rsid w:val="006D2011"/>
    <w:rsid w:val="006D20D8"/>
    <w:rsid w:val="006F1B7A"/>
    <w:rsid w:val="006F22BC"/>
    <w:rsid w:val="0071236B"/>
    <w:rsid w:val="0071685B"/>
    <w:rsid w:val="00727A99"/>
    <w:rsid w:val="0078052B"/>
    <w:rsid w:val="007B77FB"/>
    <w:rsid w:val="007E1867"/>
    <w:rsid w:val="007E3D17"/>
    <w:rsid w:val="008117FF"/>
    <w:rsid w:val="00823771"/>
    <w:rsid w:val="00843EBC"/>
    <w:rsid w:val="008506AB"/>
    <w:rsid w:val="00884E0B"/>
    <w:rsid w:val="008861CD"/>
    <w:rsid w:val="008919E9"/>
    <w:rsid w:val="008A2825"/>
    <w:rsid w:val="008B4166"/>
    <w:rsid w:val="008B695E"/>
    <w:rsid w:val="00915C2A"/>
    <w:rsid w:val="00942781"/>
    <w:rsid w:val="00946A9E"/>
    <w:rsid w:val="0095622F"/>
    <w:rsid w:val="00987807"/>
    <w:rsid w:val="009B3971"/>
    <w:rsid w:val="009D0792"/>
    <w:rsid w:val="009D6350"/>
    <w:rsid w:val="009E64DC"/>
    <w:rsid w:val="009F3E0D"/>
    <w:rsid w:val="00A13C5B"/>
    <w:rsid w:val="00A23520"/>
    <w:rsid w:val="00A32A6A"/>
    <w:rsid w:val="00A652B7"/>
    <w:rsid w:val="00A731A0"/>
    <w:rsid w:val="00A73714"/>
    <w:rsid w:val="00A82775"/>
    <w:rsid w:val="00AA4BFD"/>
    <w:rsid w:val="00AB293D"/>
    <w:rsid w:val="00AE7A39"/>
    <w:rsid w:val="00B17FA7"/>
    <w:rsid w:val="00B25173"/>
    <w:rsid w:val="00B36E17"/>
    <w:rsid w:val="00B479BB"/>
    <w:rsid w:val="00B54301"/>
    <w:rsid w:val="00B63A13"/>
    <w:rsid w:val="00B72A92"/>
    <w:rsid w:val="00B84EA8"/>
    <w:rsid w:val="00B869BA"/>
    <w:rsid w:val="00B93315"/>
    <w:rsid w:val="00B94257"/>
    <w:rsid w:val="00BA384E"/>
    <w:rsid w:val="00BA4626"/>
    <w:rsid w:val="00BA71FD"/>
    <w:rsid w:val="00BC55FA"/>
    <w:rsid w:val="00BD44AA"/>
    <w:rsid w:val="00BF1999"/>
    <w:rsid w:val="00BF54FE"/>
    <w:rsid w:val="00BF61FD"/>
    <w:rsid w:val="00BF6D6C"/>
    <w:rsid w:val="00C00A8C"/>
    <w:rsid w:val="00C224F2"/>
    <w:rsid w:val="00C97B7D"/>
    <w:rsid w:val="00CB54EE"/>
    <w:rsid w:val="00CC00CE"/>
    <w:rsid w:val="00CC1ACC"/>
    <w:rsid w:val="00CC537C"/>
    <w:rsid w:val="00D345D7"/>
    <w:rsid w:val="00D559C2"/>
    <w:rsid w:val="00D927DE"/>
    <w:rsid w:val="00D95608"/>
    <w:rsid w:val="00DA5E7B"/>
    <w:rsid w:val="00DE4BB7"/>
    <w:rsid w:val="00DF1ABE"/>
    <w:rsid w:val="00DF560B"/>
    <w:rsid w:val="00E02F8D"/>
    <w:rsid w:val="00E17515"/>
    <w:rsid w:val="00E23CA9"/>
    <w:rsid w:val="00E35F4F"/>
    <w:rsid w:val="00E535B8"/>
    <w:rsid w:val="00E66E58"/>
    <w:rsid w:val="00EA44E6"/>
    <w:rsid w:val="00EA6143"/>
    <w:rsid w:val="00EB35DB"/>
    <w:rsid w:val="00EB5E1E"/>
    <w:rsid w:val="00EF676F"/>
    <w:rsid w:val="00F03A32"/>
    <w:rsid w:val="00F14284"/>
    <w:rsid w:val="00F21018"/>
    <w:rsid w:val="00F3112A"/>
    <w:rsid w:val="00F3741D"/>
    <w:rsid w:val="00F545DA"/>
    <w:rsid w:val="00F62C3A"/>
    <w:rsid w:val="00F86702"/>
    <w:rsid w:val="00FB11E4"/>
    <w:rsid w:val="00FD242E"/>
    <w:rsid w:val="0A9309C2"/>
    <w:rsid w:val="0BB43FDD"/>
    <w:rsid w:val="13244993"/>
    <w:rsid w:val="14E277F3"/>
    <w:rsid w:val="18967A76"/>
    <w:rsid w:val="1D4C751C"/>
    <w:rsid w:val="1DE933AC"/>
    <w:rsid w:val="1FC41D2B"/>
    <w:rsid w:val="2137408B"/>
    <w:rsid w:val="31AC64FF"/>
    <w:rsid w:val="3CFE4730"/>
    <w:rsid w:val="4113484E"/>
    <w:rsid w:val="4B3D59BF"/>
    <w:rsid w:val="4CBD12A4"/>
    <w:rsid w:val="518A6EC1"/>
    <w:rsid w:val="58D772FF"/>
    <w:rsid w:val="593133EA"/>
    <w:rsid w:val="5AA31704"/>
    <w:rsid w:val="5F9A3DB8"/>
    <w:rsid w:val="62507B6B"/>
    <w:rsid w:val="747162E2"/>
    <w:rsid w:val="749D708A"/>
    <w:rsid w:val="7D4A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56492D"/>
  <w15:docId w15:val="{A14D9608-31AA-4B58-827A-E45327591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a">
    <w:name w:val="Subtitle"/>
    <w:basedOn w:val="a"/>
    <w:next w:val="a"/>
    <w:link w:val="ab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Title"/>
    <w:basedOn w:val="a"/>
    <w:next w:val="a"/>
    <w:link w:val="ad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d">
    <w:name w:val="标题 字符"/>
    <w:basedOn w:val="a0"/>
    <w:link w:val="ac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副标题 字符"/>
    <w:basedOn w:val="a0"/>
    <w:link w:val="aa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0">
    <w:name w:val="Quote"/>
    <w:basedOn w:val="a"/>
    <w:next w:val="a"/>
    <w:link w:val="af1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f1">
    <w:name w:val="引用 字符"/>
    <w:basedOn w:val="a0"/>
    <w:link w:val="af0"/>
    <w:uiPriority w:val="29"/>
    <w:qFormat/>
    <w:rPr>
      <w:i/>
      <w:iCs/>
      <w:color w:val="404040" w:themeColor="text1" w:themeTint="BF"/>
    </w:rPr>
  </w:style>
  <w:style w:type="paragraph" w:styleId="af2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3">
    <w:name w:val="Intense Quote"/>
    <w:basedOn w:val="a"/>
    <w:next w:val="a"/>
    <w:link w:val="af4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4">
    <w:name w:val="明显引用 字符"/>
    <w:basedOn w:val="a0"/>
    <w:link w:val="af3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customStyle="1" w:styleId="13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21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31">
    <w:name w:val="修订3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41">
    <w:name w:val="修订4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51">
    <w:name w:val="修订5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  <w14:ligatures w14:val="standardContextual"/>
    </w:rPr>
  </w:style>
  <w:style w:type="character" w:customStyle="1" w:styleId="14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61">
    <w:name w:val="修订6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71">
    <w:name w:val="修订7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81">
    <w:name w:val="修订8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91">
    <w:name w:val="修订9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00">
    <w:name w:val="修订10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10">
    <w:name w:val="修订11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20">
    <w:name w:val="修订12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30">
    <w:name w:val="修订13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40">
    <w:name w:val="修订14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5">
    <w:name w:val="修订15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6">
    <w:name w:val="修订16"/>
    <w:hidden/>
    <w:uiPriority w:val="99"/>
    <w:unhideWhenUsed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af5">
    <w:name w:val="Revision"/>
    <w:hidden/>
    <w:uiPriority w:val="99"/>
    <w:unhideWhenUsed/>
    <w:rsid w:val="00562EFC"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368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王梦雨</dc:creator>
  <cp:lastModifiedBy>王梦雨</cp:lastModifiedBy>
  <cp:revision>11</cp:revision>
  <dcterms:created xsi:type="dcterms:W3CDTF">2025-06-27T02:22:00Z</dcterms:created>
  <dcterms:modified xsi:type="dcterms:W3CDTF">2025-07-24T02:47:00Z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eyJoZGlkIjoiYWEyZTA3M2M5N2Q0MmQwMWJkYjAxYzAyY2RhYmU3MjYiLCJ1c2VySWQiOiIxNTIwODY1NzQwIn0=</vt:lpwstr>
  </property>
  <property fmtid="{D5CDD505-2E9C-101B-9397-08002B2CF9AE}" pid="3" name="KSOProductBuildVer">
    <vt:lpwstr>2052-12.1.0.21915</vt:lpwstr>
  </property>
  <property fmtid="{D5CDD505-2E9C-101B-9397-08002B2CF9AE}" pid="4" name="ICV">
    <vt:lpwstr>385A0E51BB154805BA90E3BDF1B16ED1_13</vt:lpwstr>
  </property>
</Properties>
</file>