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9D1B" w14:textId="77777777" w:rsidR="0011338E" w:rsidRDefault="00000000">
      <w:pPr>
        <w:jc w:val="center"/>
        <w:rPr>
          <w:rFonts w:ascii="黑体" w:eastAsia="黑体" w:hAnsi="黑体" w:hint="eastAsia"/>
          <w:b/>
          <w:bCs/>
        </w:rPr>
      </w:pPr>
      <w:r>
        <w:rPr>
          <w:rFonts w:ascii="黑体" w:eastAsia="黑体" w:hAnsi="黑体" w:hint="eastAsia"/>
          <w:b/>
          <w:bCs/>
        </w:rPr>
        <w:t>【峥选定投】20250522</w:t>
      </w:r>
      <w:proofErr w:type="gramStart"/>
      <w:r>
        <w:rPr>
          <w:rFonts w:ascii="黑体" w:eastAsia="黑体" w:hAnsi="黑体" w:hint="eastAsia"/>
          <w:b/>
          <w:bCs/>
        </w:rPr>
        <w:t>定投日志</w:t>
      </w:r>
      <w:proofErr w:type="gramEnd"/>
    </w:p>
    <w:p w14:paraId="3DB303A1" w14:textId="77777777" w:rsidR="0011338E" w:rsidRDefault="00000000">
      <w:pPr>
        <w:ind w:firstLineChars="200" w:firstLine="440"/>
        <w:rPr>
          <w:rFonts w:ascii="黑体" w:eastAsia="黑体" w:hAnsi="黑体" w:hint="eastAsia"/>
        </w:rPr>
      </w:pPr>
      <w:r>
        <w:rPr>
          <w:rFonts w:ascii="黑体" w:eastAsia="黑体" w:hAnsi="黑体" w:hint="eastAsia"/>
        </w:rPr>
        <w:t>大家好！我是富荣信息技术混合、富荣福锦混合的基金经理李延峥。我于</w:t>
      </w:r>
      <w:proofErr w:type="gramStart"/>
      <w:r>
        <w:rPr>
          <w:rFonts w:ascii="黑体" w:eastAsia="黑体" w:hAnsi="黑体" w:hint="eastAsia"/>
        </w:rPr>
        <w:t>5月21日定投买入</w:t>
      </w:r>
      <w:proofErr w:type="gramEnd"/>
      <w:r>
        <w:rPr>
          <w:rFonts w:ascii="黑体" w:eastAsia="黑体" w:hAnsi="黑体" w:hint="eastAsia"/>
        </w:rPr>
        <w:t>富荣信息技术混合A、富荣福锦混合A两只产品各1000元。</w:t>
      </w:r>
    </w:p>
    <w:p w14:paraId="179F03D8" w14:textId="77777777" w:rsidR="0011338E" w:rsidRDefault="0011338E">
      <w:pPr>
        <w:rPr>
          <w:rFonts w:ascii="黑体" w:eastAsia="黑体" w:hAnsi="黑体" w:hint="eastAsia"/>
        </w:rPr>
      </w:pPr>
    </w:p>
    <w:p w14:paraId="4A632C77" w14:textId="77777777" w:rsidR="0011338E" w:rsidRDefault="00000000">
      <w:pPr>
        <w:jc w:val="center"/>
        <w:rPr>
          <w:rFonts w:ascii="黑体" w:eastAsia="黑体" w:hAnsi="黑体" w:hint="eastAsia"/>
        </w:rPr>
      </w:pPr>
      <w:r>
        <w:rPr>
          <w:rFonts w:hint="eastAsia"/>
          <w:noProof/>
        </w:rPr>
        <w:drawing>
          <wp:inline distT="0" distB="0" distL="0" distR="0" wp14:anchorId="76A38CC5" wp14:editId="7B5C607E">
            <wp:extent cx="4038600" cy="6362700"/>
            <wp:effectExtent l="0" t="0" r="0" b="0"/>
            <wp:docPr id="7452836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283635"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038600" cy="6362700"/>
                    </a:xfrm>
                    <a:prstGeom prst="rect">
                      <a:avLst/>
                    </a:prstGeom>
                    <a:noFill/>
                    <a:ln>
                      <a:noFill/>
                    </a:ln>
                  </pic:spPr>
                </pic:pic>
              </a:graphicData>
            </a:graphic>
          </wp:inline>
        </w:drawing>
      </w:r>
    </w:p>
    <w:p w14:paraId="59ADB782" w14:textId="77777777" w:rsidR="0011338E" w:rsidRDefault="00000000">
      <w:pPr>
        <w:rPr>
          <w:rFonts w:ascii="黑体" w:eastAsia="黑体" w:hAnsi="黑体" w:hint="eastAsia"/>
        </w:rPr>
      </w:pPr>
      <w:r>
        <w:rPr>
          <w:rFonts w:ascii="黑体" w:eastAsia="黑体" w:hAnsi="黑体" w:hint="eastAsia"/>
        </w:rPr>
        <w:t>5月12日，中美发布日内瓦经贸会谈联合声明，引发全球市场关注。联合声明的内容超出市场预期，向市场释放积极信号，短期内有望提振投资者风险偏好，或利好A股市场，同时也标志着中美贸易博弈进入一个边际缓和的窗口期。</w:t>
      </w:r>
    </w:p>
    <w:p w14:paraId="7865CDBD" w14:textId="77777777" w:rsidR="0011338E" w:rsidRDefault="00000000">
      <w:pPr>
        <w:rPr>
          <w:rFonts w:ascii="黑体" w:eastAsia="黑体" w:hAnsi="黑体" w:hint="eastAsia"/>
        </w:rPr>
      </w:pPr>
      <w:r>
        <w:rPr>
          <w:rFonts w:ascii="黑体" w:eastAsia="黑体" w:hAnsi="黑体" w:hint="eastAsia"/>
        </w:rPr>
        <w:t>在此前一周，5月7日国新办召开“一揽子金融政策支持稳市场稳预期”新闻发布会。</w:t>
      </w:r>
      <w:r>
        <w:rPr>
          <w:rFonts w:ascii="黑体" w:eastAsia="黑体" w:hAnsi="黑体" w:hint="eastAsia"/>
        </w:rPr>
        <w:lastRenderedPageBreak/>
        <w:t>中国人民银行、金融监管总局以及证监会围绕“稳市场稳预期”出台了一系列的政策组合拳。我们认为，发布会出台的一揽子政策，由“点及面”多工具配合，显示出政府对稳市场稳预期的决心与信心。这一揽子政策对于提升投资者信心起到非常重要的作用，在一系列政策持续加码的背景下，A股长期稳健运行已具备较为坚实的基础。</w:t>
      </w:r>
    </w:p>
    <w:p w14:paraId="7492D1DB" w14:textId="77777777" w:rsidR="0011338E" w:rsidRDefault="0011338E">
      <w:pPr>
        <w:rPr>
          <w:rFonts w:ascii="黑体" w:eastAsia="黑体" w:hAnsi="黑体" w:hint="eastAsia"/>
        </w:rPr>
      </w:pPr>
    </w:p>
    <w:p w14:paraId="3F89A4B0" w14:textId="77777777" w:rsidR="0011338E" w:rsidRDefault="00000000">
      <w:pPr>
        <w:rPr>
          <w:rFonts w:ascii="黑体" w:eastAsia="黑体" w:hAnsi="黑体" w:hint="eastAsia"/>
        </w:rPr>
      </w:pPr>
      <w:r>
        <w:rPr>
          <w:rFonts w:ascii="黑体" w:eastAsia="黑体" w:hAnsi="黑体" w:hint="eastAsia"/>
        </w:rPr>
        <w:t>结合不断变化的内外影响因素来看，我们认为，尽管关税战曾对科技板块造成短期冲击，但产业内部的创新浪潮和宽松的流动性环境或仍将支持科技板块作为今年的市场主线之一。具体到投资中，AI、半导体、机器人等具有中期产业成长逻辑的新兴成长方向仍是关注重点，同时关注有政策支撑的内需新兴消费方向。</w:t>
      </w:r>
    </w:p>
    <w:p w14:paraId="1E7FBD98" w14:textId="77777777" w:rsidR="0011338E" w:rsidRDefault="0011338E">
      <w:pPr>
        <w:rPr>
          <w:rFonts w:ascii="黑体" w:eastAsia="黑体" w:hAnsi="黑体" w:hint="eastAsia"/>
        </w:rPr>
      </w:pPr>
    </w:p>
    <w:p w14:paraId="259938E7" w14:textId="77777777" w:rsidR="0011338E" w:rsidRDefault="00000000">
      <w:pPr>
        <w:rPr>
          <w:rFonts w:ascii="黑体" w:eastAsia="黑体" w:hAnsi="黑体" w:hint="eastAsia"/>
        </w:rPr>
      </w:pPr>
      <w:r>
        <w:rPr>
          <w:rFonts w:ascii="黑体" w:eastAsia="黑体" w:hAnsi="黑体" w:hint="eastAsia"/>
        </w:rPr>
        <w:t>首先，降息</w:t>
      </w:r>
      <w:proofErr w:type="gramStart"/>
      <w:r>
        <w:rPr>
          <w:rFonts w:ascii="黑体" w:eastAsia="黑体" w:hAnsi="黑体" w:hint="eastAsia"/>
        </w:rPr>
        <w:t>降准政策</w:t>
      </w:r>
      <w:proofErr w:type="gramEnd"/>
      <w:r>
        <w:rPr>
          <w:rFonts w:ascii="黑体" w:eastAsia="黑体" w:hAnsi="黑体" w:hint="eastAsia"/>
        </w:rPr>
        <w:t>的实施，对科技板块等成长性行业构成了利好。一方面，充裕的流动性环境有助于降低企业融资成本，利于促进科技创新和产业升级；另一方面，政策信号的释放也增强了市场对未来经济增长的预期，有望提升投资者的风险偏好。</w:t>
      </w:r>
    </w:p>
    <w:p w14:paraId="0228B0BE" w14:textId="77777777" w:rsidR="0011338E" w:rsidRDefault="0011338E">
      <w:pPr>
        <w:rPr>
          <w:rFonts w:ascii="黑体" w:eastAsia="黑体" w:hAnsi="黑体" w:hint="eastAsia"/>
        </w:rPr>
      </w:pPr>
    </w:p>
    <w:p w14:paraId="6E110CB0" w14:textId="77777777" w:rsidR="0011338E" w:rsidRDefault="00000000">
      <w:pPr>
        <w:rPr>
          <w:rFonts w:ascii="黑体" w:eastAsia="黑体" w:hAnsi="黑体" w:hint="eastAsia"/>
        </w:rPr>
      </w:pPr>
      <w:r>
        <w:rPr>
          <w:rFonts w:ascii="黑体" w:eastAsia="黑体" w:hAnsi="黑体" w:hint="eastAsia"/>
        </w:rPr>
        <w:t>其次，对于科技板块而言，中美贸易谈判的进展意味着外部环境的不确定性或有所降低。虽然关税战对</w:t>
      </w:r>
      <w:proofErr w:type="gramStart"/>
      <w:r>
        <w:rPr>
          <w:rFonts w:ascii="黑体" w:eastAsia="黑体" w:hAnsi="黑体" w:hint="eastAsia"/>
        </w:rPr>
        <w:t>泛科技</w:t>
      </w:r>
      <w:proofErr w:type="gramEnd"/>
      <w:r>
        <w:rPr>
          <w:rFonts w:ascii="黑体" w:eastAsia="黑体" w:hAnsi="黑体" w:hint="eastAsia"/>
        </w:rPr>
        <w:t>行业的影响已在一定程度上被市场消化，但外部环境的稳定无疑将进一步提升科技企业的盈利预期和市场表现。</w:t>
      </w:r>
    </w:p>
    <w:p w14:paraId="1F20A777" w14:textId="77777777" w:rsidR="0011338E" w:rsidRDefault="0011338E">
      <w:pPr>
        <w:rPr>
          <w:rFonts w:ascii="黑体" w:eastAsia="黑体" w:hAnsi="黑体" w:hint="eastAsia"/>
        </w:rPr>
      </w:pPr>
    </w:p>
    <w:p w14:paraId="42C53D72" w14:textId="77777777" w:rsidR="0011338E" w:rsidRDefault="00000000">
      <w:pPr>
        <w:rPr>
          <w:rFonts w:ascii="黑体" w:eastAsia="黑体" w:hAnsi="黑体" w:hint="eastAsia"/>
        </w:rPr>
      </w:pPr>
      <w:r>
        <w:rPr>
          <w:rFonts w:ascii="黑体" w:eastAsia="黑体" w:hAnsi="黑体" w:hint="eastAsia"/>
        </w:rPr>
        <w:t>风险提示：市场有风险，投资需谨慎。投资者应充分了解基金定期定额投资和零存整取等储蓄方式的区别。定期定额投资是引导投资者进行长期投资、平均投资成本的一种简单易行的投资方式。但是定期定额投资并不能规避基金投资所固有的风险，不能保证投资者获取收益，也不是替代储蓄的等效理财方式。基金管理人承诺以诚实信用、勤勉尽责的原则管理和运用基金资产，基金的过往业绩并不预示其未来表现，基金管理人管理的其他基金的业绩并不构成本基金业绩表现的保证。基金管理人不保证基金一定盈利，也不保证最低收益。基金管理人提醒投资人基金投资的“买者自负”原则，投资人在投资基金前应认真阅读《基金合同》、《招募说明书》和《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黑体" w:eastAsia="黑体" w:hAnsi="黑体" w:hint="eastAsia"/>
        </w:rPr>
        <w:t>作出</w:t>
      </w:r>
      <w:proofErr w:type="gramEnd"/>
      <w:r>
        <w:rPr>
          <w:rFonts w:ascii="黑体" w:eastAsia="黑体" w:hAnsi="黑体" w:hint="eastAsia"/>
        </w:rPr>
        <w:t>独立决策，选择合适的基金产品。在做出投资决策后，基金运营状况与基金净值变化引致的投资风险，由投资人自行负担。我国基金运作时间较短，不能反映证券市场发展的所有阶段。关注方向仅以当前市场情况判断，</w:t>
      </w:r>
      <w:proofErr w:type="gramStart"/>
      <w:r>
        <w:rPr>
          <w:rFonts w:ascii="黑体" w:eastAsia="黑体" w:hAnsi="黑体" w:hint="eastAsia"/>
        </w:rPr>
        <w:t>不</w:t>
      </w:r>
      <w:proofErr w:type="gramEnd"/>
      <w:r>
        <w:rPr>
          <w:rFonts w:ascii="黑体" w:eastAsia="黑体" w:hAnsi="黑体" w:hint="eastAsia"/>
        </w:rPr>
        <w:t>必然代表未来投资方向。基金经理将根据证券市场情况的变化并依据基金合同的约定，灵活调整具体的投资策略。</w:t>
      </w:r>
    </w:p>
    <w:p w14:paraId="23D3279E" w14:textId="77777777" w:rsidR="0011338E" w:rsidRDefault="0011338E">
      <w:pPr>
        <w:rPr>
          <w:rFonts w:ascii="黑体" w:eastAsia="黑体" w:hAnsi="黑体" w:hint="eastAsia"/>
        </w:rPr>
      </w:pPr>
    </w:p>
    <w:sectPr w:rsidR="001133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49FED" w14:textId="77777777" w:rsidR="00262780" w:rsidRDefault="00262780">
      <w:pPr>
        <w:spacing w:line="240" w:lineRule="auto"/>
        <w:rPr>
          <w:rFonts w:hint="eastAsia"/>
        </w:rPr>
      </w:pPr>
      <w:r>
        <w:separator/>
      </w:r>
    </w:p>
  </w:endnote>
  <w:endnote w:type="continuationSeparator" w:id="0">
    <w:p w14:paraId="3CFB0C8E" w14:textId="77777777" w:rsidR="00262780" w:rsidRDefault="00262780">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24D83" w14:textId="77777777" w:rsidR="00262780" w:rsidRDefault="00262780">
      <w:pPr>
        <w:spacing w:after="0"/>
        <w:rPr>
          <w:rFonts w:hint="eastAsia"/>
        </w:rPr>
      </w:pPr>
      <w:r>
        <w:separator/>
      </w:r>
    </w:p>
  </w:footnote>
  <w:footnote w:type="continuationSeparator" w:id="0">
    <w:p w14:paraId="4DA992CC" w14:textId="77777777" w:rsidR="00262780" w:rsidRDefault="00262780">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5E1E"/>
    <w:rsid w:val="00056703"/>
    <w:rsid w:val="00060BB3"/>
    <w:rsid w:val="00070AC3"/>
    <w:rsid w:val="00085625"/>
    <w:rsid w:val="000A10F0"/>
    <w:rsid w:val="000B5232"/>
    <w:rsid w:val="000B5EC3"/>
    <w:rsid w:val="000D31EC"/>
    <w:rsid w:val="000F5C8C"/>
    <w:rsid w:val="00105B18"/>
    <w:rsid w:val="0011338E"/>
    <w:rsid w:val="0012278C"/>
    <w:rsid w:val="001632F8"/>
    <w:rsid w:val="00176D4F"/>
    <w:rsid w:val="001A1EA6"/>
    <w:rsid w:val="001D23F9"/>
    <w:rsid w:val="001E1D0C"/>
    <w:rsid w:val="001F4529"/>
    <w:rsid w:val="00237722"/>
    <w:rsid w:val="002509DF"/>
    <w:rsid w:val="00262780"/>
    <w:rsid w:val="002D4BB0"/>
    <w:rsid w:val="002D650F"/>
    <w:rsid w:val="003012D0"/>
    <w:rsid w:val="0033490C"/>
    <w:rsid w:val="003363A4"/>
    <w:rsid w:val="003D49C2"/>
    <w:rsid w:val="003D79A0"/>
    <w:rsid w:val="0042772C"/>
    <w:rsid w:val="00463EF8"/>
    <w:rsid w:val="00476A8A"/>
    <w:rsid w:val="00497215"/>
    <w:rsid w:val="004A4392"/>
    <w:rsid w:val="00532E84"/>
    <w:rsid w:val="00572EDC"/>
    <w:rsid w:val="0058536C"/>
    <w:rsid w:val="005C7FAA"/>
    <w:rsid w:val="006251F4"/>
    <w:rsid w:val="00652937"/>
    <w:rsid w:val="00695FF3"/>
    <w:rsid w:val="00696F3B"/>
    <w:rsid w:val="006C4D4D"/>
    <w:rsid w:val="006C6FC5"/>
    <w:rsid w:val="006D2011"/>
    <w:rsid w:val="006D20D8"/>
    <w:rsid w:val="0071685B"/>
    <w:rsid w:val="0078052B"/>
    <w:rsid w:val="007B77FB"/>
    <w:rsid w:val="00843EBC"/>
    <w:rsid w:val="008506AB"/>
    <w:rsid w:val="00884E0B"/>
    <w:rsid w:val="008861CD"/>
    <w:rsid w:val="008919E9"/>
    <w:rsid w:val="008B4166"/>
    <w:rsid w:val="008B695E"/>
    <w:rsid w:val="00915C2A"/>
    <w:rsid w:val="00987807"/>
    <w:rsid w:val="009E64DC"/>
    <w:rsid w:val="00A13C5B"/>
    <w:rsid w:val="00A23520"/>
    <w:rsid w:val="00A652B7"/>
    <w:rsid w:val="00AA4BFD"/>
    <w:rsid w:val="00AE7A39"/>
    <w:rsid w:val="00B17FA7"/>
    <w:rsid w:val="00B36E17"/>
    <w:rsid w:val="00B479BB"/>
    <w:rsid w:val="00B54301"/>
    <w:rsid w:val="00B84EA8"/>
    <w:rsid w:val="00B93315"/>
    <w:rsid w:val="00B94257"/>
    <w:rsid w:val="00BA384E"/>
    <w:rsid w:val="00BD44AA"/>
    <w:rsid w:val="00BF54FE"/>
    <w:rsid w:val="00C97B7D"/>
    <w:rsid w:val="00CC537C"/>
    <w:rsid w:val="00D345D7"/>
    <w:rsid w:val="00D927DE"/>
    <w:rsid w:val="00D95608"/>
    <w:rsid w:val="00E17515"/>
    <w:rsid w:val="00E23CA9"/>
    <w:rsid w:val="00E66E58"/>
    <w:rsid w:val="00EA44E6"/>
    <w:rsid w:val="00EB35DB"/>
    <w:rsid w:val="00EB5E1E"/>
    <w:rsid w:val="00F21018"/>
    <w:rsid w:val="00F545DA"/>
    <w:rsid w:val="00F86702"/>
    <w:rsid w:val="00FB11E4"/>
    <w:rsid w:val="00FD242E"/>
    <w:rsid w:val="0A9309C2"/>
    <w:rsid w:val="0BB43FDD"/>
    <w:rsid w:val="18967A76"/>
    <w:rsid w:val="1FC41D2B"/>
    <w:rsid w:val="4CBD12A4"/>
    <w:rsid w:val="518A6EC1"/>
    <w:rsid w:val="58D772FF"/>
    <w:rsid w:val="593133EA"/>
    <w:rsid w:val="5AA31704"/>
    <w:rsid w:val="5F9A3DB8"/>
    <w:rsid w:val="62507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ECC2A"/>
  <w15:docId w15:val="{8DEB9BB5-3058-45BD-8A32-131422AE3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Balloon Text"/>
    <w:basedOn w:val="a"/>
    <w:link w:val="a5"/>
    <w:uiPriority w:val="99"/>
    <w:semiHidden/>
    <w:unhideWhenUsed/>
    <w:qFormat/>
    <w:pPr>
      <w:spacing w:after="0" w:line="240" w:lineRule="auto"/>
    </w:pPr>
    <w:rPr>
      <w:sz w:val="18"/>
      <w:szCs w:val="18"/>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Subtitle"/>
    <w:basedOn w:val="a"/>
    <w:next w:val="a"/>
    <w:link w:val="ab"/>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c">
    <w:name w:val="Title"/>
    <w:basedOn w:val="a"/>
    <w:next w:val="a"/>
    <w:link w:val="ad"/>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b">
    <w:name w:val="副标题 字符"/>
    <w:basedOn w:val="a0"/>
    <w:link w:val="aa"/>
    <w:uiPriority w:val="11"/>
    <w:qFormat/>
    <w:rPr>
      <w:rFonts w:asciiTheme="majorHAnsi" w:eastAsiaTheme="majorEastAsia" w:hAnsiTheme="majorHAnsi" w:cstheme="majorBidi"/>
      <w:color w:val="595959" w:themeColor="text1" w:themeTint="A6"/>
      <w:spacing w:val="15"/>
      <w:sz w:val="28"/>
      <w:szCs w:val="28"/>
    </w:rPr>
  </w:style>
  <w:style w:type="paragraph" w:styleId="af0">
    <w:name w:val="Quote"/>
    <w:basedOn w:val="a"/>
    <w:next w:val="a"/>
    <w:link w:val="af1"/>
    <w:uiPriority w:val="29"/>
    <w:qFormat/>
    <w:pPr>
      <w:spacing w:before="160"/>
      <w:jc w:val="center"/>
    </w:pPr>
    <w:rPr>
      <w:i/>
      <w:iCs/>
      <w:color w:val="404040" w:themeColor="text1" w:themeTint="BF"/>
    </w:rPr>
  </w:style>
  <w:style w:type="character" w:customStyle="1" w:styleId="af1">
    <w:name w:val="引用 字符"/>
    <w:basedOn w:val="a0"/>
    <w:link w:val="af0"/>
    <w:uiPriority w:val="29"/>
    <w:qFormat/>
    <w:rPr>
      <w:i/>
      <w:iCs/>
      <w:color w:val="404040" w:themeColor="text1" w:themeTint="BF"/>
    </w:rPr>
  </w:style>
  <w:style w:type="paragraph" w:styleId="af2">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3">
    <w:name w:val="Intense Quote"/>
    <w:basedOn w:val="a"/>
    <w:next w:val="a"/>
    <w:link w:val="af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4">
    <w:name w:val="明显引用 字符"/>
    <w:basedOn w:val="a0"/>
    <w:link w:val="af3"/>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13">
    <w:name w:val="修订1"/>
    <w:hidden/>
    <w:uiPriority w:val="99"/>
    <w:unhideWhenUsed/>
    <w:qFormat/>
    <w:rPr>
      <w:kern w:val="2"/>
      <w:sz w:val="22"/>
      <w:szCs w:val="24"/>
      <w14:ligatures w14:val="standardContextual"/>
    </w:rPr>
  </w:style>
  <w:style w:type="paragraph" w:customStyle="1" w:styleId="21">
    <w:name w:val="修订2"/>
    <w:hidden/>
    <w:uiPriority w:val="99"/>
    <w:unhideWhenUsed/>
    <w:qFormat/>
    <w:rPr>
      <w:kern w:val="2"/>
      <w:sz w:val="22"/>
      <w:szCs w:val="24"/>
      <w14:ligatures w14:val="standardContextual"/>
    </w:rPr>
  </w:style>
  <w:style w:type="paragraph" w:customStyle="1" w:styleId="31">
    <w:name w:val="修订3"/>
    <w:hidden/>
    <w:uiPriority w:val="99"/>
    <w:unhideWhenUsed/>
    <w:qFormat/>
    <w:rPr>
      <w:kern w:val="2"/>
      <w:sz w:val="22"/>
      <w:szCs w:val="24"/>
      <w14:ligatures w14:val="standardContextual"/>
    </w:rPr>
  </w:style>
  <w:style w:type="paragraph" w:customStyle="1" w:styleId="41">
    <w:name w:val="修订4"/>
    <w:hidden/>
    <w:uiPriority w:val="99"/>
    <w:unhideWhenUsed/>
    <w:qFormat/>
    <w:rPr>
      <w:kern w:val="2"/>
      <w:sz w:val="22"/>
      <w:szCs w:val="24"/>
      <w14:ligatures w14:val="standardContextual"/>
    </w:rPr>
  </w:style>
  <w:style w:type="paragraph" w:customStyle="1" w:styleId="51">
    <w:name w:val="修订5"/>
    <w:hidden/>
    <w:uiPriority w:val="99"/>
    <w:unhideWhenUsed/>
    <w:qFormat/>
    <w:rPr>
      <w:kern w:val="2"/>
      <w:sz w:val="22"/>
      <w:szCs w:val="24"/>
      <w14:ligatures w14:val="standardContextual"/>
    </w:rPr>
  </w:style>
  <w:style w:type="character" w:customStyle="1" w:styleId="a5">
    <w:name w:val="批注框文本 字符"/>
    <w:basedOn w:val="a0"/>
    <w:link w:val="a4"/>
    <w:uiPriority w:val="99"/>
    <w:semiHidden/>
    <w:qFormat/>
    <w:rPr>
      <w:kern w:val="2"/>
      <w:sz w:val="18"/>
      <w:szCs w:val="18"/>
      <w14:ligatures w14:val="standardContextual"/>
    </w:rPr>
  </w:style>
  <w:style w:type="character" w:customStyle="1" w:styleId="14">
    <w:name w:val="未处理的提及1"/>
    <w:basedOn w:val="a0"/>
    <w:uiPriority w:val="99"/>
    <w:semiHidden/>
    <w:unhideWhenUsed/>
    <w:qFormat/>
    <w:rPr>
      <w:color w:val="605E5C"/>
      <w:shd w:val="clear" w:color="auto" w:fill="E1DFDD"/>
    </w:rPr>
  </w:style>
  <w:style w:type="paragraph" w:customStyle="1" w:styleId="61">
    <w:name w:val="修订6"/>
    <w:hidden/>
    <w:uiPriority w:val="99"/>
    <w:unhideWhenUsed/>
    <w:qFormat/>
    <w:rPr>
      <w:kern w:val="2"/>
      <w:sz w:val="22"/>
      <w:szCs w:val="24"/>
      <w14:ligatures w14:val="standardContextual"/>
    </w:rPr>
  </w:style>
  <w:style w:type="paragraph" w:customStyle="1" w:styleId="71">
    <w:name w:val="修订7"/>
    <w:hidden/>
    <w:uiPriority w:val="99"/>
    <w:unhideWhenUsed/>
    <w:rPr>
      <w:kern w:val="2"/>
      <w:sz w:val="22"/>
      <w:szCs w:val="24"/>
      <w14:ligatures w14:val="standardContextual"/>
    </w:rPr>
  </w:style>
  <w:style w:type="paragraph" w:styleId="af5">
    <w:name w:val="Revision"/>
    <w:hidden/>
    <w:uiPriority w:val="99"/>
    <w:unhideWhenUsed/>
    <w:rsid w:val="000B5EC3"/>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1096</TotalTime>
  <Pages>2</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王梦雨</dc:creator>
  <cp:lastModifiedBy>王梦雨</cp:lastModifiedBy>
  <cp:revision>11</cp:revision>
  <dcterms:created xsi:type="dcterms:W3CDTF">2025-05-06T00:42:00Z</dcterms:created>
  <dcterms:modified xsi:type="dcterms:W3CDTF">2025-05-22T00:55:00Z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28E9654A24454031899B4840C2F59A45_13</vt:lpwstr>
  </property>
</Properties>
</file>