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62B98" w14:textId="59C727B4" w:rsidR="001E1D0C" w:rsidRDefault="00000000">
      <w:pPr>
        <w:jc w:val="center"/>
        <w:rPr>
          <w:rFonts w:ascii="黑体" w:eastAsia="黑体" w:hAnsi="黑体" w:hint="eastAsia"/>
          <w:b/>
          <w:bCs/>
        </w:rPr>
      </w:pPr>
      <w:r>
        <w:rPr>
          <w:rFonts w:ascii="黑体" w:eastAsia="黑体" w:hAnsi="黑体" w:hint="eastAsia"/>
          <w:b/>
          <w:bCs/>
        </w:rPr>
        <w:t>【峥选定投】20250515定投日志</w:t>
      </w:r>
    </w:p>
    <w:p w14:paraId="5C232D8D" w14:textId="484B1801" w:rsidR="001E1D0C" w:rsidRDefault="00000000">
      <w:pPr>
        <w:ind w:firstLineChars="200" w:firstLine="440"/>
        <w:rPr>
          <w:rFonts w:ascii="黑体" w:eastAsia="黑体" w:hAnsi="黑体" w:hint="eastAsia"/>
        </w:rPr>
      </w:pPr>
      <w:r>
        <w:rPr>
          <w:rFonts w:ascii="黑体" w:eastAsia="黑体" w:hAnsi="黑体" w:hint="eastAsia"/>
        </w:rPr>
        <w:t>大家好！我是富荣信息技术混合、富荣福锦混合的基金经理李延峥。我于5月14日定投买入富荣信息技术混合A、富荣福锦混合A两只产品各1000元。</w:t>
      </w:r>
    </w:p>
    <w:p w14:paraId="4C975110" w14:textId="77777777" w:rsidR="001E1D0C" w:rsidRDefault="001E1D0C">
      <w:pPr>
        <w:rPr>
          <w:rFonts w:ascii="黑体" w:eastAsia="黑体" w:hAnsi="黑体" w:hint="eastAsia"/>
        </w:rPr>
      </w:pPr>
    </w:p>
    <w:p w14:paraId="640DC0A8" w14:textId="77777777" w:rsidR="001E1D0C" w:rsidRDefault="00000000">
      <w:pPr>
        <w:jc w:val="center"/>
        <w:rPr>
          <w:rFonts w:ascii="黑体" w:eastAsia="黑体" w:hAnsi="黑体" w:hint="eastAsia"/>
        </w:rPr>
      </w:pPr>
      <w:r>
        <w:rPr>
          <w:rFonts w:hint="eastAsia"/>
          <w:noProof/>
        </w:rPr>
        <w:drawing>
          <wp:inline distT="0" distB="0" distL="0" distR="0" wp14:anchorId="56105D68" wp14:editId="4CDC406A">
            <wp:extent cx="4038600" cy="5810250"/>
            <wp:effectExtent l="0" t="0" r="0" b="0"/>
            <wp:docPr id="6006848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684824"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4038600" cy="5810250"/>
                    </a:xfrm>
                    <a:prstGeom prst="rect">
                      <a:avLst/>
                    </a:prstGeom>
                    <a:noFill/>
                    <a:ln>
                      <a:noFill/>
                    </a:ln>
                  </pic:spPr>
                </pic:pic>
              </a:graphicData>
            </a:graphic>
          </wp:inline>
        </w:drawing>
      </w:r>
    </w:p>
    <w:p w14:paraId="7EA4D1CE" w14:textId="7A0B0295" w:rsidR="001E1D0C" w:rsidRDefault="00000000">
      <w:pPr>
        <w:rPr>
          <w:rFonts w:ascii="黑体" w:eastAsia="黑体" w:hAnsi="黑体" w:hint="eastAsia"/>
        </w:rPr>
      </w:pPr>
      <w:r>
        <w:rPr>
          <w:rFonts w:ascii="黑体" w:eastAsia="黑体" w:hAnsi="黑体" w:hint="eastAsia"/>
        </w:rPr>
        <w:t>近期，我们发现富荣信息技术混合和富荣福锦混合的关注中多了许多新面孔，在这里要首先感谢大家的关注，同时，也观察到许多风险适配的投资者对如何投资这两只基金有些许困惑，在这里也统一为大家做解读。</w:t>
      </w:r>
    </w:p>
    <w:p w14:paraId="1411D7CE" w14:textId="77777777" w:rsidR="001E1D0C" w:rsidRDefault="00000000">
      <w:pPr>
        <w:rPr>
          <w:rFonts w:ascii="黑体" w:eastAsia="黑体" w:hAnsi="黑体" w:hint="eastAsia"/>
        </w:rPr>
      </w:pPr>
      <w:r>
        <w:rPr>
          <w:rFonts w:ascii="黑体" w:eastAsia="黑体" w:hAnsi="黑体" w:hint="eastAsia"/>
        </w:rPr>
        <w:t>首先，富荣信息技术混合是一只纯投资科技赛道的产品，在一季报中我们提到，DeepSeek横空出世后，更看好国内AI产业链的发展，结构上看好与国内AI资本开支相关的国产算力产业链，包括国产GPU、服务器、光模块、交换机以及IDC运营、柴油发电机、铅</w:t>
      </w:r>
      <w:r>
        <w:rPr>
          <w:rFonts w:ascii="黑体" w:eastAsia="黑体" w:hAnsi="黑体" w:hint="eastAsia"/>
        </w:rPr>
        <w:lastRenderedPageBreak/>
        <w:t>酸电池等，所以在一季度组合往这些领域做了进一步的聚焦。</w:t>
      </w:r>
    </w:p>
    <w:p w14:paraId="0B90B901" w14:textId="77777777" w:rsidR="001E1D0C" w:rsidRDefault="00000000">
      <w:pPr>
        <w:rPr>
          <w:rFonts w:ascii="黑体" w:eastAsia="黑体" w:hAnsi="黑体" w:hint="eastAsia"/>
        </w:rPr>
      </w:pPr>
      <w:r>
        <w:rPr>
          <w:rFonts w:ascii="黑体" w:eastAsia="黑体" w:hAnsi="黑体" w:hint="eastAsia"/>
        </w:rPr>
        <w:t>其次，富荣福锦混合的投资风格偏重成长，根据一季报显示，我们通过主动细致的研究找出中长期维度下成长性充足的赛道和公司，再在其中进行对比，选出其当下的基本面位置处于边际向上阶段的个股，力争抓住景气度持续向上的产业投资机会，以及边际变化向好的成长股。</w:t>
      </w:r>
    </w:p>
    <w:p w14:paraId="4A16138F" w14:textId="77777777" w:rsidR="001E1D0C" w:rsidRDefault="00000000">
      <w:pPr>
        <w:rPr>
          <w:rFonts w:ascii="黑体" w:eastAsia="黑体" w:hAnsi="黑体" w:hint="eastAsia"/>
        </w:rPr>
      </w:pPr>
      <w:r>
        <w:rPr>
          <w:rFonts w:ascii="黑体" w:eastAsia="黑体" w:hAnsi="黑体" w:hint="eastAsia"/>
        </w:rPr>
        <w:t>那么，在风险适配的前提下，如何操作才能心里更踏实呢？</w:t>
      </w:r>
    </w:p>
    <w:p w14:paraId="4BF937A1" w14:textId="77777777" w:rsidR="001E1D0C" w:rsidRDefault="00000000">
      <w:pPr>
        <w:rPr>
          <w:rFonts w:ascii="黑体" w:eastAsia="黑体" w:hAnsi="黑体" w:hint="eastAsia"/>
        </w:rPr>
      </w:pPr>
      <w:r>
        <w:rPr>
          <w:rFonts w:ascii="黑体" w:eastAsia="黑体" w:hAnsi="黑体" w:hint="eastAsia"/>
        </w:rPr>
        <w:t>首先，如果你已积累了一定浮盈，此时可考虑部分止盈，争取在控制风险的同时让自己收益最大化，具体可参考两种方式：</w:t>
      </w:r>
    </w:p>
    <w:p w14:paraId="32D7FDCC" w14:textId="77777777" w:rsidR="001E1D0C" w:rsidRDefault="00000000">
      <w:pPr>
        <w:rPr>
          <w:rFonts w:ascii="黑体" w:eastAsia="黑体" w:hAnsi="黑体" w:hint="eastAsia"/>
        </w:rPr>
      </w:pPr>
      <w:r>
        <w:rPr>
          <w:rFonts w:ascii="黑体" w:eastAsia="黑体" w:hAnsi="黑体" w:hint="eastAsia"/>
        </w:rPr>
        <w:t>1、</w:t>
      </w:r>
      <w:r>
        <w:rPr>
          <w:rFonts w:ascii="黑体" w:eastAsia="黑体" w:hAnsi="黑体"/>
        </w:rPr>
        <w:t>分批离场：分批兑现收益，剩下仓位可以慢慢观察行情变化，进退自如。</w:t>
      </w:r>
    </w:p>
    <w:p w14:paraId="23303A93" w14:textId="77777777" w:rsidR="001E1D0C" w:rsidRDefault="00000000">
      <w:pPr>
        <w:rPr>
          <w:rFonts w:ascii="黑体" w:eastAsia="黑体" w:hAnsi="黑体" w:hint="eastAsia"/>
        </w:rPr>
      </w:pPr>
      <w:r>
        <w:rPr>
          <w:rFonts w:ascii="黑体" w:eastAsia="黑体" w:hAnsi="黑体" w:hint="eastAsia"/>
        </w:rPr>
        <w:t>2、</w:t>
      </w:r>
      <w:r>
        <w:rPr>
          <w:rFonts w:ascii="黑体" w:eastAsia="黑体" w:hAnsi="黑体"/>
        </w:rPr>
        <w:t>留个底仓：止盈时可留点底仓，更好保持关注，在行情来时适时加仓，迅速捕捉投资机会。</w:t>
      </w:r>
    </w:p>
    <w:p w14:paraId="0C43ED7A" w14:textId="136F1082" w:rsidR="001E1D0C" w:rsidRDefault="00000000">
      <w:pPr>
        <w:rPr>
          <w:rFonts w:ascii="黑体" w:eastAsia="黑体" w:hAnsi="黑体" w:hint="eastAsia"/>
        </w:rPr>
      </w:pPr>
      <w:r>
        <w:rPr>
          <w:rFonts w:ascii="黑体" w:eastAsia="黑体" w:hAnsi="黑体" w:hint="eastAsia"/>
        </w:rPr>
        <w:t>但如果是刚刚入场的新伙伴，此时不妨多一点点耐心，考虑定投。赛道型产品波动较大，长期看好且风险适配的投资者可考虑定投或逢低加仓，在回调时吸纳更多筹码，为未来可能到来的行情留出更多盈利空间。</w:t>
      </w:r>
    </w:p>
    <w:p w14:paraId="24FA0D28" w14:textId="77777777" w:rsidR="001E1D0C" w:rsidRDefault="001E1D0C">
      <w:pPr>
        <w:rPr>
          <w:rFonts w:ascii="黑体" w:eastAsia="黑体" w:hAnsi="黑体" w:hint="eastAsia"/>
        </w:rPr>
      </w:pPr>
    </w:p>
    <w:p w14:paraId="27D774F9" w14:textId="77777777" w:rsidR="001E1D0C" w:rsidRDefault="00000000">
      <w:pPr>
        <w:rPr>
          <w:rFonts w:ascii="黑体" w:eastAsia="黑体" w:hAnsi="黑体" w:hint="eastAsia"/>
        </w:rPr>
      </w:pPr>
      <w:r>
        <w:rPr>
          <w:rFonts w:ascii="黑体" w:eastAsia="黑体" w:hAnsi="黑体" w:hint="eastAsia"/>
        </w:rPr>
        <w:t>注：①富荣信息技术混合于2021年10月28日成立，R3中风险等级，基金的业绩比较基准为：中证全指信息技术指数收益率×70%+中债综合指数收益率×30%。基金经理任职期：郎骋成（2021.10.28-2023.12.13），李延峥（2021.10.28-至今）。富荣福锦混合成立于2018年3月16日，于2021年4月19日增加存托凭证投资范围和投资策略，R3中风险等级。基金经理任职期：胡长虹（2018.03.16-2018.11.26）、邓宇翔（2018.03.30-2024.06.24）、李天翔（2024.06.07-2025.02.19）、李延峥（2024.08.28-至今）。</w:t>
      </w:r>
    </w:p>
    <w:p w14:paraId="0FAF4C34" w14:textId="77777777" w:rsidR="001E1D0C" w:rsidRDefault="00000000">
      <w:pPr>
        <w:rPr>
          <w:rFonts w:ascii="黑体" w:eastAsia="黑体" w:hAnsi="黑体" w:hint="eastAsia"/>
        </w:rPr>
      </w:pPr>
      <w:r>
        <w:rPr>
          <w:rFonts w:ascii="黑体" w:eastAsia="黑体" w:hAnsi="黑体" w:hint="eastAsia"/>
        </w:rPr>
        <w:t>②李延峥，西南财经大学金融学硕士。2017年进入富荣基金，历任研究部TMT研究员，现任富荣基金研究部总经理助理、基金经理。</w:t>
      </w:r>
    </w:p>
    <w:p w14:paraId="530B0EE7" w14:textId="77777777" w:rsidR="001E1D0C" w:rsidRDefault="00000000">
      <w:pPr>
        <w:rPr>
          <w:rFonts w:ascii="黑体" w:eastAsia="黑体" w:hAnsi="黑体" w:hint="eastAsia"/>
        </w:rPr>
      </w:pPr>
      <w:r>
        <w:rPr>
          <w:rFonts w:ascii="黑体" w:eastAsia="黑体" w:hAnsi="黑体" w:hint="eastAsia"/>
        </w:rPr>
        <w:t>③关注方向仅以当前市场情况判断，不必然代表未来投资方向。基金经理将根据证券市场情况的变化并依据基金合同的约定，灵活调整具体的投资策略。</w:t>
      </w:r>
    </w:p>
    <w:p w14:paraId="6A478D9B" w14:textId="77777777" w:rsidR="001E1D0C" w:rsidRDefault="00000000">
      <w:pPr>
        <w:rPr>
          <w:rFonts w:ascii="黑体" w:eastAsia="黑体" w:hAnsi="黑体" w:hint="eastAsia"/>
        </w:rPr>
      </w:pPr>
      <w:r>
        <w:rPr>
          <w:rFonts w:ascii="黑体" w:eastAsia="黑体" w:hAnsi="黑体" w:hint="eastAsia"/>
        </w:rPr>
        <w:t>风险提示：市场有风险，投资需谨慎。投资者应充分了解基金定期定额投资和零存整取等储蓄方式的区别。定期定额投资是引导投资者进行长期投资、平均投资成本的一种简单易行的投资方式。但是定期定额投资并不能规避基金投资所固有的风险，不能保证投资者获取收益，也不是替代储蓄的等效理财方式。基金管理人承诺以诚实信用、勤勉尽责的原则管理和运用基金资产，基金的过往业绩并不预示其未来表现，基金管理人管理的其他基金的业绩并不构成本基金业绩表现的保证。基金管理人不保证基金一定盈利，也不保证最低收益。基金管理人提醒投资人基金投资的“买者自负”原则，投资人在投</w:t>
      </w:r>
      <w:r>
        <w:rPr>
          <w:rFonts w:ascii="黑体" w:eastAsia="黑体" w:hAnsi="黑体" w:hint="eastAsia"/>
        </w:rPr>
        <w:lastRenderedPageBreak/>
        <w:t>资基金前应认真阅读《基金合同》、《招募说明书》和《产品资料概要》等基金法律文件，全面认识基金产品的风险收益特征，在了解产品情况及听取销售机构适当性意见的基础上，根据自身的风险承受能力、投资期限和投资目标，对基金投资作出独立决策，选择合适的基金产品。在做出投资决策后，基金运营状况与基金净值变化引致的投资风险，由投资人自行负担。我国基金运作时间较短，不能反映证券市场发展的所有阶段。</w:t>
      </w:r>
    </w:p>
    <w:sectPr w:rsidR="001E1D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09576D" w14:textId="77777777" w:rsidR="00105B18" w:rsidRDefault="00105B18">
      <w:pPr>
        <w:spacing w:line="240" w:lineRule="auto"/>
        <w:rPr>
          <w:rFonts w:hint="eastAsia"/>
        </w:rPr>
      </w:pPr>
      <w:r>
        <w:separator/>
      </w:r>
    </w:p>
  </w:endnote>
  <w:endnote w:type="continuationSeparator" w:id="0">
    <w:p w14:paraId="021F7DEA" w14:textId="77777777" w:rsidR="00105B18" w:rsidRDefault="00105B18">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B7C6E" w14:textId="77777777" w:rsidR="00105B18" w:rsidRDefault="00105B18">
      <w:pPr>
        <w:spacing w:after="0"/>
        <w:rPr>
          <w:rFonts w:hint="eastAsia"/>
        </w:rPr>
      </w:pPr>
      <w:r>
        <w:separator/>
      </w:r>
    </w:p>
  </w:footnote>
  <w:footnote w:type="continuationSeparator" w:id="0">
    <w:p w14:paraId="2CD4A2C4" w14:textId="77777777" w:rsidR="00105B18" w:rsidRDefault="00105B18">
      <w:pPr>
        <w:spacing w:after="0"/>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5E1E"/>
    <w:rsid w:val="00056703"/>
    <w:rsid w:val="00060BB3"/>
    <w:rsid w:val="00070AC3"/>
    <w:rsid w:val="00085625"/>
    <w:rsid w:val="000A10F0"/>
    <w:rsid w:val="000B5232"/>
    <w:rsid w:val="000D31EC"/>
    <w:rsid w:val="000F5C8C"/>
    <w:rsid w:val="00105B18"/>
    <w:rsid w:val="0012278C"/>
    <w:rsid w:val="001632F8"/>
    <w:rsid w:val="00176D4F"/>
    <w:rsid w:val="001A1EA6"/>
    <w:rsid w:val="001D23F9"/>
    <w:rsid w:val="001E1D0C"/>
    <w:rsid w:val="001F4529"/>
    <w:rsid w:val="00237722"/>
    <w:rsid w:val="002509DF"/>
    <w:rsid w:val="002D4BB0"/>
    <w:rsid w:val="002D650F"/>
    <w:rsid w:val="003012D0"/>
    <w:rsid w:val="0033490C"/>
    <w:rsid w:val="003363A4"/>
    <w:rsid w:val="003D49C2"/>
    <w:rsid w:val="003D79A0"/>
    <w:rsid w:val="0042772C"/>
    <w:rsid w:val="00476A8A"/>
    <w:rsid w:val="00497215"/>
    <w:rsid w:val="004A4392"/>
    <w:rsid w:val="00532E84"/>
    <w:rsid w:val="00572EDC"/>
    <w:rsid w:val="005C7FAA"/>
    <w:rsid w:val="006251F4"/>
    <w:rsid w:val="00652937"/>
    <w:rsid w:val="00695FF3"/>
    <w:rsid w:val="00696F3B"/>
    <w:rsid w:val="006C4D4D"/>
    <w:rsid w:val="006C6FC5"/>
    <w:rsid w:val="006D2011"/>
    <w:rsid w:val="006D20D8"/>
    <w:rsid w:val="0071685B"/>
    <w:rsid w:val="0078052B"/>
    <w:rsid w:val="007B77FB"/>
    <w:rsid w:val="00843EBC"/>
    <w:rsid w:val="008506AB"/>
    <w:rsid w:val="00884E0B"/>
    <w:rsid w:val="008861CD"/>
    <w:rsid w:val="008919E9"/>
    <w:rsid w:val="008B4166"/>
    <w:rsid w:val="008B695E"/>
    <w:rsid w:val="00915C2A"/>
    <w:rsid w:val="00987807"/>
    <w:rsid w:val="00A13C5B"/>
    <w:rsid w:val="00A23520"/>
    <w:rsid w:val="00A652B7"/>
    <w:rsid w:val="00AA4BFD"/>
    <w:rsid w:val="00B17FA7"/>
    <w:rsid w:val="00B36E17"/>
    <w:rsid w:val="00B479BB"/>
    <w:rsid w:val="00B54301"/>
    <w:rsid w:val="00B84EA8"/>
    <w:rsid w:val="00B93315"/>
    <w:rsid w:val="00B94257"/>
    <w:rsid w:val="00BA384E"/>
    <w:rsid w:val="00BD44AA"/>
    <w:rsid w:val="00BF54FE"/>
    <w:rsid w:val="00C97B7D"/>
    <w:rsid w:val="00CC537C"/>
    <w:rsid w:val="00D345D7"/>
    <w:rsid w:val="00D927DE"/>
    <w:rsid w:val="00D95608"/>
    <w:rsid w:val="00E17515"/>
    <w:rsid w:val="00E23CA9"/>
    <w:rsid w:val="00EA44E6"/>
    <w:rsid w:val="00EB35DB"/>
    <w:rsid w:val="00EB5E1E"/>
    <w:rsid w:val="00F21018"/>
    <w:rsid w:val="00F545DA"/>
    <w:rsid w:val="00F86702"/>
    <w:rsid w:val="00FB11E4"/>
    <w:rsid w:val="00FD242E"/>
    <w:rsid w:val="0A9309C2"/>
    <w:rsid w:val="0BB43FDD"/>
    <w:rsid w:val="18967A76"/>
    <w:rsid w:val="1FC41D2B"/>
    <w:rsid w:val="4CBD12A4"/>
    <w:rsid w:val="518A6EC1"/>
    <w:rsid w:val="593133EA"/>
    <w:rsid w:val="5AA31704"/>
    <w:rsid w:val="5F9A3DB8"/>
    <w:rsid w:val="62507B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962F2"/>
  <w15:docId w15:val="{378CA983-82DA-4B2F-93FB-CB9C5B366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style>
  <w:style w:type="paragraph" w:styleId="a4">
    <w:name w:val="Balloon Text"/>
    <w:basedOn w:val="a"/>
    <w:link w:val="a5"/>
    <w:uiPriority w:val="99"/>
    <w:semiHidden/>
    <w:unhideWhenUsed/>
    <w:qFormat/>
    <w:pPr>
      <w:spacing w:after="0" w:line="240" w:lineRule="auto"/>
    </w:pPr>
    <w:rPr>
      <w:sz w:val="18"/>
      <w:szCs w:val="18"/>
    </w:rPr>
  </w:style>
  <w:style w:type="paragraph" w:styleId="a6">
    <w:name w:val="footer"/>
    <w:basedOn w:val="a"/>
    <w:link w:val="a7"/>
    <w:uiPriority w:val="99"/>
    <w:unhideWhenUsed/>
    <w:qFormat/>
    <w:pPr>
      <w:tabs>
        <w:tab w:val="center" w:pos="4153"/>
        <w:tab w:val="right" w:pos="8306"/>
      </w:tabs>
      <w:snapToGrid w:val="0"/>
      <w:spacing w:line="240" w:lineRule="auto"/>
    </w:pPr>
    <w:rPr>
      <w:sz w:val="18"/>
      <w:szCs w:val="18"/>
    </w:rPr>
  </w:style>
  <w:style w:type="paragraph" w:styleId="a8">
    <w:name w:val="header"/>
    <w:basedOn w:val="a"/>
    <w:link w:val="a9"/>
    <w:uiPriority w:val="99"/>
    <w:unhideWhenUsed/>
    <w:qFormat/>
    <w:pPr>
      <w:tabs>
        <w:tab w:val="center" w:pos="4153"/>
        <w:tab w:val="right" w:pos="8306"/>
      </w:tabs>
      <w:snapToGrid w:val="0"/>
      <w:spacing w:line="240" w:lineRule="auto"/>
      <w:jc w:val="center"/>
    </w:pPr>
    <w:rPr>
      <w:sz w:val="18"/>
      <w:szCs w:val="18"/>
    </w:rPr>
  </w:style>
  <w:style w:type="paragraph" w:styleId="aa">
    <w:name w:val="Subtitle"/>
    <w:basedOn w:val="a"/>
    <w:next w:val="a"/>
    <w:link w:val="ab"/>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c">
    <w:name w:val="Title"/>
    <w:basedOn w:val="a"/>
    <w:next w:val="a"/>
    <w:link w:val="ad"/>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e">
    <w:name w:val="Hyperlink"/>
    <w:basedOn w:val="a0"/>
    <w:uiPriority w:val="99"/>
    <w:unhideWhenUsed/>
    <w:qFormat/>
    <w:rPr>
      <w:color w:val="0563C1" w:themeColor="hyperlink"/>
      <w:u w:val="single"/>
    </w:rPr>
  </w:style>
  <w:style w:type="character" w:styleId="af">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d">
    <w:name w:val="标题 字符"/>
    <w:basedOn w:val="a0"/>
    <w:link w:val="ac"/>
    <w:uiPriority w:val="10"/>
    <w:qFormat/>
    <w:rPr>
      <w:rFonts w:asciiTheme="majorHAnsi" w:eastAsiaTheme="majorEastAsia" w:hAnsiTheme="majorHAnsi" w:cstheme="majorBidi"/>
      <w:spacing w:val="-10"/>
      <w:kern w:val="28"/>
      <w:sz w:val="56"/>
      <w:szCs w:val="56"/>
    </w:rPr>
  </w:style>
  <w:style w:type="character" w:customStyle="1" w:styleId="ab">
    <w:name w:val="副标题 字符"/>
    <w:basedOn w:val="a0"/>
    <w:link w:val="aa"/>
    <w:uiPriority w:val="11"/>
    <w:qFormat/>
    <w:rPr>
      <w:rFonts w:asciiTheme="majorHAnsi" w:eastAsiaTheme="majorEastAsia" w:hAnsiTheme="majorHAnsi" w:cstheme="majorBidi"/>
      <w:color w:val="595959" w:themeColor="text1" w:themeTint="A6"/>
      <w:spacing w:val="15"/>
      <w:sz w:val="28"/>
      <w:szCs w:val="28"/>
    </w:rPr>
  </w:style>
  <w:style w:type="paragraph" w:styleId="af0">
    <w:name w:val="Quote"/>
    <w:basedOn w:val="a"/>
    <w:next w:val="a"/>
    <w:link w:val="af1"/>
    <w:uiPriority w:val="29"/>
    <w:qFormat/>
    <w:pPr>
      <w:spacing w:before="160"/>
      <w:jc w:val="center"/>
    </w:pPr>
    <w:rPr>
      <w:i/>
      <w:iCs/>
      <w:color w:val="404040" w:themeColor="text1" w:themeTint="BF"/>
    </w:rPr>
  </w:style>
  <w:style w:type="character" w:customStyle="1" w:styleId="af1">
    <w:name w:val="引用 字符"/>
    <w:basedOn w:val="a0"/>
    <w:link w:val="af0"/>
    <w:uiPriority w:val="29"/>
    <w:qFormat/>
    <w:rPr>
      <w:i/>
      <w:iCs/>
      <w:color w:val="404040" w:themeColor="text1" w:themeTint="BF"/>
    </w:rPr>
  </w:style>
  <w:style w:type="paragraph" w:styleId="af2">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3">
    <w:name w:val="Intense Quote"/>
    <w:basedOn w:val="a"/>
    <w:next w:val="a"/>
    <w:link w:val="af4"/>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4">
    <w:name w:val="明显引用 字符"/>
    <w:basedOn w:val="a0"/>
    <w:link w:val="af3"/>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paragraph" w:customStyle="1" w:styleId="13">
    <w:name w:val="修订1"/>
    <w:hidden/>
    <w:uiPriority w:val="99"/>
    <w:unhideWhenUsed/>
    <w:qFormat/>
    <w:rPr>
      <w:kern w:val="2"/>
      <w:sz w:val="22"/>
      <w:szCs w:val="24"/>
      <w14:ligatures w14:val="standardContextual"/>
    </w:rPr>
  </w:style>
  <w:style w:type="paragraph" w:customStyle="1" w:styleId="21">
    <w:name w:val="修订2"/>
    <w:hidden/>
    <w:uiPriority w:val="99"/>
    <w:unhideWhenUsed/>
    <w:qFormat/>
    <w:rPr>
      <w:kern w:val="2"/>
      <w:sz w:val="22"/>
      <w:szCs w:val="24"/>
      <w14:ligatures w14:val="standardContextual"/>
    </w:rPr>
  </w:style>
  <w:style w:type="paragraph" w:customStyle="1" w:styleId="31">
    <w:name w:val="修订3"/>
    <w:hidden/>
    <w:uiPriority w:val="99"/>
    <w:unhideWhenUsed/>
    <w:qFormat/>
    <w:rPr>
      <w:kern w:val="2"/>
      <w:sz w:val="22"/>
      <w:szCs w:val="24"/>
      <w14:ligatures w14:val="standardContextual"/>
    </w:rPr>
  </w:style>
  <w:style w:type="paragraph" w:customStyle="1" w:styleId="41">
    <w:name w:val="修订4"/>
    <w:hidden/>
    <w:uiPriority w:val="99"/>
    <w:unhideWhenUsed/>
    <w:qFormat/>
    <w:rPr>
      <w:kern w:val="2"/>
      <w:sz w:val="22"/>
      <w:szCs w:val="24"/>
      <w14:ligatures w14:val="standardContextual"/>
    </w:rPr>
  </w:style>
  <w:style w:type="paragraph" w:customStyle="1" w:styleId="51">
    <w:name w:val="修订5"/>
    <w:hidden/>
    <w:uiPriority w:val="99"/>
    <w:unhideWhenUsed/>
    <w:qFormat/>
    <w:rPr>
      <w:kern w:val="2"/>
      <w:sz w:val="22"/>
      <w:szCs w:val="24"/>
      <w14:ligatures w14:val="standardContextual"/>
    </w:rPr>
  </w:style>
  <w:style w:type="character" w:customStyle="1" w:styleId="a5">
    <w:name w:val="批注框文本 字符"/>
    <w:basedOn w:val="a0"/>
    <w:link w:val="a4"/>
    <w:uiPriority w:val="99"/>
    <w:semiHidden/>
    <w:qFormat/>
    <w:rPr>
      <w:kern w:val="2"/>
      <w:sz w:val="18"/>
      <w:szCs w:val="18"/>
      <w14:ligatures w14:val="standardContextual"/>
    </w:rPr>
  </w:style>
  <w:style w:type="character" w:customStyle="1" w:styleId="14">
    <w:name w:val="未处理的提及1"/>
    <w:basedOn w:val="a0"/>
    <w:uiPriority w:val="99"/>
    <w:semiHidden/>
    <w:unhideWhenUsed/>
    <w:qFormat/>
    <w:rPr>
      <w:color w:val="605E5C"/>
      <w:shd w:val="clear" w:color="auto" w:fill="E1DFDD"/>
    </w:rPr>
  </w:style>
  <w:style w:type="paragraph" w:customStyle="1" w:styleId="61">
    <w:name w:val="修订6"/>
    <w:hidden/>
    <w:uiPriority w:val="99"/>
    <w:unhideWhenUsed/>
    <w:qFormat/>
    <w:rPr>
      <w:kern w:val="2"/>
      <w:sz w:val="22"/>
      <w:szCs w:val="24"/>
      <w14:ligatures w14:val="standardContextual"/>
    </w:rPr>
  </w:style>
  <w:style w:type="paragraph" w:styleId="af5">
    <w:name w:val="Revision"/>
    <w:hidden/>
    <w:uiPriority w:val="99"/>
    <w:unhideWhenUsed/>
    <w:rsid w:val="003D49C2"/>
    <w:rPr>
      <w:kern w:val="2"/>
      <w:sz w:val="22"/>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1084</TotalTime>
  <Pages>3</Pages>
  <Words>238</Words>
  <Characters>1359</Characters>
  <Application>Microsoft Office Word</Application>
  <DocSecurity>0</DocSecurity>
  <Lines>11</Lines>
  <Paragraphs>3</Paragraphs>
  <ScaleCrop>false</ScaleCrop>
  <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王梦雨</dc:creator>
  <cp:lastModifiedBy>王梦雨</cp:lastModifiedBy>
  <cp:revision>8</cp:revision>
  <dcterms:created xsi:type="dcterms:W3CDTF">2025-05-06T00:42:00Z</dcterms:created>
  <dcterms:modified xsi:type="dcterms:W3CDTF">2025-05-14T05:47:00Z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2052-12.1.0.20784</vt:lpwstr>
  </property>
  <property fmtid="{D5CDD505-2E9C-101B-9397-08002B2CF9AE}" pid="4" name="ICV">
    <vt:lpwstr>EC07D92A449C4767B04B839E126FDD6B_13</vt:lpwstr>
  </property>
</Properties>
</file>