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9EACA" w14:textId="77777777" w:rsidR="0042772C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【峥选定投】20250508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64511229" w14:textId="6FCDF8C3" w:rsidR="0042772C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5月7日定投买入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15329360" w14:textId="77777777" w:rsidR="0042772C" w:rsidRDefault="0042772C">
      <w:pPr>
        <w:rPr>
          <w:rFonts w:ascii="黑体" w:eastAsia="黑体" w:hAnsi="黑体" w:hint="eastAsia"/>
        </w:rPr>
      </w:pPr>
    </w:p>
    <w:p w14:paraId="504C939B" w14:textId="77777777" w:rsidR="0042772C" w:rsidRDefault="00000000">
      <w:pPr>
        <w:jc w:val="center"/>
        <w:rPr>
          <w:rFonts w:ascii="黑体" w:eastAsia="黑体" w:hAnsi="黑体" w:hint="eastAsia"/>
        </w:rPr>
      </w:pPr>
      <w:r>
        <w:rPr>
          <w:rFonts w:hint="eastAsia"/>
          <w:noProof/>
        </w:rPr>
        <w:drawing>
          <wp:inline distT="0" distB="0" distL="0" distR="0" wp14:anchorId="5F4AAD91" wp14:editId="4EF173CF">
            <wp:extent cx="4038600" cy="5257800"/>
            <wp:effectExtent l="0" t="0" r="0" b="0"/>
            <wp:docPr id="1907746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74611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770F6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美国当地时间5月3日，在2025年伯克希尔·哈撒韦股东大会临近尾声时，现年94岁的公司董事长兼CEO沃伦·巴菲特宣布了一项重要决定——他计划在年底退休，将提请董事会批准格雷格·阿贝尔正式接任CEO职位。这</w:t>
      </w:r>
      <w:r>
        <w:rPr>
          <w:rFonts w:ascii="黑体" w:eastAsia="黑体" w:hAnsi="黑体"/>
        </w:rPr>
        <w:t>位“奥马哈先知”用60年的投资生涯证明了长期主义的价值。对于普通投资者而言，他的理念不仅是财富密码，更是一剂对抗市场躁动的良药。以下结合巴菲特的经典观点，谈谈如何让投资回归理性与耐心。</w:t>
      </w:r>
    </w:p>
    <w:p w14:paraId="12454411" w14:textId="77777777" w:rsidR="0042772C" w:rsidRDefault="00000000">
      <w:pPr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第一课：别把股市当赌场——坚守“能力圈”与“安全边际”</w:t>
      </w:r>
    </w:p>
    <w:p w14:paraId="06510A95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巴菲特常说：“投资的第一条准则是不要赔钱，第二条是永远别忘第一条。”在他看来，成功的投资不是靠预测短期涨跌，而是通过深入研究，找到自己能理解的企业。</w:t>
      </w:r>
    </w:p>
    <w:p w14:paraId="6E0FB7C3" w14:textId="4BCD4C8C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于我而言，与其追逐热门概念，不如聚焦自己能看懂的公司。站在当下，我们更偏重成长，通过主动细致的研究找出中长期维度下成长性充足的赛道和公司，再在其中进行对比，选出其当下的基本</w:t>
      </w:r>
      <w:proofErr w:type="gramStart"/>
      <w:r>
        <w:rPr>
          <w:rFonts w:ascii="黑体" w:eastAsia="黑体" w:hAnsi="黑体" w:hint="eastAsia"/>
        </w:rPr>
        <w:t>面位置</w:t>
      </w:r>
      <w:proofErr w:type="gramEnd"/>
      <w:r>
        <w:rPr>
          <w:rFonts w:ascii="黑体" w:eastAsia="黑体" w:hAnsi="黑体" w:hint="eastAsia"/>
        </w:rPr>
        <w:t>处于边际向上阶段的个股，力争抓住景气度持续向上的产业投资机会，以及边际变化向好的成长股。</w:t>
      </w:r>
    </w:p>
    <w:p w14:paraId="6C09B889" w14:textId="77777777" w:rsidR="0042772C" w:rsidRDefault="0042772C">
      <w:pPr>
        <w:rPr>
          <w:rFonts w:ascii="黑体" w:eastAsia="黑体" w:hAnsi="黑体" w:hint="eastAsia"/>
        </w:rPr>
      </w:pPr>
    </w:p>
    <w:p w14:paraId="4BF953FC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第二课：逆向思维——在恐惧与贪婪中寻找机会</w:t>
      </w:r>
    </w:p>
    <w:p w14:paraId="3717B9E6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“别人贪婪时我恐惧，别人恐惧时我贪婪”，这句经典语录揭示了逆向投资的精髓。当市场狂热时保持警惕，在低谷中寻找被错杀的优质资产。</w:t>
      </w:r>
    </w:p>
    <w:p w14:paraId="24436DBF" w14:textId="77777777" w:rsidR="0042772C" w:rsidRDefault="0042772C">
      <w:pPr>
        <w:rPr>
          <w:rFonts w:ascii="黑体" w:eastAsia="黑体" w:hAnsi="黑体" w:hint="eastAsia"/>
        </w:rPr>
      </w:pPr>
    </w:p>
    <w:p w14:paraId="49D5ECE9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第三课：时间是最好的朋友——长期持有与复利魔力</w:t>
      </w:r>
    </w:p>
    <w:p w14:paraId="2EEE8D26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巴菲特的投资生涯是一部教科书级的财富创造史。1965年，当他接手伯克希尔时，这家纺织厂市值仅有470万美元并且濒临破产。如今伯克希尔旗下拥有80余家子公司，覆盖保险、能源、铁路等关键领域，构建了全球罕见的“产融结合”商业版图，市值高达1.16</w:t>
      </w:r>
      <w:proofErr w:type="gramStart"/>
      <w:r>
        <w:rPr>
          <w:rFonts w:ascii="黑体" w:eastAsia="黑体" w:hAnsi="黑体" w:hint="eastAsia"/>
        </w:rPr>
        <w:t>万亿</w:t>
      </w:r>
      <w:proofErr w:type="gramEnd"/>
      <w:r>
        <w:rPr>
          <w:rFonts w:ascii="黑体" w:eastAsia="黑体" w:hAnsi="黑体" w:hint="eastAsia"/>
        </w:rPr>
        <w:t>美元。根据伯克希尔公司2024年年报披露的数据，过去60年，伯克希尔公司股价累计涨幅超过5.5万倍，</w:t>
      </w:r>
      <w:proofErr w:type="gramStart"/>
      <w:r>
        <w:rPr>
          <w:rFonts w:ascii="黑体" w:eastAsia="黑体" w:hAnsi="黑体" w:hint="eastAsia"/>
        </w:rPr>
        <w:t>年化复合</w:t>
      </w:r>
      <w:proofErr w:type="gramEnd"/>
      <w:r>
        <w:rPr>
          <w:rFonts w:ascii="黑体" w:eastAsia="黑体" w:hAnsi="黑体" w:hint="eastAsia"/>
        </w:rPr>
        <w:t>收益率19.9%，远超标普500指数的10.4%。（数据来源：</w:t>
      </w:r>
      <w:r>
        <w:rPr>
          <w:rFonts w:ascii="黑体" w:eastAsia="黑体" w:hAnsi="黑体"/>
        </w:rPr>
        <w:t>2024年伯克希尔致股东信</w:t>
      </w:r>
      <w:r>
        <w:rPr>
          <w:rFonts w:ascii="黑体" w:eastAsia="黑体" w:hAnsi="黑体" w:hint="eastAsia"/>
        </w:rPr>
        <w:t>，截至2024年12月31日）</w:t>
      </w:r>
    </w:p>
    <w:p w14:paraId="10A9B0DE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这验证了一个最简单、但往往也是最难做到的事情：长期持有或比择时更重要。</w:t>
      </w:r>
    </w:p>
    <w:p w14:paraId="58F2E1C1" w14:textId="77777777" w:rsidR="0042772C" w:rsidRDefault="0042772C">
      <w:pPr>
        <w:rPr>
          <w:rFonts w:ascii="黑体" w:eastAsia="黑体" w:hAnsi="黑体" w:hint="eastAsia"/>
        </w:rPr>
      </w:pPr>
    </w:p>
    <w:p w14:paraId="78CB9049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巴菲特即将退休了，但他留给市场的启示永不褪色：投资不是比谁跑得快，而是比谁看得远、拿得住。作为投资者，我们或许无法复制他的财富传奇，但可以学习他的心态——在喧嚣中保持理性，用时间</w:t>
      </w:r>
      <w:proofErr w:type="gramStart"/>
      <w:r>
        <w:rPr>
          <w:rFonts w:ascii="黑体" w:eastAsia="黑体" w:hAnsi="黑体" w:hint="eastAsia"/>
        </w:rPr>
        <w:t>熨</w:t>
      </w:r>
      <w:proofErr w:type="gramEnd"/>
      <w:r>
        <w:rPr>
          <w:rFonts w:ascii="黑体" w:eastAsia="黑体" w:hAnsi="黑体" w:hint="eastAsia"/>
        </w:rPr>
        <w:t>平波动，终将收获“慢即是快”的惊喜。共勉。</w:t>
      </w:r>
    </w:p>
    <w:p w14:paraId="346B454B" w14:textId="77777777" w:rsidR="0042772C" w:rsidRDefault="0042772C">
      <w:pPr>
        <w:rPr>
          <w:rFonts w:ascii="黑体" w:eastAsia="黑体" w:hAnsi="黑体" w:hint="eastAsia"/>
        </w:rPr>
      </w:pPr>
    </w:p>
    <w:p w14:paraId="124E22FE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注：①富荣信息技术混合于2021年10月28日成立，R3中风险等级，基金的业绩比较基准为：</w:t>
      </w:r>
      <w:proofErr w:type="gramStart"/>
      <w:r>
        <w:rPr>
          <w:rFonts w:ascii="黑体" w:eastAsia="黑体" w:hAnsi="黑体" w:hint="eastAsia"/>
        </w:rPr>
        <w:t>中证全指</w:t>
      </w:r>
      <w:proofErr w:type="gramEnd"/>
      <w:r>
        <w:rPr>
          <w:rFonts w:ascii="黑体" w:eastAsia="黑体" w:hAnsi="黑体" w:hint="eastAsia"/>
        </w:rPr>
        <w:t>信息技术指数收益率×70%+中</w:t>
      </w:r>
      <w:proofErr w:type="gramStart"/>
      <w:r>
        <w:rPr>
          <w:rFonts w:ascii="黑体" w:eastAsia="黑体" w:hAnsi="黑体" w:hint="eastAsia"/>
        </w:rPr>
        <w:t>债综合</w:t>
      </w:r>
      <w:proofErr w:type="gramEnd"/>
      <w:r>
        <w:rPr>
          <w:rFonts w:ascii="黑体" w:eastAsia="黑体" w:hAnsi="黑体" w:hint="eastAsia"/>
        </w:rPr>
        <w:t>指数收益率×30%。基金经理任职期：郎骋成（2021.10.28-2023.12.13），李延峥（2021.10.28-至今）。富荣福锦混合成立于2018年3月16日，于2021年4月19日增加存托凭证投资范围和投资策略，R3中风险等级。基金经理任职期：胡长虹（2018.03.16-2018.11.26）、邓宇翔（2018.03.30-2024.06.24）、李天翔（2024.06.07-2025.02.19）、李延峥（2024.08.28-至今）。</w:t>
      </w:r>
    </w:p>
    <w:p w14:paraId="5AA12E75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②李延峥，</w:t>
      </w:r>
      <w:r>
        <w:rPr>
          <w:rFonts w:ascii="微软雅黑" w:eastAsia="微软雅黑" w:hAnsi="微软雅黑" w:cs="微软雅黑" w:hint="eastAsia"/>
        </w:rPr>
        <w:t>⻄</w:t>
      </w:r>
      <w:r>
        <w:rPr>
          <w:rFonts w:ascii="黑体" w:eastAsia="黑体" w:hAnsi="黑体" w:cs="黑体" w:hint="eastAsia"/>
        </w:rPr>
        <w:t>南财经大学金融学硕士。</w:t>
      </w:r>
      <w:r>
        <w:rPr>
          <w:rFonts w:ascii="黑体" w:eastAsia="黑体" w:hAnsi="黑体"/>
        </w:rPr>
        <w:t xml:space="preserve"> 2017年进入富荣基金，历任研究部TMT研究员，现任富</w:t>
      </w:r>
      <w:proofErr w:type="gramStart"/>
      <w:r>
        <w:rPr>
          <w:rFonts w:ascii="黑体" w:eastAsia="黑体" w:hAnsi="黑体"/>
        </w:rPr>
        <w:t>荣基金</w:t>
      </w:r>
      <w:proofErr w:type="gramEnd"/>
      <w:r>
        <w:rPr>
          <w:rFonts w:ascii="黑体" w:eastAsia="黑体" w:hAnsi="黑体"/>
        </w:rPr>
        <w:t>研究部总经理助理、基金经理。</w:t>
      </w:r>
    </w:p>
    <w:p w14:paraId="74802394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③关注方向仅以当前市场情况判断，</w:t>
      </w:r>
      <w:proofErr w:type="gramStart"/>
      <w:r>
        <w:rPr>
          <w:rFonts w:ascii="黑体" w:eastAsia="黑体" w:hAnsi="黑体" w:hint="eastAsia"/>
        </w:rPr>
        <w:t>不</w:t>
      </w:r>
      <w:proofErr w:type="gramEnd"/>
      <w:r>
        <w:rPr>
          <w:rFonts w:ascii="黑体" w:eastAsia="黑体" w:hAnsi="黑体" w:hint="eastAsia"/>
        </w:rPr>
        <w:t>必然代表未来投资方向。基金经理将根据证券市</w:t>
      </w:r>
      <w:r>
        <w:rPr>
          <w:rFonts w:ascii="黑体" w:eastAsia="黑体" w:hAnsi="黑体" w:hint="eastAsia"/>
        </w:rPr>
        <w:lastRenderedPageBreak/>
        <w:t>场情况的变化并依据基金合同的约定，灵活调整具体的投资策略。</w:t>
      </w:r>
    </w:p>
    <w:p w14:paraId="72E1E63D" w14:textId="77777777" w:rsidR="0042772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市场有风险，投资需谨慎。投资者应充分了解基金定期定额投资和零存整取等储蓄方式的区别。定期定额投资是引导投资者进行长期投资、平均投资成本的一种简单易行的投资方式。但是定期定额投资并不能规避基金投资所固有的风险，不能保证投资者获取收益，也不是替代储蓄的等效理财方式。基金管理人承诺以诚实信用、勤勉尽责的原则管理和运用基金资产，基金的过往业绩并不预示其未来表现，基金管理人管理的其他基金的业绩并不构成本基金业绩表现的保证。基金管理人不保证基金一定盈利，也不保证最低收益。基金管理人提醒投资人基金投资的“买者自负”原则，投资人在投资基金前应认真阅读《基金合同》、《招募说明书》和《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>
        <w:rPr>
          <w:rFonts w:ascii="黑体" w:eastAsia="黑体" w:hAnsi="黑体" w:hint="eastAsia"/>
        </w:rPr>
        <w:t>作出</w:t>
      </w:r>
      <w:proofErr w:type="gramEnd"/>
      <w:r>
        <w:rPr>
          <w:rFonts w:ascii="黑体" w:eastAsia="黑体" w:hAnsi="黑体" w:hint="eastAsia"/>
        </w:rPr>
        <w:t>独立决策，选择合适的基金产品。在做出投资决策后，基金运营状况与基金净值变化引致的投资风险，由投资人自行负担。我国基金运作时间较短，不能反映证券市场发展的所有阶段。</w:t>
      </w:r>
    </w:p>
    <w:sectPr w:rsidR="00427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8D4C7" w14:textId="77777777" w:rsidR="001632F8" w:rsidRDefault="001632F8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20FEA46F" w14:textId="77777777" w:rsidR="001632F8" w:rsidRDefault="001632F8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27114" w14:textId="77777777" w:rsidR="001632F8" w:rsidRDefault="001632F8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010F6853" w14:textId="77777777" w:rsidR="001632F8" w:rsidRDefault="001632F8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5E1E"/>
    <w:rsid w:val="00056703"/>
    <w:rsid w:val="00060BB3"/>
    <w:rsid w:val="00070AC3"/>
    <w:rsid w:val="00085625"/>
    <w:rsid w:val="000A10F0"/>
    <w:rsid w:val="000B5232"/>
    <w:rsid w:val="000D31EC"/>
    <w:rsid w:val="000F5C8C"/>
    <w:rsid w:val="0012278C"/>
    <w:rsid w:val="001632F8"/>
    <w:rsid w:val="00176D4F"/>
    <w:rsid w:val="001A1EA6"/>
    <w:rsid w:val="001D23F9"/>
    <w:rsid w:val="001F4529"/>
    <w:rsid w:val="00237722"/>
    <w:rsid w:val="002509DF"/>
    <w:rsid w:val="002D4BB0"/>
    <w:rsid w:val="002D650F"/>
    <w:rsid w:val="003012D0"/>
    <w:rsid w:val="0033490C"/>
    <w:rsid w:val="003363A4"/>
    <w:rsid w:val="003D79A0"/>
    <w:rsid w:val="0042772C"/>
    <w:rsid w:val="00476A8A"/>
    <w:rsid w:val="00497215"/>
    <w:rsid w:val="004A4392"/>
    <w:rsid w:val="00532E84"/>
    <w:rsid w:val="00572EDC"/>
    <w:rsid w:val="005C7FAA"/>
    <w:rsid w:val="006251F4"/>
    <w:rsid w:val="00695FF3"/>
    <w:rsid w:val="00696F3B"/>
    <w:rsid w:val="006C4D4D"/>
    <w:rsid w:val="006C6FC5"/>
    <w:rsid w:val="006D2011"/>
    <w:rsid w:val="006D20D8"/>
    <w:rsid w:val="0071685B"/>
    <w:rsid w:val="007B77FB"/>
    <w:rsid w:val="00843EBC"/>
    <w:rsid w:val="008506AB"/>
    <w:rsid w:val="00884E0B"/>
    <w:rsid w:val="008861CD"/>
    <w:rsid w:val="008919E9"/>
    <w:rsid w:val="008B4166"/>
    <w:rsid w:val="008B695E"/>
    <w:rsid w:val="00915C2A"/>
    <w:rsid w:val="00987807"/>
    <w:rsid w:val="00A13C5B"/>
    <w:rsid w:val="00A23520"/>
    <w:rsid w:val="00A652B7"/>
    <w:rsid w:val="00AA4BFD"/>
    <w:rsid w:val="00B17FA7"/>
    <w:rsid w:val="00B36E17"/>
    <w:rsid w:val="00B479BB"/>
    <w:rsid w:val="00B54301"/>
    <w:rsid w:val="00B84EA8"/>
    <w:rsid w:val="00B94257"/>
    <w:rsid w:val="00BA384E"/>
    <w:rsid w:val="00BD44AA"/>
    <w:rsid w:val="00BF54FE"/>
    <w:rsid w:val="00C97B7D"/>
    <w:rsid w:val="00CC537C"/>
    <w:rsid w:val="00D345D7"/>
    <w:rsid w:val="00D927DE"/>
    <w:rsid w:val="00D95608"/>
    <w:rsid w:val="00E17515"/>
    <w:rsid w:val="00E23CA9"/>
    <w:rsid w:val="00EA44E6"/>
    <w:rsid w:val="00EB35DB"/>
    <w:rsid w:val="00EB5E1E"/>
    <w:rsid w:val="00F545DA"/>
    <w:rsid w:val="00F86702"/>
    <w:rsid w:val="00FB11E4"/>
    <w:rsid w:val="00FD242E"/>
    <w:rsid w:val="0A9309C2"/>
    <w:rsid w:val="0BB43FDD"/>
    <w:rsid w:val="18967A76"/>
    <w:rsid w:val="1FC41D2B"/>
    <w:rsid w:val="4CBD12A4"/>
    <w:rsid w:val="518A6EC1"/>
    <w:rsid w:val="593133EA"/>
    <w:rsid w:val="5AA31704"/>
    <w:rsid w:val="6250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BA05"/>
  <w15:docId w15:val="{4868820A-68C7-4CAC-9C9B-5EC5325F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rPr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rPr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rPr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5">
    <w:name w:val="Revision"/>
    <w:hidden/>
    <w:uiPriority w:val="99"/>
    <w:unhideWhenUsed/>
    <w:rsid w:val="006251F4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3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6</cp:revision>
  <dcterms:created xsi:type="dcterms:W3CDTF">2025-05-06T00:42:00Z</dcterms:created>
  <dcterms:modified xsi:type="dcterms:W3CDTF">2025-05-08T00:55:00Z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2052-12.1.0.20784</vt:lpwstr>
  </property>
  <property fmtid="{D5CDD505-2E9C-101B-9397-08002B2CF9AE}" pid="4" name="ICV">
    <vt:lpwstr>75B5327A0404486B93E909DA80930DC1_13</vt:lpwstr>
  </property>
</Properties>
</file>