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23FBE" w14:textId="619205BB" w:rsidR="00B94257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【峥选定投】202504</w:t>
      </w:r>
      <w:r w:rsidR="00BF54FE">
        <w:rPr>
          <w:rFonts w:ascii="黑体" w:eastAsia="黑体" w:hAnsi="黑体" w:hint="eastAsia"/>
          <w:b/>
          <w:bCs/>
        </w:rPr>
        <w:t>10</w:t>
      </w:r>
      <w:r>
        <w:rPr>
          <w:rFonts w:ascii="黑体" w:eastAsia="黑体" w:hAnsi="黑体" w:hint="eastAsia"/>
          <w:b/>
          <w:bCs/>
        </w:rPr>
        <w:t>定投日志</w:t>
      </w:r>
    </w:p>
    <w:p w14:paraId="587387FA" w14:textId="77777777" w:rsidR="00B94257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大家好！我是富荣信息技术混合、富荣福锦混合的基金经理李延峥。我于昨天（4月9日）</w:t>
      </w:r>
      <w:proofErr w:type="gramStart"/>
      <w:r>
        <w:rPr>
          <w:rFonts w:ascii="黑体" w:eastAsia="黑体" w:hAnsi="黑体" w:hint="eastAsia"/>
        </w:rPr>
        <w:t>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富荣信息技术混合A、富荣福锦混合A两只产品各1000元。近期科技板块虽受关税政策、</w:t>
      </w:r>
      <w:proofErr w:type="gramStart"/>
      <w:r>
        <w:rPr>
          <w:rFonts w:ascii="黑体" w:eastAsia="黑体" w:hAnsi="黑体" w:hint="eastAsia"/>
        </w:rPr>
        <w:t>财报披露</w:t>
      </w:r>
      <w:proofErr w:type="gramEnd"/>
      <w:r>
        <w:rPr>
          <w:rFonts w:ascii="黑体" w:eastAsia="黑体" w:hAnsi="黑体" w:hint="eastAsia"/>
        </w:rPr>
        <w:t>等因素影响有所回调，但我仍看好科技板块的发展机会！</w:t>
      </w:r>
    </w:p>
    <w:p w14:paraId="63345FDA" w14:textId="77777777" w:rsidR="00B94257" w:rsidRDefault="00B94257">
      <w:pPr>
        <w:rPr>
          <w:rFonts w:ascii="黑体" w:eastAsia="黑体" w:hAnsi="黑体" w:hint="eastAsia"/>
        </w:rPr>
      </w:pPr>
    </w:p>
    <w:p w14:paraId="43C61F34" w14:textId="2BB6289C" w:rsidR="00B94257" w:rsidRDefault="000F5C8C">
      <w:pPr>
        <w:jc w:val="center"/>
        <w:rPr>
          <w:rFonts w:ascii="黑体" w:eastAsia="黑体" w:hAnsi="黑体" w:hint="eastAsia"/>
        </w:rPr>
      </w:pPr>
      <w:r w:rsidRPr="000F5C8C">
        <w:rPr>
          <w:rFonts w:hint="eastAsia"/>
          <w:noProof/>
        </w:rPr>
        <w:drawing>
          <wp:inline distT="0" distB="0" distL="0" distR="0" wp14:anchorId="7109976B" wp14:editId="73CF8D8B">
            <wp:extent cx="4038600" cy="3600450"/>
            <wp:effectExtent l="0" t="0" r="0" b="0"/>
            <wp:docPr id="2792048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1B3CA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这周关税风暴扰动全球股市，但冷静下来细想，我所重点关注的科技行业及个股，其实他们的海外业务占比或很小，或没有，主营业务基本都在国内，受到海外关税风险的扰动较小，甚至部分受益于国产替代的趋势。因此我对科技行业AI、机器人、半导体等行业仍有信心。</w:t>
      </w:r>
    </w:p>
    <w:p w14:paraId="5E0B0F71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细分来看，国产</w:t>
      </w:r>
      <w:proofErr w:type="gramStart"/>
      <w:r>
        <w:rPr>
          <w:rFonts w:ascii="黑体" w:eastAsia="黑体" w:hAnsi="黑体" w:hint="eastAsia"/>
        </w:rPr>
        <w:t>算力产业链正</w:t>
      </w:r>
      <w:proofErr w:type="gramEnd"/>
      <w:r>
        <w:rPr>
          <w:rFonts w:ascii="黑体" w:eastAsia="黑体" w:hAnsi="黑体" w:hint="eastAsia"/>
        </w:rPr>
        <w:t>迎来产业兑现期，尤其是在一季度或二季度产业可能会出现业绩加速增长的情况。在产业链供需紧张、部分环节涨价、马上进入业绩期的背景下，当下</w:t>
      </w:r>
      <w:proofErr w:type="gramStart"/>
      <w:r>
        <w:rPr>
          <w:rFonts w:ascii="黑体" w:eastAsia="黑体" w:hAnsi="黑体" w:hint="eastAsia"/>
        </w:rPr>
        <w:t>国产算力可能</w:t>
      </w:r>
      <w:proofErr w:type="gramEnd"/>
      <w:r>
        <w:rPr>
          <w:rFonts w:ascii="黑体" w:eastAsia="黑体" w:hAnsi="黑体" w:hint="eastAsia"/>
        </w:rPr>
        <w:t>会优于应用领域。后续随着行业逐步发展，下半年AI应用领域尤其</w:t>
      </w:r>
      <w:proofErr w:type="gramStart"/>
      <w:r>
        <w:rPr>
          <w:rFonts w:ascii="黑体" w:eastAsia="黑体" w:hAnsi="黑体" w:hint="eastAsia"/>
        </w:rPr>
        <w:t>是垂类</w:t>
      </w:r>
      <w:proofErr w:type="gramEnd"/>
      <w:r>
        <w:rPr>
          <w:rFonts w:ascii="黑体" w:eastAsia="黑体" w:hAnsi="黑体" w:hint="eastAsia"/>
        </w:rPr>
        <w:t>应用可能会出现较多的落地项目，这是未来非常值得关注的投资方向之一。</w:t>
      </w:r>
    </w:p>
    <w:p w14:paraId="695C51B1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我们认为，自2024年9月下旬政策基调转向积极以来，</w:t>
      </w:r>
      <w:proofErr w:type="gramStart"/>
      <w:r>
        <w:rPr>
          <w:rFonts w:ascii="黑体" w:eastAsia="黑体" w:hAnsi="黑体" w:hint="eastAsia"/>
        </w:rPr>
        <w:t>降准降息</w:t>
      </w:r>
      <w:proofErr w:type="gramEnd"/>
      <w:r>
        <w:rPr>
          <w:rFonts w:ascii="黑体" w:eastAsia="黑体" w:hAnsi="黑体" w:hint="eastAsia"/>
        </w:rPr>
        <w:t>等常规工具尚存操作空间，消费补贴等刺激措施也有加码的可能，比如4月7日中央汇金公司公告称，中央汇金公司坚定看好中国资本市场发展前景，充分认可当前A股配置价值，已再次增持了交易型开放式指数基金（ETF），未来将继续增持，坚决维护资本市场平稳运行。</w:t>
      </w:r>
    </w:p>
    <w:p w14:paraId="72AFA7ED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结合历史经验，贸易摩擦的边际影响或随时间递减，而作为弹性较大的科技行业，也有望成为反弹先锋之一。</w:t>
      </w:r>
    </w:p>
    <w:p w14:paraId="57CA25A2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注：①富荣信息技术混合于2021年10月28日成立，R3中风险等级，基金的业绩比较基准为：</w:t>
      </w:r>
      <w:proofErr w:type="gramStart"/>
      <w:r>
        <w:rPr>
          <w:rFonts w:ascii="黑体" w:eastAsia="黑体" w:hAnsi="黑体" w:hint="eastAsia"/>
        </w:rPr>
        <w:t>中证全指</w:t>
      </w:r>
      <w:proofErr w:type="gramEnd"/>
      <w:r>
        <w:rPr>
          <w:rFonts w:ascii="黑体" w:eastAsia="黑体" w:hAnsi="黑体" w:hint="eastAsia"/>
        </w:rPr>
        <w:t>信息技术指数收益率×70%+中</w:t>
      </w:r>
      <w:proofErr w:type="gramStart"/>
      <w:r>
        <w:rPr>
          <w:rFonts w:ascii="黑体" w:eastAsia="黑体" w:hAnsi="黑体" w:hint="eastAsia"/>
        </w:rPr>
        <w:t>债综合</w:t>
      </w:r>
      <w:proofErr w:type="gramEnd"/>
      <w:r>
        <w:rPr>
          <w:rFonts w:ascii="黑体" w:eastAsia="黑体" w:hAnsi="黑体" w:hint="eastAsia"/>
        </w:rPr>
        <w:t>指数收益率×30%。基金经理任职期：郎骋成（2021.10.28-2023.12.13），李延峥（2021.10.28-至今）。</w:t>
      </w:r>
      <w:r>
        <w:rPr>
          <w:rFonts w:ascii="黑体" w:eastAsia="黑体" w:hAnsi="黑体" w:hint="eastAsia"/>
          <w:szCs w:val="22"/>
        </w:rPr>
        <w:t>富荣福锦混合成立于2018年3月16日，于2021年4月19日增加存托凭证投资范围和投资策略，R3中风险等级。基金经理任职期：胡长虹（2018.03.16-2018.11.26）、邓宇翔（2018.03.30-2024.06.24）、李天翔（2024.06.07</w:t>
      </w:r>
      <w:r>
        <w:rPr>
          <w:rFonts w:ascii="黑体" w:eastAsia="黑体" w:hAnsi="黑体"/>
          <w:szCs w:val="22"/>
        </w:rPr>
        <w:t>-</w:t>
      </w:r>
      <w:r>
        <w:rPr>
          <w:rFonts w:ascii="黑体" w:eastAsia="黑体" w:hAnsi="黑体" w:hint="eastAsia"/>
          <w:szCs w:val="22"/>
        </w:rPr>
        <w:t>2025.02.19）、李延峥（2024.08.28-至今）。</w:t>
      </w:r>
    </w:p>
    <w:p w14:paraId="01129F7B" w14:textId="77777777" w:rsidR="00B94257" w:rsidRDefault="00000000">
      <w:pPr>
        <w:spacing w:afterLines="50" w:after="156" w:line="24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②李延峥，</w:t>
      </w:r>
      <w:r>
        <w:rPr>
          <w:rFonts w:ascii="微软雅黑" w:eastAsia="微软雅黑" w:hAnsi="微软雅黑" w:cs="微软雅黑" w:hint="eastAsia"/>
        </w:rPr>
        <w:t>⻄</w:t>
      </w:r>
      <w:r>
        <w:rPr>
          <w:rFonts w:ascii="黑体" w:eastAsia="黑体" w:hAnsi="黑体" w:cs="黑体" w:hint="eastAsia"/>
        </w:rPr>
        <w:t>南财经大学金融学硕士。</w:t>
      </w:r>
      <w:r>
        <w:rPr>
          <w:rFonts w:ascii="黑体" w:eastAsia="黑体" w:hAnsi="黑体"/>
        </w:rPr>
        <w:t xml:space="preserve"> 2017年进入富荣基金，历任研究部TMT研究员，现任富</w:t>
      </w:r>
      <w:proofErr w:type="gramStart"/>
      <w:r>
        <w:rPr>
          <w:rFonts w:ascii="黑体" w:eastAsia="黑体" w:hAnsi="黑体"/>
        </w:rPr>
        <w:t>荣基金</w:t>
      </w:r>
      <w:proofErr w:type="gramEnd"/>
      <w:r>
        <w:rPr>
          <w:rFonts w:ascii="黑体" w:eastAsia="黑体" w:hAnsi="黑体"/>
        </w:rPr>
        <w:t>研究部总经理助理、基金经理。</w:t>
      </w:r>
    </w:p>
    <w:p w14:paraId="427CED2D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③关注方向仅以当前市场情况判断，</w:t>
      </w:r>
      <w:proofErr w:type="gramStart"/>
      <w:r>
        <w:rPr>
          <w:rFonts w:ascii="黑体" w:eastAsia="黑体" w:hAnsi="黑体" w:hint="eastAsia"/>
        </w:rPr>
        <w:t>不</w:t>
      </w:r>
      <w:proofErr w:type="gramEnd"/>
      <w:r>
        <w:rPr>
          <w:rFonts w:ascii="黑体" w:eastAsia="黑体" w:hAnsi="黑体" w:hint="eastAsia"/>
        </w:rPr>
        <w:t>必然代表未来投资方向。基金经理将根据证券市场情况的变化并依据基金合同的约定，灵活调整具体的投资策略。</w:t>
      </w:r>
    </w:p>
    <w:p w14:paraId="4DA3B9BB" w14:textId="77777777" w:rsidR="00B9425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风险提示：市场有风险，投资需谨慎。</w:t>
      </w:r>
      <w:r>
        <w:rPr>
          <w:rFonts w:ascii="黑体" w:eastAsia="黑体" w:hAnsi="黑体"/>
        </w:rPr>
        <w:t>投资者应充分了解基金定期定额投资和零存整取等储蓄方式的区别。定期定额投资是引导投资者进行长期投资、平均投资成本的一种简单易行的投资方式。但是定期定额投资并不能规避基金投资所固有的风险，不能保证投资者获取收益，也不是替代储蓄的等效理财方式。</w:t>
      </w:r>
      <w:r>
        <w:rPr>
          <w:rFonts w:ascii="黑体" w:eastAsia="黑体" w:hAnsi="黑体" w:hint="eastAsia"/>
        </w:rPr>
        <w:t>基金管理人承诺以诚实信用、勤勉尽责的原则管理和运用基金资产，基金的过往业绩并不预示其未来表现，基金管理人管理的其他基金的业绩并不构成本基金业绩表现的保证。基金管理人不保证基金一定盈利，也不保证最低收益。基金管理人提醒投资人基金投资的“买者自负”原则，投资人在投资基金前应认真阅读《基金合同》、《招募说明书》和《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>
        <w:rPr>
          <w:rFonts w:ascii="黑体" w:eastAsia="黑体" w:hAnsi="黑体" w:hint="eastAsia"/>
        </w:rPr>
        <w:t>作出</w:t>
      </w:r>
      <w:proofErr w:type="gramEnd"/>
      <w:r>
        <w:rPr>
          <w:rFonts w:ascii="黑体" w:eastAsia="黑体" w:hAnsi="黑体" w:hint="eastAsia"/>
        </w:rPr>
        <w:t>独立决策，选择合适的基金产品。在做出投资决策后，基金运营状况与基金净值变化引致的投资风险，由投资人自行负担。我国基金运作时间较短，不能反映证券市场发展的所有阶段。</w:t>
      </w:r>
    </w:p>
    <w:p w14:paraId="1D190CD5" w14:textId="77777777" w:rsidR="00B94257" w:rsidRDefault="00B94257">
      <w:pPr>
        <w:rPr>
          <w:rFonts w:ascii="黑体" w:eastAsia="黑体" w:hAnsi="黑体" w:hint="eastAsia"/>
        </w:rPr>
      </w:pPr>
    </w:p>
    <w:sectPr w:rsidR="00B94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E3A11" w14:textId="77777777" w:rsidR="00060BB3" w:rsidRDefault="00060BB3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BF6F292" w14:textId="77777777" w:rsidR="00060BB3" w:rsidRDefault="00060BB3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0AB8B" w14:textId="77777777" w:rsidR="00060BB3" w:rsidRDefault="00060BB3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58B369DD" w14:textId="77777777" w:rsidR="00060BB3" w:rsidRDefault="00060BB3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60BB3"/>
    <w:rsid w:val="00070AC3"/>
    <w:rsid w:val="000B5232"/>
    <w:rsid w:val="000D31EC"/>
    <w:rsid w:val="000F5C8C"/>
    <w:rsid w:val="00176D4F"/>
    <w:rsid w:val="001D23F9"/>
    <w:rsid w:val="00237722"/>
    <w:rsid w:val="002509DF"/>
    <w:rsid w:val="002D650F"/>
    <w:rsid w:val="003363A4"/>
    <w:rsid w:val="00476A8A"/>
    <w:rsid w:val="00497215"/>
    <w:rsid w:val="00572EDC"/>
    <w:rsid w:val="005C7FAA"/>
    <w:rsid w:val="006C6FC5"/>
    <w:rsid w:val="006D20D8"/>
    <w:rsid w:val="0071685B"/>
    <w:rsid w:val="007B77FB"/>
    <w:rsid w:val="00843EBC"/>
    <w:rsid w:val="008506AB"/>
    <w:rsid w:val="008919E9"/>
    <w:rsid w:val="008B4166"/>
    <w:rsid w:val="008B695E"/>
    <w:rsid w:val="00A23520"/>
    <w:rsid w:val="00B479BB"/>
    <w:rsid w:val="00B54301"/>
    <w:rsid w:val="00B84EA8"/>
    <w:rsid w:val="00B94257"/>
    <w:rsid w:val="00BD44AA"/>
    <w:rsid w:val="00BF54FE"/>
    <w:rsid w:val="00D345D7"/>
    <w:rsid w:val="00D95608"/>
    <w:rsid w:val="00EB35DB"/>
    <w:rsid w:val="00EB5E1E"/>
    <w:rsid w:val="00FB11E4"/>
    <w:rsid w:val="0A9309C2"/>
    <w:rsid w:val="0BB43FDD"/>
    <w:rsid w:val="1FC41D2B"/>
    <w:rsid w:val="518A6EC1"/>
    <w:rsid w:val="5AA31704"/>
    <w:rsid w:val="6250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C31EE"/>
  <w15:docId w15:val="{9F623A77-BE12-4407-9D3C-BF0DAD336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rPr>
      <w:kern w:val="2"/>
      <w:sz w:val="22"/>
      <w:szCs w:val="24"/>
      <w14:ligatures w14:val="standardContextual"/>
    </w:rPr>
  </w:style>
  <w:style w:type="paragraph" w:styleId="af2">
    <w:name w:val="Revision"/>
    <w:hidden/>
    <w:uiPriority w:val="99"/>
    <w:unhideWhenUsed/>
    <w:rsid w:val="000F5C8C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11</cp:revision>
  <dcterms:created xsi:type="dcterms:W3CDTF">2025-03-31T07:18:00Z</dcterms:created>
  <dcterms:modified xsi:type="dcterms:W3CDTF">2025-04-10T05:01:00Z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2052-12.1.0.20305</vt:lpwstr>
  </property>
  <property fmtid="{D5CDD505-2E9C-101B-9397-08002B2CF9AE}" pid="4" name="ICV">
    <vt:lpwstr>19336A59D4494E299E7592614CF64521_12</vt:lpwstr>
  </property>
</Properties>
</file>