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95F12" w14:textId="77777777" w:rsidR="00B54301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【峥选定投】实盘已开，欢迎围观！</w:t>
      </w:r>
    </w:p>
    <w:p w14:paraId="78F93CE4" w14:textId="0B695C75" w:rsidR="00B54301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大家好！我是富荣信息技术混合、富荣福锦混合的基金经理李延峥。从3月26日开始，我针对我目前在管的两只产品，分别设置了每周一次</w:t>
      </w:r>
      <w:proofErr w:type="gramStart"/>
      <w:r>
        <w:rPr>
          <w:rFonts w:ascii="黑体" w:eastAsia="黑体" w:hAnsi="黑体" w:hint="eastAsia"/>
        </w:rPr>
        <w:t>的定投计划</w:t>
      </w:r>
      <w:proofErr w:type="gramEnd"/>
      <w:r>
        <w:rPr>
          <w:rFonts w:ascii="黑体" w:eastAsia="黑体" w:hAnsi="黑体" w:hint="eastAsia"/>
        </w:rPr>
        <w:t>，每只产品每</w:t>
      </w:r>
      <w:proofErr w:type="gramStart"/>
      <w:r>
        <w:rPr>
          <w:rFonts w:ascii="黑体" w:eastAsia="黑体" w:hAnsi="黑体" w:hint="eastAsia"/>
        </w:rPr>
        <w:t>周定投1000元</w:t>
      </w:r>
      <w:proofErr w:type="gramEnd"/>
      <w:r>
        <w:rPr>
          <w:rFonts w:ascii="黑体" w:eastAsia="黑体" w:hAnsi="黑体" w:hint="eastAsia"/>
        </w:rPr>
        <w:t>。目前我的</w:t>
      </w:r>
      <w:proofErr w:type="gramStart"/>
      <w:r>
        <w:rPr>
          <w:rFonts w:ascii="黑体" w:eastAsia="黑体" w:hAnsi="黑体" w:hint="eastAsia"/>
        </w:rPr>
        <w:t>定投计划</w:t>
      </w:r>
      <w:proofErr w:type="gramEnd"/>
      <w:r>
        <w:rPr>
          <w:rFonts w:ascii="黑体" w:eastAsia="黑体" w:hAnsi="黑体" w:hint="eastAsia"/>
        </w:rPr>
        <w:t>是每周三扣款，那么，我会在每周四（待份额确认后）将</w:t>
      </w:r>
      <w:proofErr w:type="gramStart"/>
      <w:r>
        <w:rPr>
          <w:rFonts w:ascii="黑体" w:eastAsia="黑体" w:hAnsi="黑体" w:hint="eastAsia"/>
        </w:rPr>
        <w:t>定投操作</w:t>
      </w:r>
      <w:proofErr w:type="gramEnd"/>
      <w:r>
        <w:rPr>
          <w:rFonts w:ascii="黑体" w:eastAsia="黑体" w:hAnsi="黑体" w:hint="eastAsia"/>
        </w:rPr>
        <w:t>日志发布（</w:t>
      </w:r>
      <w:proofErr w:type="gramStart"/>
      <w:r>
        <w:rPr>
          <w:rFonts w:ascii="黑体" w:eastAsia="黑体" w:hAnsi="黑体" w:hint="eastAsia"/>
        </w:rPr>
        <w:t>定投扣款</w:t>
      </w:r>
      <w:proofErr w:type="gramEnd"/>
      <w:r>
        <w:rPr>
          <w:rFonts w:ascii="黑体" w:eastAsia="黑体" w:hAnsi="黑体" w:hint="eastAsia"/>
        </w:rPr>
        <w:t>日和</w:t>
      </w:r>
      <w:proofErr w:type="gramStart"/>
      <w:r>
        <w:rPr>
          <w:rFonts w:ascii="黑体" w:eastAsia="黑体" w:hAnsi="黑体" w:hint="eastAsia"/>
        </w:rPr>
        <w:t>定投操作发布日均需</w:t>
      </w:r>
      <w:proofErr w:type="gramEnd"/>
      <w:r>
        <w:rPr>
          <w:rFonts w:ascii="黑体" w:eastAsia="黑体" w:hAnsi="黑体" w:hint="eastAsia"/>
        </w:rPr>
        <w:t>在交易日进行，如</w:t>
      </w:r>
      <w:proofErr w:type="gramStart"/>
      <w:r>
        <w:rPr>
          <w:rFonts w:ascii="黑体" w:eastAsia="黑体" w:hAnsi="黑体" w:hint="eastAsia"/>
        </w:rPr>
        <w:t>遇非交易</w:t>
      </w:r>
      <w:proofErr w:type="gramEnd"/>
      <w:r>
        <w:rPr>
          <w:rFonts w:ascii="黑体" w:eastAsia="黑体" w:hAnsi="黑体" w:hint="eastAsia"/>
        </w:rPr>
        <w:t>日则顺延）。如果在日后我要</w:t>
      </w:r>
      <w:proofErr w:type="gramStart"/>
      <w:r>
        <w:rPr>
          <w:rFonts w:ascii="黑体" w:eastAsia="黑体" w:hAnsi="黑体" w:hint="eastAsia"/>
        </w:rPr>
        <w:t>修改定投扣款</w:t>
      </w:r>
      <w:proofErr w:type="gramEnd"/>
      <w:r>
        <w:rPr>
          <w:rFonts w:ascii="黑体" w:eastAsia="黑体" w:hAnsi="黑体" w:hint="eastAsia"/>
        </w:rPr>
        <w:t>日</w:t>
      </w:r>
      <w:proofErr w:type="gramStart"/>
      <w:r>
        <w:rPr>
          <w:rFonts w:ascii="黑体" w:eastAsia="黑体" w:hAnsi="黑体" w:hint="eastAsia"/>
        </w:rPr>
        <w:t>和定投金额</w:t>
      </w:r>
      <w:proofErr w:type="gramEnd"/>
      <w:r>
        <w:rPr>
          <w:rFonts w:ascii="黑体" w:eastAsia="黑体" w:hAnsi="黑体" w:hint="eastAsia"/>
        </w:rPr>
        <w:t>，则会提前进行告知。</w:t>
      </w:r>
    </w:p>
    <w:p w14:paraId="1101073C" w14:textId="6FF39D7B" w:rsidR="00B54301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我于昨天（4月2日）</w:t>
      </w:r>
      <w:proofErr w:type="gramStart"/>
      <w:r>
        <w:rPr>
          <w:rFonts w:ascii="黑体" w:eastAsia="黑体" w:hAnsi="黑体" w:hint="eastAsia"/>
        </w:rPr>
        <w:t>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富荣信息技术混合A、富荣福锦混合A两只产品各1000元。近期科技板块虽</w:t>
      </w:r>
      <w:proofErr w:type="gramStart"/>
      <w:r>
        <w:rPr>
          <w:rFonts w:ascii="黑体" w:eastAsia="黑体" w:hAnsi="黑体" w:hint="eastAsia"/>
        </w:rPr>
        <w:t>受财报披露</w:t>
      </w:r>
      <w:proofErr w:type="gramEnd"/>
      <w:r>
        <w:rPr>
          <w:rFonts w:ascii="黑体" w:eastAsia="黑体" w:hAnsi="黑体" w:hint="eastAsia"/>
        </w:rPr>
        <w:t>等因素影响有所回调，但我仍看好科技板块的发展机会！</w:t>
      </w:r>
    </w:p>
    <w:p w14:paraId="69154643" w14:textId="77777777" w:rsidR="00B54301" w:rsidRDefault="00B54301" w:rsidP="00FB11E4">
      <w:pPr>
        <w:rPr>
          <w:rFonts w:ascii="黑体" w:eastAsia="黑体" w:hAnsi="黑体" w:hint="eastAsia"/>
        </w:rPr>
      </w:pPr>
    </w:p>
    <w:p w14:paraId="34A4276B" w14:textId="77777777" w:rsidR="00B54301" w:rsidRDefault="00000000">
      <w:pPr>
        <w:jc w:val="center"/>
        <w:rPr>
          <w:rFonts w:ascii="黑体" w:eastAsia="黑体" w:hAnsi="黑体" w:hint="eastAsia"/>
        </w:rPr>
      </w:pPr>
      <w:r>
        <w:rPr>
          <w:rFonts w:hint="eastAsia"/>
          <w:noProof/>
        </w:rPr>
        <w:drawing>
          <wp:inline distT="0" distB="0" distL="0" distR="0">
            <wp:extent cx="5019675" cy="3048000"/>
            <wp:effectExtent l="0" t="0" r="9525" b="0"/>
            <wp:docPr id="4889607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60716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497A3" w14:textId="77777777" w:rsidR="00B54301" w:rsidRDefault="00000000">
      <w:pPr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一、为什么近期波动加大？科技板块或将迎来“日历效应”与“决断期”</w:t>
      </w:r>
    </w:p>
    <w:p w14:paraId="137A3264" w14:textId="77777777" w:rsidR="00B5430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在A股市场中，科技板块存在显著的“日历效应”——</w:t>
      </w:r>
      <w:proofErr w:type="gramStart"/>
      <w:r>
        <w:rPr>
          <w:rFonts w:ascii="黑体" w:eastAsia="黑体" w:hAnsi="黑体" w:hint="eastAsia"/>
        </w:rPr>
        <w:t>受财报披露</w:t>
      </w:r>
      <w:proofErr w:type="gramEnd"/>
      <w:r>
        <w:rPr>
          <w:rFonts w:ascii="黑体" w:eastAsia="黑体" w:hAnsi="黑体" w:hint="eastAsia"/>
        </w:rPr>
        <w:t>、政策窗口和</w:t>
      </w:r>
      <w:proofErr w:type="gramStart"/>
      <w:r>
        <w:rPr>
          <w:rFonts w:ascii="黑体" w:eastAsia="黑体" w:hAnsi="黑体" w:hint="eastAsia"/>
        </w:rPr>
        <w:t>资金调仓等</w:t>
      </w:r>
      <w:proofErr w:type="gramEnd"/>
      <w:r>
        <w:rPr>
          <w:rFonts w:ascii="黑体" w:eastAsia="黑体" w:hAnsi="黑体" w:hint="eastAsia"/>
        </w:rPr>
        <w:t>因素影响，每年4月（</w:t>
      </w:r>
      <w:proofErr w:type="gramStart"/>
      <w:r>
        <w:rPr>
          <w:rFonts w:ascii="黑体" w:eastAsia="黑体" w:hAnsi="黑体" w:hint="eastAsia"/>
        </w:rPr>
        <w:t>一</w:t>
      </w:r>
      <w:proofErr w:type="gramEnd"/>
      <w:r>
        <w:rPr>
          <w:rFonts w:ascii="黑体" w:eastAsia="黑体" w:hAnsi="黑体" w:hint="eastAsia"/>
        </w:rPr>
        <w:t>季报集中披露期）往往成为科技股的“决断期”。</w:t>
      </w:r>
    </w:p>
    <w:p w14:paraId="51EBE890" w14:textId="77777777" w:rsidR="00B5430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以史为鉴，从下图可以看出，2022年4月、2023年4月、2024年4月，科技板块主要指数——申万电子、通信、计算机指数的涨跌</w:t>
      </w:r>
      <w:proofErr w:type="gramStart"/>
      <w:r>
        <w:rPr>
          <w:rFonts w:ascii="黑体" w:eastAsia="黑体" w:hAnsi="黑体" w:hint="eastAsia"/>
        </w:rPr>
        <w:t>幅基本跑</w:t>
      </w:r>
      <w:proofErr w:type="gramEnd"/>
      <w:r>
        <w:rPr>
          <w:rFonts w:ascii="黑体" w:eastAsia="黑体" w:hAnsi="黑体" w:hint="eastAsia"/>
        </w:rPr>
        <w:t>输上证指数和沪深300指数，仅在2023年</w:t>
      </w:r>
      <w:r>
        <w:rPr>
          <w:rFonts w:ascii="黑体" w:eastAsia="黑体" w:hAnsi="黑体"/>
        </w:rPr>
        <w:t>通信</w:t>
      </w:r>
      <w:r>
        <w:rPr>
          <w:rFonts w:ascii="黑体" w:eastAsia="黑体" w:hAnsi="黑体" w:hint="eastAsia"/>
        </w:rPr>
        <w:t>板块跑赢大盘。</w:t>
      </w:r>
    </w:p>
    <w:p w14:paraId="6245CC07" w14:textId="77777777" w:rsidR="00B54301" w:rsidRDefault="00000000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noProof/>
        </w:rPr>
        <w:lastRenderedPageBreak/>
        <w:drawing>
          <wp:inline distT="0" distB="0" distL="0" distR="0">
            <wp:extent cx="4162425" cy="2333625"/>
            <wp:effectExtent l="0" t="0" r="9525" b="952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2796" cy="233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12214" w14:textId="77777777" w:rsidR="00B54301" w:rsidRDefault="00000000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数据来源：Wind</w:t>
      </w:r>
    </w:p>
    <w:p w14:paraId="68752491" w14:textId="77777777" w:rsidR="00B54301" w:rsidRDefault="00B54301">
      <w:pPr>
        <w:rPr>
          <w:rFonts w:ascii="黑体" w:eastAsia="黑体" w:hAnsi="黑体" w:hint="eastAsia"/>
        </w:rPr>
      </w:pPr>
    </w:p>
    <w:p w14:paraId="7108BD91" w14:textId="77777777" w:rsidR="00B5430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然而，“决断期”</w:t>
      </w:r>
      <w:r>
        <w:rPr>
          <w:rFonts w:ascii="黑体" w:eastAsia="黑体" w:hAnsi="黑体"/>
        </w:rPr>
        <w:t>或</w:t>
      </w:r>
      <w:r>
        <w:rPr>
          <w:rFonts w:ascii="黑体" w:eastAsia="黑体" w:hAnsi="黑体" w:hint="eastAsia"/>
        </w:rPr>
        <w:t>是布局良机。以2019年为例，尽管4月科技板块（以TMT指数为主）下跌近6%（数据来源：Wind,2019.4.1-2019.4.30</w:t>
      </w:r>
      <w:r>
        <w:rPr>
          <w:rFonts w:ascii="黑体" w:eastAsia="黑体" w:hAnsi="黑体"/>
        </w:rPr>
        <w:t>）</w:t>
      </w:r>
      <w:r>
        <w:rPr>
          <w:rFonts w:ascii="黑体" w:eastAsia="黑体" w:hAnsi="黑体" w:hint="eastAsia"/>
        </w:rPr>
        <w:t>，但随着5G商用和国产替代逻辑兑现，该指数在2019年下半年</w:t>
      </w:r>
      <w:r>
        <w:rPr>
          <w:rFonts w:ascii="黑体" w:eastAsia="黑体" w:hAnsi="黑体"/>
        </w:rPr>
        <w:t>也取得了相对较好的表现（注：指数过往业绩并不预示未来表现</w:t>
      </w:r>
      <w:r>
        <w:rPr>
          <w:rFonts w:ascii="黑体" w:eastAsia="黑体" w:hAnsi="黑体" w:hint="eastAsia"/>
        </w:rPr>
        <w:t>，</w:t>
      </w:r>
      <w:r>
        <w:rPr>
          <w:rFonts w:ascii="黑体" w:eastAsia="黑体" w:hAnsi="黑体"/>
        </w:rPr>
        <w:t>市场有风险，投资需谨慎）</w:t>
      </w:r>
      <w:r>
        <w:rPr>
          <w:rFonts w:ascii="黑体" w:eastAsia="黑体" w:hAnsi="黑体" w:hint="eastAsia"/>
        </w:rPr>
        <w:t>。</w:t>
      </w:r>
    </w:p>
    <w:p w14:paraId="775D5D48" w14:textId="77777777" w:rsidR="00B54301" w:rsidRDefault="00B54301">
      <w:pPr>
        <w:rPr>
          <w:rFonts w:ascii="黑体" w:eastAsia="黑体" w:hAnsi="黑体" w:hint="eastAsia"/>
          <w:sz w:val="21"/>
          <w:szCs w:val="21"/>
        </w:rPr>
      </w:pPr>
    </w:p>
    <w:p w14:paraId="0658932F" w14:textId="77777777" w:rsidR="00B54301" w:rsidRDefault="00000000">
      <w:pPr>
        <w:rPr>
          <w:rFonts w:ascii="黑体" w:eastAsia="黑体" w:hAnsi="黑体" w:hint="eastAsia"/>
          <w:b/>
          <w:bCs/>
          <w:sz w:val="21"/>
          <w:szCs w:val="21"/>
        </w:rPr>
      </w:pPr>
      <w:r>
        <w:rPr>
          <w:rFonts w:ascii="黑体" w:eastAsia="黑体" w:hAnsi="黑体" w:hint="eastAsia"/>
          <w:b/>
          <w:bCs/>
          <w:sz w:val="21"/>
          <w:szCs w:val="21"/>
        </w:rPr>
        <w:t>二、</w:t>
      </w:r>
      <w:proofErr w:type="gramStart"/>
      <w:r>
        <w:rPr>
          <w:rFonts w:ascii="黑体" w:eastAsia="黑体" w:hAnsi="黑体" w:hint="eastAsia"/>
          <w:b/>
          <w:bCs/>
          <w:sz w:val="21"/>
          <w:szCs w:val="21"/>
        </w:rPr>
        <w:t>特朗普</w:t>
      </w:r>
      <w:proofErr w:type="gramEnd"/>
      <w:r>
        <w:rPr>
          <w:rFonts w:ascii="黑体" w:eastAsia="黑体" w:hAnsi="黑体" w:hint="eastAsia"/>
          <w:b/>
          <w:bCs/>
          <w:sz w:val="21"/>
          <w:szCs w:val="21"/>
        </w:rPr>
        <w:t>亮出“对等关税”牌，怎么看后市？</w:t>
      </w:r>
    </w:p>
    <w:p w14:paraId="3DD426EF" w14:textId="77777777" w:rsidR="00B54301" w:rsidRPr="00FB11E4" w:rsidRDefault="00000000">
      <w:pPr>
        <w:rPr>
          <w:rFonts w:ascii="黑体" w:eastAsia="黑体" w:hAnsi="黑体" w:hint="eastAsia"/>
          <w:sz w:val="21"/>
          <w:szCs w:val="21"/>
        </w:rPr>
      </w:pPr>
      <w:r w:rsidRPr="00FB11E4">
        <w:rPr>
          <w:rFonts w:ascii="黑体" w:eastAsia="黑体" w:hAnsi="黑体" w:hint="eastAsia"/>
          <w:sz w:val="21"/>
          <w:szCs w:val="21"/>
        </w:rPr>
        <w:t>美国总统特朗普4月2日在白宫签署两项关于所谓“对等关税”的行政令，宣布美国对贸易伙伴设立10%的“最低基准关税”，并对某些贸易伙伴征收更高关税。另据央视新闻报道，当地时间4月2日，美国白宫发表声明称，美国总统特朗普当日宣布国家紧急状态，以提高美国的竞争优势，保护美国主权，并加强美国国家和经济安全。</w:t>
      </w:r>
    </w:p>
    <w:p w14:paraId="5F6B783D" w14:textId="58771D8F" w:rsidR="00B54301" w:rsidRDefault="00000000">
      <w:pPr>
        <w:rPr>
          <w:rFonts w:ascii="黑体" w:eastAsia="黑体" w:hAnsi="黑体" w:hint="eastAsia"/>
          <w:sz w:val="21"/>
          <w:szCs w:val="21"/>
        </w:rPr>
      </w:pPr>
      <w:r>
        <w:rPr>
          <w:rFonts w:ascii="黑体" w:eastAsia="黑体" w:hAnsi="黑体" w:hint="eastAsia"/>
          <w:sz w:val="21"/>
          <w:szCs w:val="21"/>
        </w:rPr>
        <w:t>我们认为，随着</w:t>
      </w:r>
      <w:r w:rsidRPr="00FB11E4">
        <w:rPr>
          <w:rFonts w:ascii="黑体" w:eastAsia="黑体" w:hAnsi="黑体" w:hint="eastAsia"/>
          <w:sz w:val="21"/>
          <w:szCs w:val="21"/>
        </w:rPr>
        <w:t>关税“风暴”落地，</w:t>
      </w:r>
      <w:r>
        <w:rPr>
          <w:rFonts w:ascii="黑体" w:eastAsia="黑体" w:hAnsi="黑体" w:hint="eastAsia"/>
          <w:sz w:val="21"/>
          <w:szCs w:val="21"/>
        </w:rPr>
        <w:t>在政策的持续支持以及赚钱效应带来的资金流入背景下， A股市场有望震荡上行</w:t>
      </w:r>
      <w:r w:rsidRPr="00FB11E4">
        <w:rPr>
          <w:rFonts w:ascii="黑体" w:eastAsia="黑体" w:hAnsi="黑体" w:hint="eastAsia"/>
          <w:sz w:val="21"/>
          <w:szCs w:val="21"/>
        </w:rPr>
        <w:t>。从业绩层面来看，核心资产已体现出</w:t>
      </w:r>
      <w:r>
        <w:rPr>
          <w:rFonts w:ascii="黑体" w:eastAsia="黑体" w:hAnsi="黑体" w:hint="eastAsia"/>
          <w:sz w:val="21"/>
          <w:szCs w:val="21"/>
        </w:rPr>
        <w:t>较</w:t>
      </w:r>
      <w:r w:rsidRPr="00FB11E4">
        <w:rPr>
          <w:rFonts w:ascii="黑体" w:eastAsia="黑体" w:hAnsi="黑体" w:hint="eastAsia"/>
          <w:sz w:val="21"/>
          <w:szCs w:val="21"/>
        </w:rPr>
        <w:t>强的经营韧性，左侧布局的契机</w:t>
      </w:r>
      <w:r>
        <w:rPr>
          <w:rFonts w:ascii="黑体" w:eastAsia="黑体" w:hAnsi="黑体" w:hint="eastAsia"/>
          <w:sz w:val="21"/>
          <w:szCs w:val="21"/>
        </w:rPr>
        <w:t>或已</w:t>
      </w:r>
      <w:r w:rsidRPr="00FB11E4">
        <w:rPr>
          <w:rFonts w:ascii="黑体" w:eastAsia="黑体" w:hAnsi="黑体" w:hint="eastAsia"/>
          <w:sz w:val="21"/>
          <w:szCs w:val="21"/>
        </w:rPr>
        <w:t>成熟；从流动性层面来看，</w:t>
      </w:r>
      <w:r>
        <w:rPr>
          <w:rFonts w:ascii="黑体" w:eastAsia="黑体" w:hAnsi="黑体" w:hint="eastAsia"/>
          <w:sz w:val="21"/>
          <w:szCs w:val="21"/>
        </w:rPr>
        <w:t>政策在积极发力，中长期资金以及前期赚钱效应带来的增量资金或将加速流入市场，有望进一步提升A股市场的估值。</w:t>
      </w:r>
      <w:r w:rsidRPr="00FB11E4">
        <w:rPr>
          <w:rFonts w:ascii="黑体" w:eastAsia="黑体" w:hAnsi="黑体" w:hint="eastAsia"/>
          <w:sz w:val="21"/>
          <w:szCs w:val="21"/>
        </w:rPr>
        <w:t>在配置上，</w:t>
      </w:r>
      <w:r>
        <w:rPr>
          <w:rFonts w:ascii="黑体" w:eastAsia="黑体" w:hAnsi="黑体" w:hint="eastAsia"/>
          <w:sz w:val="21"/>
          <w:szCs w:val="21"/>
        </w:rPr>
        <w:t>我们认为在风险适配的前提下，可长期关注科技成长板块。</w:t>
      </w:r>
    </w:p>
    <w:p w14:paraId="214DADF8" w14:textId="77777777" w:rsidR="00B54301" w:rsidRPr="00FB11E4" w:rsidRDefault="00B54301">
      <w:pPr>
        <w:rPr>
          <w:rFonts w:ascii="黑体" w:eastAsia="黑体" w:hAnsi="黑体" w:hint="eastAsia"/>
          <w:sz w:val="21"/>
          <w:szCs w:val="21"/>
        </w:rPr>
      </w:pPr>
    </w:p>
    <w:p w14:paraId="53D08BDD" w14:textId="77777777" w:rsidR="00B54301" w:rsidRDefault="00000000">
      <w:pPr>
        <w:rPr>
          <w:rFonts w:ascii="黑体" w:eastAsia="黑体" w:hAnsi="黑体" w:hint="eastAsia"/>
          <w:b/>
          <w:bCs/>
          <w:sz w:val="21"/>
          <w:szCs w:val="21"/>
        </w:rPr>
      </w:pPr>
      <w:r>
        <w:rPr>
          <w:rFonts w:ascii="黑体" w:eastAsia="黑体" w:hAnsi="黑体" w:hint="eastAsia"/>
          <w:b/>
          <w:bCs/>
          <w:sz w:val="21"/>
          <w:szCs w:val="21"/>
        </w:rPr>
        <w:t>三、震荡期的投资策略：以“种树思维”静待花开</w:t>
      </w:r>
    </w:p>
    <w:p w14:paraId="02928F1B" w14:textId="77777777" w:rsidR="00B54301" w:rsidRDefault="00000000">
      <w:pPr>
        <w:rPr>
          <w:rFonts w:ascii="黑体" w:eastAsia="黑体" w:hAnsi="黑体" w:hint="eastAsia"/>
          <w:sz w:val="21"/>
          <w:szCs w:val="21"/>
        </w:rPr>
      </w:pPr>
      <w:r>
        <w:rPr>
          <w:rFonts w:ascii="黑体" w:eastAsia="黑体" w:hAnsi="黑体" w:hint="eastAsia"/>
          <w:sz w:val="21"/>
          <w:szCs w:val="21"/>
        </w:rPr>
        <w:t>投资科技行业会面临较大的波动率，这是科技行业的一个客观规律。面对短期波动，我们建议大家在风险适配的前提下，或可考虑逢低布局。同时，我们会力争通过逐步完善投资框架中的卖出策略，尽量减少波动率，以期为投资者提供更好的投资体验。</w:t>
      </w:r>
    </w:p>
    <w:p w14:paraId="4B88AEEA" w14:textId="77777777" w:rsidR="00B54301" w:rsidRDefault="00000000">
      <w:pPr>
        <w:rPr>
          <w:rFonts w:ascii="黑体" w:eastAsia="黑体" w:hAnsi="黑体" w:hint="eastAsia"/>
          <w:sz w:val="21"/>
          <w:szCs w:val="21"/>
        </w:rPr>
      </w:pPr>
      <w:r>
        <w:rPr>
          <w:rFonts w:ascii="黑体" w:eastAsia="黑体" w:hAnsi="黑体" w:hint="eastAsia"/>
          <w:sz w:val="21"/>
          <w:szCs w:val="21"/>
        </w:rPr>
        <w:t>如果您也认同 “投资科技，就是投资未来”，请与我们共同保持耐心。让理性穿透噪声，</w:t>
      </w:r>
      <w:r>
        <w:rPr>
          <w:rFonts w:ascii="黑体" w:eastAsia="黑体" w:hAnsi="黑体" w:hint="eastAsia"/>
          <w:sz w:val="21"/>
          <w:szCs w:val="21"/>
        </w:rPr>
        <w:lastRenderedPageBreak/>
        <w:t>让时间成为朋友。历史不会简单重复，但总押着相似的韵脚。我们会始终以深度产业研究为锚，在</w:t>
      </w:r>
      <w:proofErr w:type="gramStart"/>
      <w:r>
        <w:rPr>
          <w:rFonts w:ascii="黑体" w:eastAsia="黑体" w:hAnsi="黑体" w:hint="eastAsia"/>
          <w:sz w:val="21"/>
          <w:szCs w:val="21"/>
        </w:rPr>
        <w:t>算力革命</w:t>
      </w:r>
      <w:proofErr w:type="gramEnd"/>
      <w:r>
        <w:rPr>
          <w:rFonts w:ascii="黑体" w:eastAsia="黑体" w:hAnsi="黑体" w:hint="eastAsia"/>
          <w:sz w:val="21"/>
          <w:szCs w:val="21"/>
        </w:rPr>
        <w:t>的浪潮中，与各位持有人共同等待“未来已来”的时刻。</w:t>
      </w:r>
    </w:p>
    <w:p w14:paraId="2ED36B5E" w14:textId="77777777" w:rsidR="00B54301" w:rsidRDefault="00B54301">
      <w:pPr>
        <w:rPr>
          <w:rFonts w:ascii="黑体" w:eastAsia="黑体" w:hAnsi="黑体" w:hint="eastAsia"/>
        </w:rPr>
      </w:pPr>
    </w:p>
    <w:p w14:paraId="65117EC0" w14:textId="77777777" w:rsidR="00B5430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注：①富荣信息技术混合于2021年10月28日成立，R3中风险等级，基金的业绩比较基准为：</w:t>
      </w:r>
      <w:proofErr w:type="gramStart"/>
      <w:r>
        <w:rPr>
          <w:rFonts w:ascii="黑体" w:eastAsia="黑体" w:hAnsi="黑体" w:hint="eastAsia"/>
        </w:rPr>
        <w:t>中证全指</w:t>
      </w:r>
      <w:proofErr w:type="gramEnd"/>
      <w:r>
        <w:rPr>
          <w:rFonts w:ascii="黑体" w:eastAsia="黑体" w:hAnsi="黑体" w:hint="eastAsia"/>
        </w:rPr>
        <w:t>信息技术指数收益率×70%+中</w:t>
      </w:r>
      <w:proofErr w:type="gramStart"/>
      <w:r>
        <w:rPr>
          <w:rFonts w:ascii="黑体" w:eastAsia="黑体" w:hAnsi="黑体" w:hint="eastAsia"/>
        </w:rPr>
        <w:t>债综合</w:t>
      </w:r>
      <w:proofErr w:type="gramEnd"/>
      <w:r>
        <w:rPr>
          <w:rFonts w:ascii="黑体" w:eastAsia="黑体" w:hAnsi="黑体" w:hint="eastAsia"/>
        </w:rPr>
        <w:t>指数收益率×30%。基金经理任职期：郎骋成（2021.10.28-2023.12.13），李延峥（2021.10.28-至今）。</w:t>
      </w:r>
    </w:p>
    <w:p w14:paraId="6B386882" w14:textId="77777777" w:rsidR="00B54301" w:rsidRDefault="00000000" w:rsidP="00FB11E4">
      <w:pPr>
        <w:spacing w:afterLines="50" w:after="156" w:line="24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②李延峥，</w:t>
      </w:r>
      <w:r>
        <w:rPr>
          <w:rFonts w:ascii="微软雅黑" w:eastAsia="微软雅黑" w:hAnsi="微软雅黑" w:cs="微软雅黑" w:hint="eastAsia"/>
        </w:rPr>
        <w:t>⻄</w:t>
      </w:r>
      <w:r>
        <w:rPr>
          <w:rFonts w:ascii="黑体" w:eastAsia="黑体" w:hAnsi="黑体" w:cs="黑体" w:hint="eastAsia"/>
        </w:rPr>
        <w:t>南财经大学金融学硕士。</w:t>
      </w:r>
      <w:r>
        <w:rPr>
          <w:rFonts w:ascii="黑体" w:eastAsia="黑体" w:hAnsi="黑体"/>
        </w:rPr>
        <w:t xml:space="preserve"> 2017年进入富荣基金，历任研究部TMT研究员，现任富</w:t>
      </w:r>
      <w:proofErr w:type="gramStart"/>
      <w:r>
        <w:rPr>
          <w:rFonts w:ascii="黑体" w:eastAsia="黑体" w:hAnsi="黑体"/>
        </w:rPr>
        <w:t>荣基金</w:t>
      </w:r>
      <w:proofErr w:type="gramEnd"/>
      <w:r>
        <w:rPr>
          <w:rFonts w:ascii="黑体" w:eastAsia="黑体" w:hAnsi="黑体"/>
        </w:rPr>
        <w:t>研究部总经理助理、基金经理。</w:t>
      </w:r>
    </w:p>
    <w:p w14:paraId="6E0E3E7B" w14:textId="77777777" w:rsidR="00B5430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③关注方向仅以当前市场情况判断，</w:t>
      </w:r>
      <w:proofErr w:type="gramStart"/>
      <w:r>
        <w:rPr>
          <w:rFonts w:ascii="黑体" w:eastAsia="黑体" w:hAnsi="黑体" w:hint="eastAsia"/>
        </w:rPr>
        <w:t>不</w:t>
      </w:r>
      <w:proofErr w:type="gramEnd"/>
      <w:r>
        <w:rPr>
          <w:rFonts w:ascii="黑体" w:eastAsia="黑体" w:hAnsi="黑体" w:hint="eastAsia"/>
        </w:rPr>
        <w:t>必然代表未来投资方向。基金经理将根据证券市场情况的变化并依据基金合同的约定，灵活调整具体的投资策略。</w:t>
      </w:r>
    </w:p>
    <w:p w14:paraId="468DDE78" w14:textId="77777777" w:rsidR="00B5430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风险提示：市场有风险，投资需谨慎。</w:t>
      </w:r>
      <w:r>
        <w:rPr>
          <w:rFonts w:ascii="黑体" w:eastAsia="黑体" w:hAnsi="黑体"/>
        </w:rPr>
        <w:t>投资者应充分了解基金定期定额投资和零存整取等储蓄方式的区别。定期定额投资是引导投资者进行长期投资、平均投资成本的一种简单易行的投资方式。但是定期定额投资并不能规避基金投资所固有的风险，不能保证投资者获取收益，也不是替代储蓄的等效理财方式。</w:t>
      </w:r>
      <w:r>
        <w:rPr>
          <w:rFonts w:ascii="黑体" w:eastAsia="黑体" w:hAnsi="黑体" w:hint="eastAsia"/>
        </w:rPr>
        <w:t>基金管理人承诺以诚实信用、勤勉尽责的原则管理和运用基金资产，基金的过往业绩并不预示其未来表现，基金管理人管理的其他基金的业绩并不构成本基金业绩表现的保证。基金管理人不保证基金一定盈利，也不保证最低收益。基金管理人提醒投资人基金投资的“买者自负”原则，投资人在投资基金前应认真阅读《基金合同》、《招募说明书》和《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>
        <w:rPr>
          <w:rFonts w:ascii="黑体" w:eastAsia="黑体" w:hAnsi="黑体" w:hint="eastAsia"/>
        </w:rPr>
        <w:t>作出</w:t>
      </w:r>
      <w:proofErr w:type="gramEnd"/>
      <w:r>
        <w:rPr>
          <w:rFonts w:ascii="黑体" w:eastAsia="黑体" w:hAnsi="黑体" w:hint="eastAsia"/>
        </w:rPr>
        <w:t>独立决策，选择合适的基金产品。在做出投资决策后，基金运营状况与基金净值变化引致的投资风险，由投资人自行负担。我国基金运作时间较短，不能反映证券市场发展的所有阶段。</w:t>
      </w:r>
    </w:p>
    <w:p w14:paraId="4F8AFCDE" w14:textId="77777777" w:rsidR="00B54301" w:rsidRDefault="00B54301">
      <w:pPr>
        <w:rPr>
          <w:rFonts w:ascii="黑体" w:eastAsia="黑体" w:hAnsi="黑体" w:hint="eastAsia"/>
        </w:rPr>
      </w:pPr>
    </w:p>
    <w:sectPr w:rsidR="00B543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CC34A" w14:textId="77777777" w:rsidR="00B479BB" w:rsidRDefault="00B479BB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24F564FF" w14:textId="77777777" w:rsidR="00B479BB" w:rsidRDefault="00B479BB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D22C2" w14:textId="77777777" w:rsidR="00B479BB" w:rsidRDefault="00B479BB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6404F745" w14:textId="77777777" w:rsidR="00B479BB" w:rsidRDefault="00B479BB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B5232"/>
    <w:rsid w:val="000D31EC"/>
    <w:rsid w:val="00176D4F"/>
    <w:rsid w:val="001D23F9"/>
    <w:rsid w:val="00237722"/>
    <w:rsid w:val="002509DF"/>
    <w:rsid w:val="002D650F"/>
    <w:rsid w:val="003363A4"/>
    <w:rsid w:val="00476A8A"/>
    <w:rsid w:val="00497215"/>
    <w:rsid w:val="00572EDC"/>
    <w:rsid w:val="005C7FAA"/>
    <w:rsid w:val="006C6FC5"/>
    <w:rsid w:val="007B77FB"/>
    <w:rsid w:val="00843EBC"/>
    <w:rsid w:val="008506AB"/>
    <w:rsid w:val="008B4166"/>
    <w:rsid w:val="008B695E"/>
    <w:rsid w:val="00A23520"/>
    <w:rsid w:val="00B479BB"/>
    <w:rsid w:val="00B54301"/>
    <w:rsid w:val="00B84EA8"/>
    <w:rsid w:val="00BD44AA"/>
    <w:rsid w:val="00D95608"/>
    <w:rsid w:val="00EB5E1E"/>
    <w:rsid w:val="00FB11E4"/>
    <w:rsid w:val="1FC41D2B"/>
    <w:rsid w:val="518A6EC1"/>
    <w:rsid w:val="5AA31704"/>
    <w:rsid w:val="6250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DE46C"/>
  <w15:docId w15:val="{EEF8D8AF-D0F3-4B8D-80F9-26492DB3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0"/>
    <w:link w:val="a8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  <w:style w:type="paragraph" w:customStyle="1" w:styleId="13">
    <w:name w:val="修订1"/>
    <w:hidden/>
    <w:uiPriority w:val="99"/>
    <w:unhideWhenUsed/>
    <w:rPr>
      <w:kern w:val="2"/>
      <w:sz w:val="22"/>
      <w:szCs w:val="24"/>
      <w14:ligatures w14:val="standardContextual"/>
    </w:rPr>
  </w:style>
  <w:style w:type="paragraph" w:styleId="af2">
    <w:name w:val="Revision"/>
    <w:hidden/>
    <w:uiPriority w:val="99"/>
    <w:unhideWhenUsed/>
    <w:rsid w:val="00FB11E4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8</cp:revision>
  <dcterms:created xsi:type="dcterms:W3CDTF">2025-03-31T07:18:00Z</dcterms:created>
  <dcterms:modified xsi:type="dcterms:W3CDTF">2025-04-03T03:06:00Z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2052-12.1.0.20305</vt:lpwstr>
  </property>
  <property fmtid="{D5CDD505-2E9C-101B-9397-08002B2CF9AE}" pid="4" name="ICV">
    <vt:lpwstr>19336A59D4494E299E7592614CF64521_12</vt:lpwstr>
  </property>
</Properties>
</file>