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8DB113" w14:textId="77777777" w:rsidR="0046184B" w:rsidRDefault="0046184B">
      <w:pPr>
        <w:tabs>
          <w:tab w:val="left" w:pos="6660"/>
        </w:tabs>
        <w:spacing w:line="360" w:lineRule="auto"/>
        <w:jc w:val="center"/>
        <w:rPr>
          <w:rFonts w:asciiTheme="minorEastAsia" w:hAnsiTheme="minorEastAsia" w:cs="Times New Roman" w:hint="eastAsia"/>
          <w:bCs/>
          <w:sz w:val="48"/>
          <w:szCs w:val="48"/>
        </w:rPr>
      </w:pPr>
    </w:p>
    <w:p w14:paraId="13CEFF85" w14:textId="77777777" w:rsidR="0046184B" w:rsidRDefault="0046184B">
      <w:pPr>
        <w:spacing w:line="360" w:lineRule="auto"/>
        <w:jc w:val="center"/>
        <w:rPr>
          <w:rFonts w:asciiTheme="minorEastAsia" w:hAnsiTheme="minorEastAsia" w:cs="Times New Roman" w:hint="eastAsia"/>
          <w:b/>
          <w:sz w:val="48"/>
          <w:szCs w:val="48"/>
        </w:rPr>
      </w:pPr>
    </w:p>
    <w:p w14:paraId="072D4E16" w14:textId="77777777" w:rsidR="0046184B" w:rsidRDefault="0046184B">
      <w:pPr>
        <w:adjustRightInd w:val="0"/>
        <w:snapToGrid w:val="0"/>
        <w:spacing w:line="360" w:lineRule="auto"/>
        <w:jc w:val="center"/>
        <w:rPr>
          <w:rFonts w:asciiTheme="minorEastAsia" w:hAnsiTheme="minorEastAsia" w:cs="Arial" w:hint="eastAsia"/>
          <w:sz w:val="48"/>
          <w:szCs w:val="48"/>
        </w:rPr>
      </w:pPr>
      <w:bookmarkStart w:id="0" w:name="_Toc123701386"/>
      <w:bookmarkStart w:id="1" w:name="_Toc139991729"/>
      <w:bookmarkStart w:id="2" w:name="_Toc123112266"/>
      <w:bookmarkStart w:id="3" w:name="_Toc123112227"/>
    </w:p>
    <w:p w14:paraId="70196161" w14:textId="77777777" w:rsidR="0046184B" w:rsidRDefault="00000000">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富荣福锦混合型证券投资基金</w:t>
      </w:r>
    </w:p>
    <w:p w14:paraId="18B9B9B5" w14:textId="77777777" w:rsidR="0046184B" w:rsidRDefault="00000000">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更新的招募说明书</w:t>
      </w:r>
    </w:p>
    <w:p w14:paraId="281604C9" w14:textId="0759136A" w:rsidR="0046184B" w:rsidRDefault="00000000">
      <w:pPr>
        <w:adjustRightInd w:val="0"/>
        <w:snapToGrid w:val="0"/>
        <w:spacing w:line="360" w:lineRule="auto"/>
        <w:jc w:val="center"/>
        <w:rPr>
          <w:rFonts w:ascii="Arial" w:eastAsia="宋体" w:hAnsi="宋体" w:cs="Arial" w:hint="eastAsia"/>
          <w:b/>
          <w:sz w:val="48"/>
          <w:szCs w:val="48"/>
        </w:rPr>
      </w:pPr>
      <w:r>
        <w:rPr>
          <w:rFonts w:ascii="Arial" w:eastAsia="宋体" w:hAnsi="宋体" w:cs="Arial" w:hint="eastAsia"/>
          <w:b/>
          <w:sz w:val="48"/>
          <w:szCs w:val="48"/>
        </w:rPr>
        <w:t>（</w:t>
      </w:r>
      <w:r>
        <w:rPr>
          <w:rFonts w:ascii="Arial" w:eastAsia="宋体" w:hAnsi="宋体" w:cs="Arial" w:hint="eastAsia"/>
          <w:b/>
          <w:sz w:val="48"/>
          <w:szCs w:val="48"/>
        </w:rPr>
        <w:t>2025</w:t>
      </w:r>
      <w:r>
        <w:rPr>
          <w:rFonts w:ascii="Arial" w:eastAsia="宋体" w:hAnsi="宋体" w:cs="Arial" w:hint="eastAsia"/>
          <w:b/>
          <w:sz w:val="48"/>
          <w:szCs w:val="48"/>
        </w:rPr>
        <w:t>年第</w:t>
      </w:r>
      <w:r>
        <w:rPr>
          <w:rFonts w:ascii="Arial" w:eastAsia="宋体" w:hAnsi="宋体" w:cs="Arial" w:hint="eastAsia"/>
          <w:b/>
          <w:sz w:val="48"/>
          <w:szCs w:val="48"/>
        </w:rPr>
        <w:t>1</w:t>
      </w:r>
      <w:r>
        <w:rPr>
          <w:rFonts w:ascii="Arial" w:eastAsia="宋体" w:hAnsi="宋体" w:cs="Arial" w:hint="eastAsia"/>
          <w:b/>
          <w:sz w:val="48"/>
          <w:szCs w:val="48"/>
        </w:rPr>
        <w:t>号）</w:t>
      </w:r>
    </w:p>
    <w:p w14:paraId="6FC2570D" w14:textId="77777777" w:rsidR="0046184B" w:rsidRDefault="0046184B">
      <w:pPr>
        <w:adjustRightInd w:val="0"/>
        <w:snapToGrid w:val="0"/>
        <w:spacing w:line="360" w:lineRule="auto"/>
        <w:jc w:val="center"/>
        <w:rPr>
          <w:rFonts w:asciiTheme="minorEastAsia" w:hAnsiTheme="minorEastAsia" w:cs="Times New Roman" w:hint="eastAsia"/>
          <w:b/>
          <w:sz w:val="36"/>
          <w:szCs w:val="36"/>
        </w:rPr>
      </w:pPr>
    </w:p>
    <w:p w14:paraId="0D928B3B" w14:textId="77777777" w:rsidR="0046184B" w:rsidRDefault="0046184B">
      <w:pPr>
        <w:adjustRightInd w:val="0"/>
        <w:snapToGrid w:val="0"/>
        <w:spacing w:line="360" w:lineRule="auto"/>
        <w:jc w:val="center"/>
        <w:rPr>
          <w:rFonts w:asciiTheme="minorEastAsia" w:hAnsiTheme="minorEastAsia" w:cs="Arial" w:hint="eastAsia"/>
          <w:sz w:val="36"/>
          <w:szCs w:val="36"/>
        </w:rPr>
      </w:pPr>
    </w:p>
    <w:p w14:paraId="49F41380" w14:textId="77777777" w:rsidR="0046184B" w:rsidRDefault="0046184B">
      <w:pPr>
        <w:adjustRightInd w:val="0"/>
        <w:snapToGrid w:val="0"/>
        <w:spacing w:line="360" w:lineRule="auto"/>
        <w:jc w:val="center"/>
        <w:rPr>
          <w:rFonts w:asciiTheme="minorEastAsia" w:hAnsiTheme="minorEastAsia" w:cs="Arial" w:hint="eastAsia"/>
          <w:sz w:val="36"/>
          <w:szCs w:val="36"/>
        </w:rPr>
      </w:pPr>
    </w:p>
    <w:p w14:paraId="339CF0C4" w14:textId="77777777" w:rsidR="0046184B" w:rsidRDefault="0046184B">
      <w:pPr>
        <w:adjustRightInd w:val="0"/>
        <w:snapToGrid w:val="0"/>
        <w:spacing w:line="360" w:lineRule="auto"/>
        <w:jc w:val="center"/>
        <w:rPr>
          <w:rFonts w:asciiTheme="minorEastAsia" w:hAnsiTheme="minorEastAsia" w:cs="Arial" w:hint="eastAsia"/>
          <w:sz w:val="36"/>
          <w:szCs w:val="36"/>
        </w:rPr>
      </w:pPr>
    </w:p>
    <w:p w14:paraId="26CD4BD2" w14:textId="77777777" w:rsidR="0046184B" w:rsidRDefault="0046184B">
      <w:pPr>
        <w:adjustRightInd w:val="0"/>
        <w:snapToGrid w:val="0"/>
        <w:spacing w:line="360" w:lineRule="auto"/>
        <w:jc w:val="center"/>
        <w:rPr>
          <w:rFonts w:asciiTheme="minorEastAsia" w:hAnsiTheme="minorEastAsia" w:cs="Arial" w:hint="eastAsia"/>
          <w:sz w:val="36"/>
          <w:szCs w:val="36"/>
        </w:rPr>
      </w:pPr>
    </w:p>
    <w:p w14:paraId="2CE28F1B" w14:textId="77777777" w:rsidR="0046184B" w:rsidRDefault="0046184B">
      <w:pPr>
        <w:adjustRightInd w:val="0"/>
        <w:snapToGrid w:val="0"/>
        <w:spacing w:line="360" w:lineRule="auto"/>
        <w:jc w:val="center"/>
        <w:rPr>
          <w:rFonts w:asciiTheme="minorEastAsia" w:hAnsiTheme="minorEastAsia" w:cs="Arial" w:hint="eastAsia"/>
          <w:sz w:val="36"/>
          <w:szCs w:val="36"/>
        </w:rPr>
      </w:pPr>
    </w:p>
    <w:p w14:paraId="0A98D428" w14:textId="77777777" w:rsidR="0046184B" w:rsidRDefault="0046184B">
      <w:pPr>
        <w:adjustRightInd w:val="0"/>
        <w:snapToGrid w:val="0"/>
        <w:spacing w:line="360" w:lineRule="auto"/>
        <w:jc w:val="center"/>
        <w:rPr>
          <w:rFonts w:asciiTheme="minorEastAsia" w:hAnsiTheme="minorEastAsia" w:cs="Arial" w:hint="eastAsia"/>
          <w:sz w:val="36"/>
          <w:szCs w:val="36"/>
        </w:rPr>
      </w:pPr>
    </w:p>
    <w:p w14:paraId="240FB1BD" w14:textId="77777777" w:rsidR="0046184B" w:rsidRDefault="00000000">
      <w:pPr>
        <w:snapToGrid w:val="0"/>
        <w:spacing w:line="360" w:lineRule="auto"/>
        <w:jc w:val="center"/>
        <w:rPr>
          <w:rFonts w:ascii="Arial" w:eastAsia="宋体" w:hAnsi="Arial" w:cs="Times New Roman"/>
          <w:b/>
          <w:sz w:val="36"/>
          <w:szCs w:val="36"/>
        </w:rPr>
      </w:pPr>
      <w:bookmarkStart w:id="4" w:name="_Toc123112263"/>
      <w:bookmarkStart w:id="5" w:name="_Toc139991726"/>
      <w:bookmarkStart w:id="6" w:name="_Toc139992301"/>
      <w:bookmarkStart w:id="7" w:name="_Toc123112224"/>
      <w:bookmarkStart w:id="8" w:name="_Toc123701383"/>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092263C6" w14:textId="77777777" w:rsidR="0046184B" w:rsidRDefault="00000000">
      <w:pPr>
        <w:autoSpaceDE w:val="0"/>
        <w:autoSpaceDN w:val="0"/>
        <w:adjustRightInd w:val="0"/>
        <w:snapToGrid w:val="0"/>
        <w:spacing w:line="360" w:lineRule="auto"/>
        <w:jc w:val="center"/>
        <w:rPr>
          <w:rFonts w:ascii="Arial" w:eastAsia="宋体" w:hAnsi="Arial" w:cs="Arial"/>
          <w:b/>
          <w:bCs/>
          <w:sz w:val="36"/>
          <w:szCs w:val="36"/>
        </w:rPr>
      </w:pPr>
      <w:bookmarkStart w:id="9" w:name="_Toc123701384"/>
      <w:bookmarkStart w:id="10" w:name="_Toc139991727"/>
      <w:bookmarkStart w:id="11" w:name="_Toc139992302"/>
      <w:bookmarkStart w:id="12" w:name="_Toc123112264"/>
      <w:bookmarkStart w:id="13" w:name="_Toc123112225"/>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平安银行股份有限公司</w:t>
      </w:r>
    </w:p>
    <w:p w14:paraId="075A5AAE" w14:textId="77777777" w:rsidR="0046184B" w:rsidRDefault="0046184B">
      <w:pPr>
        <w:autoSpaceDE w:val="0"/>
        <w:autoSpaceDN w:val="0"/>
        <w:adjustRightInd w:val="0"/>
        <w:snapToGrid w:val="0"/>
        <w:spacing w:line="360" w:lineRule="auto"/>
        <w:jc w:val="center"/>
        <w:rPr>
          <w:rFonts w:asciiTheme="minorEastAsia" w:hAnsiTheme="minorEastAsia" w:cs="Arial" w:hint="eastAsia"/>
          <w:b/>
          <w:bCs/>
          <w:sz w:val="28"/>
          <w:szCs w:val="28"/>
        </w:rPr>
      </w:pPr>
    </w:p>
    <w:p w14:paraId="30557E15" w14:textId="77777777" w:rsidR="0046184B" w:rsidRDefault="0046184B">
      <w:pPr>
        <w:autoSpaceDE w:val="0"/>
        <w:autoSpaceDN w:val="0"/>
        <w:adjustRightInd w:val="0"/>
        <w:snapToGrid w:val="0"/>
        <w:spacing w:line="360" w:lineRule="auto"/>
        <w:jc w:val="center"/>
        <w:rPr>
          <w:rFonts w:asciiTheme="minorEastAsia" w:hAnsiTheme="minorEastAsia" w:cs="Arial" w:hint="eastAsia"/>
          <w:b/>
          <w:bCs/>
          <w:sz w:val="28"/>
          <w:szCs w:val="28"/>
        </w:rPr>
      </w:pPr>
    </w:p>
    <w:p w14:paraId="1E164CE9" w14:textId="77777777" w:rsidR="0046184B" w:rsidRDefault="0046184B">
      <w:pPr>
        <w:widowControl/>
        <w:spacing w:line="360" w:lineRule="auto"/>
        <w:rPr>
          <w:rFonts w:ascii="Arial" w:eastAsia="宋体" w:hAnsi="Arial" w:cs="Arial"/>
          <w:b/>
          <w:bCs/>
          <w:kern w:val="0"/>
          <w:sz w:val="28"/>
          <w:szCs w:val="28"/>
        </w:rPr>
        <w:sectPr w:rsidR="0046184B">
          <w:headerReference w:type="default" r:id="rId8"/>
          <w:footerReference w:type="default" r:id="rId9"/>
          <w:pgSz w:w="11906" w:h="16838"/>
          <w:pgMar w:top="1440" w:right="1800" w:bottom="1440" w:left="1800" w:header="851" w:footer="992" w:gutter="0"/>
          <w:pgNumType w:start="1"/>
          <w:cols w:space="720"/>
          <w:titlePg/>
          <w:docGrid w:type="lines" w:linePitch="312"/>
        </w:sectPr>
      </w:pPr>
    </w:p>
    <w:p w14:paraId="324092BE" w14:textId="77777777" w:rsidR="0046184B" w:rsidRDefault="00000000">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724A6314" w14:textId="77777777" w:rsidR="0046184B" w:rsidRDefault="0046184B">
      <w:pPr>
        <w:autoSpaceDE w:val="0"/>
        <w:autoSpaceDN w:val="0"/>
        <w:adjustRightInd w:val="0"/>
        <w:snapToGrid w:val="0"/>
        <w:spacing w:line="360" w:lineRule="auto"/>
        <w:jc w:val="center"/>
        <w:rPr>
          <w:rFonts w:ascii="Arial" w:eastAsia="宋体" w:hAnsi="Arial" w:cs="Arial"/>
          <w:b/>
          <w:bCs/>
          <w:szCs w:val="21"/>
        </w:rPr>
      </w:pPr>
    </w:p>
    <w:p w14:paraId="2AC7F139"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本基金根据</w:t>
      </w:r>
      <w:r>
        <w:rPr>
          <w:rFonts w:asciiTheme="minorEastAsia" w:hAnsiTheme="minorEastAsia" w:cs="Arial" w:hint="eastAsia"/>
          <w:bCs/>
          <w:color w:val="000000"/>
          <w:sz w:val="24"/>
          <w:szCs w:val="24"/>
        </w:rPr>
        <w:t>2017年6月16日</w:t>
      </w:r>
      <w:r>
        <w:rPr>
          <w:rFonts w:asciiTheme="minorEastAsia" w:hAnsiTheme="minorEastAsia" w:cs="Arial" w:hint="eastAsia"/>
          <w:kern w:val="0"/>
          <w:sz w:val="24"/>
          <w:szCs w:val="24"/>
        </w:rPr>
        <w:t>中国证券监督管理委员会（以下简称“中国证监会”）《关于准予富荣福锦混合型证券投资基金注册的批复》（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[2017]931号</w:t>
      </w:r>
      <w:r>
        <w:rPr>
          <w:rFonts w:asciiTheme="minorEastAsia" w:hAnsiTheme="minorEastAsia" w:cs="Arial" w:hint="eastAsia"/>
          <w:bCs/>
          <w:color w:val="000000"/>
          <w:kern w:val="0"/>
          <w:sz w:val="24"/>
          <w:szCs w:val="24"/>
        </w:rPr>
        <w:t>）进行募集。</w:t>
      </w:r>
      <w:r>
        <w:rPr>
          <w:rFonts w:asciiTheme="minorEastAsia" w:hAnsiTheme="minorEastAsia" w:cs="Arial" w:hint="eastAsia"/>
          <w:kern w:val="0"/>
          <w:sz w:val="24"/>
          <w:szCs w:val="24"/>
        </w:rPr>
        <w:t>本基金于2018年3月16日正式生效。</w:t>
      </w:r>
    </w:p>
    <w:p w14:paraId="537DF464"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2215949E"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性风险、本基金特定投资策略带来的风险及其他风险等。本基金属于混合型基金，其预期的风险和收益高于货币市场基金、债券基金，低于股票型基金，属于证券投资基金中</w:t>
      </w:r>
      <w:proofErr w:type="gramStart"/>
      <w:r>
        <w:rPr>
          <w:rFonts w:asciiTheme="minorEastAsia" w:hAnsiTheme="minorEastAsia" w:cs="Arial" w:hint="eastAsia"/>
          <w:sz w:val="24"/>
          <w:szCs w:val="24"/>
        </w:rPr>
        <w:t>中</w:t>
      </w:r>
      <w:proofErr w:type="gramEnd"/>
      <w:r>
        <w:rPr>
          <w:rFonts w:asciiTheme="minorEastAsia" w:hAnsiTheme="minorEastAsia" w:cs="Arial" w:hint="eastAsia"/>
          <w:sz w:val="24"/>
          <w:szCs w:val="24"/>
        </w:rPr>
        <w:t>高风险、中高预期收益的品种。</w:t>
      </w:r>
    </w:p>
    <w:p w14:paraId="30F347A4" w14:textId="77777777" w:rsidR="0046184B" w:rsidRDefault="00000000">
      <w:pPr>
        <w:adjustRightInd w:val="0"/>
        <w:snapToGrid w:val="0"/>
        <w:spacing w:line="360" w:lineRule="auto"/>
        <w:ind w:firstLine="480"/>
        <w:rPr>
          <w:rFonts w:asciiTheme="minorEastAsia" w:hAnsiTheme="minorEastAsia" w:cs="Arial" w:hint="eastAsia"/>
          <w:sz w:val="24"/>
          <w:szCs w:val="24"/>
        </w:rPr>
      </w:pPr>
      <w:r>
        <w:rPr>
          <w:rFonts w:asciiTheme="minorEastAsia" w:hAnsiTheme="minorEastAsia" w:cs="Arial" w:hint="eastAsia"/>
          <w:sz w:val="24"/>
          <w:szCs w:val="24"/>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00103B0B"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09B5CE05"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元发售面值募集基金份额，在市场波动等因素的影响下，基金投资有可能出现亏损或基金份额净值低于初始面值。</w:t>
      </w:r>
    </w:p>
    <w:p w14:paraId="1EAD5210"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7A31F270"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w:t>
      </w:r>
      <w:r>
        <w:rPr>
          <w:rFonts w:asciiTheme="minorEastAsia" w:hAnsiTheme="minorEastAsia" w:cs="Arial" w:hint="eastAsia"/>
          <w:sz w:val="24"/>
          <w:szCs w:val="24"/>
        </w:rPr>
        <w:lastRenderedPageBreak/>
        <w:t>资风险，由投资者自行承担。</w:t>
      </w:r>
    </w:p>
    <w:p w14:paraId="692EBD61" w14:textId="77777777" w:rsidR="0046184B" w:rsidRDefault="00000000">
      <w:pPr>
        <w:autoSpaceDE w:val="0"/>
        <w:autoSpaceDN w:val="0"/>
        <w:adjustRightInd w:val="0"/>
        <w:snapToGrid w:val="0"/>
        <w:spacing w:line="360" w:lineRule="auto"/>
        <w:ind w:firstLineChars="200" w:firstLine="482"/>
        <w:rPr>
          <w:rFonts w:asciiTheme="minorEastAsia" w:hAnsiTheme="minorEastAsia" w:cs="Arial" w:hint="eastAsia"/>
          <w:sz w:val="24"/>
          <w:szCs w:val="24"/>
        </w:rPr>
      </w:pPr>
      <w:bookmarkStart w:id="14" w:name="_Hlk167784377"/>
      <w:r>
        <w:rPr>
          <w:rFonts w:ascii="宋体" w:hAnsi="宋体" w:hint="eastAsia"/>
          <w:b/>
          <w:bCs/>
          <w:color w:val="000000"/>
          <w:kern w:val="0"/>
          <w:sz w:val="24"/>
        </w:rPr>
        <w:t>本次招募说明书仅对“基金管理人”部分进行更新</w:t>
      </w:r>
      <w:bookmarkEnd w:id="14"/>
      <w:r>
        <w:rPr>
          <w:rFonts w:ascii="宋体" w:hAnsi="宋体" w:hint="eastAsia"/>
          <w:b/>
          <w:bCs/>
          <w:color w:val="000000"/>
          <w:kern w:val="0"/>
          <w:sz w:val="24"/>
        </w:rPr>
        <w:t>，</w:t>
      </w:r>
      <w:r>
        <w:rPr>
          <w:rFonts w:asciiTheme="minorEastAsia" w:hAnsiTheme="minorEastAsia" w:cs="Arial" w:hint="eastAsia"/>
          <w:sz w:val="24"/>
          <w:szCs w:val="24"/>
        </w:rPr>
        <w:t>本招募说明书所载其他内容截止日为2024年</w:t>
      </w:r>
      <w:r>
        <w:rPr>
          <w:rFonts w:asciiTheme="minorEastAsia" w:hAnsiTheme="minorEastAsia" w:cs="Arial"/>
          <w:sz w:val="24"/>
          <w:szCs w:val="24"/>
        </w:rPr>
        <w:t>4</w:t>
      </w:r>
      <w:r>
        <w:rPr>
          <w:rFonts w:asciiTheme="minorEastAsia" w:hAnsiTheme="minorEastAsia" w:cs="Arial" w:hint="eastAsia"/>
          <w:sz w:val="24"/>
          <w:szCs w:val="24"/>
        </w:rPr>
        <w:t>月</w:t>
      </w:r>
      <w:r>
        <w:rPr>
          <w:rFonts w:asciiTheme="minorEastAsia" w:hAnsiTheme="minorEastAsia" w:cs="Arial"/>
          <w:sz w:val="24"/>
          <w:szCs w:val="24"/>
        </w:rPr>
        <w:t>17</w:t>
      </w:r>
      <w:r>
        <w:rPr>
          <w:rFonts w:asciiTheme="minorEastAsia" w:hAnsiTheme="minorEastAsia" w:cs="Arial" w:hint="eastAsia"/>
          <w:sz w:val="24"/>
          <w:szCs w:val="24"/>
        </w:rPr>
        <w:t>日，有关财务数据截止日为20</w:t>
      </w:r>
      <w:r>
        <w:rPr>
          <w:rFonts w:asciiTheme="minorEastAsia" w:hAnsiTheme="minorEastAsia" w:cs="Arial"/>
          <w:sz w:val="24"/>
          <w:szCs w:val="24"/>
        </w:rPr>
        <w:t>2</w:t>
      </w:r>
      <w:r>
        <w:rPr>
          <w:rFonts w:asciiTheme="minorEastAsia" w:hAnsiTheme="minorEastAsia" w:cs="Arial" w:hint="eastAsia"/>
          <w:sz w:val="24"/>
          <w:szCs w:val="24"/>
        </w:rPr>
        <w:t>4年</w:t>
      </w:r>
      <w:r>
        <w:rPr>
          <w:rFonts w:asciiTheme="minorEastAsia" w:hAnsiTheme="minorEastAsia" w:cs="Arial"/>
          <w:sz w:val="24"/>
          <w:szCs w:val="24"/>
        </w:rPr>
        <w:t>3</w:t>
      </w:r>
      <w:r>
        <w:rPr>
          <w:rFonts w:asciiTheme="minorEastAsia" w:hAnsiTheme="minorEastAsia" w:cs="Arial" w:hint="eastAsia"/>
          <w:sz w:val="24"/>
          <w:szCs w:val="24"/>
        </w:rPr>
        <w:t>月31日，净值表现截止日为20</w:t>
      </w:r>
      <w:r>
        <w:rPr>
          <w:rFonts w:asciiTheme="minorEastAsia" w:hAnsiTheme="minorEastAsia" w:cs="Arial"/>
          <w:sz w:val="24"/>
          <w:szCs w:val="24"/>
        </w:rPr>
        <w:t>2</w:t>
      </w:r>
      <w:r>
        <w:rPr>
          <w:rFonts w:asciiTheme="minorEastAsia" w:hAnsiTheme="minorEastAsia" w:cs="Arial" w:hint="eastAsia"/>
          <w:sz w:val="24"/>
          <w:szCs w:val="24"/>
        </w:rPr>
        <w:t>4年</w:t>
      </w:r>
      <w:r>
        <w:rPr>
          <w:rFonts w:asciiTheme="minorEastAsia" w:hAnsiTheme="minorEastAsia" w:cs="Arial"/>
          <w:sz w:val="24"/>
          <w:szCs w:val="24"/>
        </w:rPr>
        <w:t>3</w:t>
      </w:r>
      <w:r>
        <w:rPr>
          <w:rFonts w:asciiTheme="minorEastAsia" w:hAnsiTheme="minorEastAsia" w:cs="Arial" w:hint="eastAsia"/>
          <w:sz w:val="24"/>
          <w:szCs w:val="24"/>
        </w:rPr>
        <w:t>月31日，本报告中所列财务数据未经审计。</w:t>
      </w:r>
    </w:p>
    <w:p w14:paraId="20321E75" w14:textId="77777777" w:rsidR="0046184B" w:rsidRDefault="0046184B">
      <w:pPr>
        <w:autoSpaceDE w:val="0"/>
        <w:autoSpaceDN w:val="0"/>
        <w:adjustRightInd w:val="0"/>
        <w:snapToGrid w:val="0"/>
        <w:spacing w:line="360" w:lineRule="auto"/>
        <w:jc w:val="center"/>
        <w:rPr>
          <w:rFonts w:ascii="Arial" w:eastAsia="宋体" w:hAnsi="Arial" w:cs="Arial"/>
          <w:b/>
          <w:bCs/>
          <w:sz w:val="28"/>
          <w:szCs w:val="28"/>
        </w:rPr>
      </w:pPr>
    </w:p>
    <w:p w14:paraId="713FA681" w14:textId="77777777" w:rsidR="0046184B" w:rsidRDefault="0046184B">
      <w:pPr>
        <w:widowControl/>
        <w:spacing w:line="360" w:lineRule="auto"/>
        <w:jc w:val="left"/>
        <w:rPr>
          <w:rFonts w:ascii="Times New Roman" w:eastAsia="宋体" w:hAnsi="Times New Roman" w:cs="Times New Roman"/>
          <w:b/>
          <w:kern w:val="0"/>
          <w:sz w:val="30"/>
          <w:szCs w:val="30"/>
        </w:rPr>
        <w:sectPr w:rsidR="0046184B">
          <w:pgSz w:w="11906" w:h="16838"/>
          <w:pgMar w:top="1440" w:right="1800" w:bottom="1440" w:left="1800" w:header="851" w:footer="992" w:gutter="0"/>
          <w:pgNumType w:start="1"/>
          <w:cols w:space="720"/>
          <w:docGrid w:type="lines" w:linePitch="312"/>
        </w:sectPr>
      </w:pPr>
      <w:bookmarkStart w:id="15" w:name="_Toc26897"/>
      <w:bookmarkStart w:id="16" w:name="_Toc123701389"/>
      <w:bookmarkStart w:id="17" w:name="_Toc30935"/>
      <w:bookmarkStart w:id="18" w:name="_Toc352229746"/>
      <w:bookmarkStart w:id="19" w:name="_Toc139991730"/>
      <w:bookmarkStart w:id="20" w:name="_Toc123112268"/>
      <w:bookmarkStart w:id="21" w:name="_Toc32639"/>
      <w:bookmarkStart w:id="22" w:name="_Toc29629"/>
      <w:bookmarkStart w:id="23" w:name="_Toc23386"/>
      <w:bookmarkStart w:id="24" w:name="_Toc8727"/>
      <w:bookmarkStart w:id="25" w:name="_Toc4867"/>
      <w:bookmarkStart w:id="26" w:name="_Toc123112229"/>
      <w:bookmarkStart w:id="27" w:name="_Toc15517"/>
      <w:bookmarkStart w:id="28" w:name="_Toc6306"/>
      <w:bookmarkStart w:id="29" w:name="_Toc11660"/>
      <w:bookmarkStart w:id="30" w:name="_Toc4966"/>
      <w:bookmarkStart w:id="31" w:name="_Toc141703880"/>
      <w:bookmarkStart w:id="32" w:name="_Toc233456271"/>
      <w:bookmarkEnd w:id="0"/>
      <w:bookmarkEnd w:id="1"/>
      <w:bookmarkEnd w:id="2"/>
      <w:bookmarkEnd w:id="3"/>
    </w:p>
    <w:p w14:paraId="1B302EB4" w14:textId="77777777" w:rsidR="0046184B" w:rsidRDefault="00000000">
      <w:pPr>
        <w:jc w:val="center"/>
        <w:rPr>
          <w:b/>
          <w:bCs/>
          <w:sz w:val="24"/>
        </w:rPr>
      </w:pPr>
      <w:r>
        <w:rPr>
          <w:b/>
          <w:bCs/>
          <w:sz w:val="24"/>
        </w:rPr>
        <w:lastRenderedPageBreak/>
        <w:t>目</w:t>
      </w:r>
      <w:r>
        <w:rPr>
          <w:b/>
          <w:bCs/>
          <w:sz w:val="24"/>
        </w:rPr>
        <w:t xml:space="preserve">    </w:t>
      </w:r>
      <w:r>
        <w:rPr>
          <w:b/>
          <w:bCs/>
          <w:sz w:val="24"/>
        </w:rPr>
        <w:t>录</w:t>
      </w:r>
    </w:p>
    <w:p w14:paraId="227C705B" w14:textId="452F8DF0" w:rsidR="0046184B" w:rsidRDefault="00000000">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37770204" w:history="1">
        <w:r>
          <w:rPr>
            <w:rStyle w:val="afc"/>
            <w:noProof/>
          </w:rPr>
          <w:t>第一部分</w:t>
        </w:r>
        <w:r>
          <w:rPr>
            <w:rStyle w:val="afc"/>
            <w:noProof/>
          </w:rPr>
          <w:t xml:space="preserve">  </w:t>
        </w:r>
        <w:r>
          <w:rPr>
            <w:rStyle w:val="afc"/>
            <w:noProof/>
          </w:rPr>
          <w:t>绪言</w:t>
        </w:r>
        <w:r>
          <w:rPr>
            <w:noProof/>
          </w:rPr>
          <w:tab/>
        </w:r>
        <w:r>
          <w:rPr>
            <w:noProof/>
          </w:rPr>
          <w:fldChar w:fldCharType="begin"/>
        </w:r>
        <w:r>
          <w:rPr>
            <w:noProof/>
          </w:rPr>
          <w:instrText xml:space="preserve"> PAGEREF _Toc37770204 \h </w:instrText>
        </w:r>
        <w:r>
          <w:rPr>
            <w:noProof/>
          </w:rPr>
        </w:r>
        <w:r>
          <w:rPr>
            <w:noProof/>
          </w:rPr>
          <w:fldChar w:fldCharType="separate"/>
        </w:r>
        <w:r w:rsidR="007B1F64">
          <w:rPr>
            <w:noProof/>
          </w:rPr>
          <w:t>4</w:t>
        </w:r>
        <w:r>
          <w:rPr>
            <w:noProof/>
          </w:rPr>
          <w:fldChar w:fldCharType="end"/>
        </w:r>
      </w:hyperlink>
    </w:p>
    <w:p w14:paraId="1AEF190B" w14:textId="734C1666" w:rsidR="0046184B" w:rsidRDefault="00000000">
      <w:pPr>
        <w:pStyle w:val="TOC1"/>
        <w:rPr>
          <w:rFonts w:asciiTheme="minorHAnsi" w:eastAsiaTheme="minorEastAsia" w:hAnsiTheme="minorHAnsi" w:cstheme="minorBidi"/>
          <w:noProof/>
          <w:szCs w:val="22"/>
        </w:rPr>
      </w:pPr>
      <w:hyperlink w:anchor="_Toc37770205" w:history="1">
        <w:r>
          <w:rPr>
            <w:rStyle w:val="afc"/>
            <w:noProof/>
          </w:rPr>
          <w:t>第二部分</w:t>
        </w:r>
        <w:r>
          <w:rPr>
            <w:rStyle w:val="afc"/>
            <w:noProof/>
          </w:rPr>
          <w:t xml:space="preserve">  </w:t>
        </w:r>
        <w:r>
          <w:rPr>
            <w:rStyle w:val="afc"/>
            <w:noProof/>
          </w:rPr>
          <w:t>释义</w:t>
        </w:r>
        <w:r>
          <w:rPr>
            <w:noProof/>
          </w:rPr>
          <w:tab/>
        </w:r>
        <w:r>
          <w:rPr>
            <w:noProof/>
          </w:rPr>
          <w:fldChar w:fldCharType="begin"/>
        </w:r>
        <w:r>
          <w:rPr>
            <w:noProof/>
          </w:rPr>
          <w:instrText xml:space="preserve"> PAGEREF _Toc37770205 \h </w:instrText>
        </w:r>
        <w:r>
          <w:rPr>
            <w:noProof/>
          </w:rPr>
        </w:r>
        <w:r>
          <w:rPr>
            <w:noProof/>
          </w:rPr>
          <w:fldChar w:fldCharType="separate"/>
        </w:r>
        <w:r w:rsidR="007B1F64">
          <w:rPr>
            <w:noProof/>
          </w:rPr>
          <w:t>5</w:t>
        </w:r>
        <w:r>
          <w:rPr>
            <w:noProof/>
          </w:rPr>
          <w:fldChar w:fldCharType="end"/>
        </w:r>
      </w:hyperlink>
    </w:p>
    <w:p w14:paraId="61A0877F" w14:textId="3BCAB06B" w:rsidR="0046184B" w:rsidRDefault="00000000">
      <w:pPr>
        <w:pStyle w:val="TOC1"/>
        <w:rPr>
          <w:rFonts w:asciiTheme="minorHAnsi" w:eastAsiaTheme="minorEastAsia" w:hAnsiTheme="minorHAnsi" w:cstheme="minorBidi"/>
          <w:noProof/>
          <w:szCs w:val="22"/>
        </w:rPr>
      </w:pPr>
      <w:hyperlink w:anchor="_Toc37770206" w:history="1">
        <w:r>
          <w:rPr>
            <w:rStyle w:val="afc"/>
            <w:noProof/>
          </w:rPr>
          <w:t>第三部分</w:t>
        </w:r>
        <w:r>
          <w:rPr>
            <w:rStyle w:val="afc"/>
            <w:noProof/>
          </w:rPr>
          <w:t xml:space="preserve">  </w:t>
        </w:r>
        <w:r>
          <w:rPr>
            <w:rStyle w:val="afc"/>
            <w:noProof/>
          </w:rPr>
          <w:t>基金管理人</w:t>
        </w:r>
        <w:r>
          <w:rPr>
            <w:noProof/>
          </w:rPr>
          <w:tab/>
        </w:r>
        <w:r>
          <w:rPr>
            <w:noProof/>
          </w:rPr>
          <w:fldChar w:fldCharType="begin"/>
        </w:r>
        <w:r>
          <w:rPr>
            <w:noProof/>
          </w:rPr>
          <w:instrText xml:space="preserve"> PAGEREF _Toc37770206 \h </w:instrText>
        </w:r>
        <w:r>
          <w:rPr>
            <w:noProof/>
          </w:rPr>
        </w:r>
        <w:r>
          <w:rPr>
            <w:noProof/>
          </w:rPr>
          <w:fldChar w:fldCharType="separate"/>
        </w:r>
        <w:r w:rsidR="007B1F64">
          <w:rPr>
            <w:noProof/>
          </w:rPr>
          <w:t>10</w:t>
        </w:r>
        <w:r>
          <w:rPr>
            <w:noProof/>
          </w:rPr>
          <w:fldChar w:fldCharType="end"/>
        </w:r>
      </w:hyperlink>
    </w:p>
    <w:p w14:paraId="667AFE6F" w14:textId="06DE57AA" w:rsidR="0046184B" w:rsidRDefault="00000000">
      <w:pPr>
        <w:pStyle w:val="TOC1"/>
        <w:rPr>
          <w:rFonts w:asciiTheme="minorHAnsi" w:eastAsiaTheme="minorEastAsia" w:hAnsiTheme="minorHAnsi" w:cstheme="minorBidi"/>
          <w:noProof/>
          <w:szCs w:val="22"/>
        </w:rPr>
      </w:pPr>
      <w:hyperlink w:anchor="_Toc37770207" w:history="1">
        <w:r>
          <w:rPr>
            <w:rStyle w:val="afc"/>
            <w:noProof/>
          </w:rPr>
          <w:t>第四部分</w:t>
        </w:r>
        <w:r>
          <w:rPr>
            <w:rStyle w:val="afc"/>
            <w:noProof/>
          </w:rPr>
          <w:t xml:space="preserve">  </w:t>
        </w:r>
        <w:r>
          <w:rPr>
            <w:rStyle w:val="afc"/>
            <w:noProof/>
          </w:rPr>
          <w:t>基金托管人</w:t>
        </w:r>
        <w:r>
          <w:rPr>
            <w:noProof/>
          </w:rPr>
          <w:tab/>
        </w:r>
        <w:r>
          <w:rPr>
            <w:noProof/>
          </w:rPr>
          <w:fldChar w:fldCharType="begin"/>
        </w:r>
        <w:r>
          <w:rPr>
            <w:noProof/>
          </w:rPr>
          <w:instrText xml:space="preserve"> PAGEREF _Toc37770207 \h </w:instrText>
        </w:r>
        <w:r>
          <w:rPr>
            <w:noProof/>
          </w:rPr>
        </w:r>
        <w:r>
          <w:rPr>
            <w:noProof/>
          </w:rPr>
          <w:fldChar w:fldCharType="separate"/>
        </w:r>
        <w:r w:rsidR="007B1F64">
          <w:rPr>
            <w:noProof/>
          </w:rPr>
          <w:t>22</w:t>
        </w:r>
        <w:r>
          <w:rPr>
            <w:noProof/>
          </w:rPr>
          <w:fldChar w:fldCharType="end"/>
        </w:r>
      </w:hyperlink>
    </w:p>
    <w:p w14:paraId="177FC65D" w14:textId="1876722D" w:rsidR="0046184B" w:rsidRDefault="00000000">
      <w:pPr>
        <w:pStyle w:val="TOC1"/>
        <w:rPr>
          <w:rFonts w:asciiTheme="minorHAnsi" w:eastAsiaTheme="minorEastAsia" w:hAnsiTheme="minorHAnsi" w:cstheme="minorBidi"/>
          <w:noProof/>
          <w:szCs w:val="22"/>
        </w:rPr>
      </w:pPr>
      <w:hyperlink w:anchor="_Toc37770208" w:history="1">
        <w:r>
          <w:rPr>
            <w:rStyle w:val="afc"/>
            <w:noProof/>
          </w:rPr>
          <w:t>第五部分</w:t>
        </w:r>
        <w:r>
          <w:rPr>
            <w:rStyle w:val="afc"/>
            <w:noProof/>
          </w:rPr>
          <w:t xml:space="preserve">  </w:t>
        </w:r>
        <w:r>
          <w:rPr>
            <w:rStyle w:val="afc"/>
            <w:noProof/>
          </w:rPr>
          <w:t>相关服务机构</w:t>
        </w:r>
        <w:r>
          <w:rPr>
            <w:noProof/>
          </w:rPr>
          <w:tab/>
        </w:r>
        <w:r>
          <w:rPr>
            <w:noProof/>
          </w:rPr>
          <w:fldChar w:fldCharType="begin"/>
        </w:r>
        <w:r>
          <w:rPr>
            <w:noProof/>
          </w:rPr>
          <w:instrText xml:space="preserve"> PAGEREF _Toc37770208 \h </w:instrText>
        </w:r>
        <w:r>
          <w:rPr>
            <w:noProof/>
          </w:rPr>
        </w:r>
        <w:r>
          <w:rPr>
            <w:noProof/>
          </w:rPr>
          <w:fldChar w:fldCharType="separate"/>
        </w:r>
        <w:r w:rsidR="007B1F64">
          <w:rPr>
            <w:noProof/>
          </w:rPr>
          <w:t>25</w:t>
        </w:r>
        <w:r>
          <w:rPr>
            <w:noProof/>
          </w:rPr>
          <w:fldChar w:fldCharType="end"/>
        </w:r>
      </w:hyperlink>
    </w:p>
    <w:p w14:paraId="1BE98FB1" w14:textId="4425102E" w:rsidR="0046184B" w:rsidRDefault="00000000">
      <w:pPr>
        <w:pStyle w:val="TOC1"/>
        <w:rPr>
          <w:rFonts w:asciiTheme="minorHAnsi" w:eastAsiaTheme="minorEastAsia" w:hAnsiTheme="minorHAnsi" w:cstheme="minorBidi"/>
          <w:noProof/>
          <w:szCs w:val="22"/>
        </w:rPr>
      </w:pPr>
      <w:hyperlink w:anchor="_Toc37770209" w:history="1">
        <w:r>
          <w:rPr>
            <w:rStyle w:val="afc"/>
            <w:noProof/>
          </w:rPr>
          <w:t>第六部分</w:t>
        </w:r>
        <w:r>
          <w:rPr>
            <w:rStyle w:val="afc"/>
            <w:noProof/>
          </w:rPr>
          <w:t xml:space="preserve">  </w:t>
        </w:r>
        <w:r>
          <w:rPr>
            <w:rStyle w:val="afc"/>
            <w:noProof/>
          </w:rPr>
          <w:t>基金的募集</w:t>
        </w:r>
        <w:r>
          <w:rPr>
            <w:noProof/>
          </w:rPr>
          <w:tab/>
        </w:r>
        <w:r>
          <w:rPr>
            <w:noProof/>
          </w:rPr>
          <w:fldChar w:fldCharType="begin"/>
        </w:r>
        <w:r>
          <w:rPr>
            <w:noProof/>
          </w:rPr>
          <w:instrText xml:space="preserve"> PAGEREF _Toc37770209 \h </w:instrText>
        </w:r>
        <w:r>
          <w:rPr>
            <w:noProof/>
          </w:rPr>
        </w:r>
        <w:r>
          <w:rPr>
            <w:noProof/>
          </w:rPr>
          <w:fldChar w:fldCharType="separate"/>
        </w:r>
        <w:r w:rsidR="007B1F64">
          <w:rPr>
            <w:noProof/>
          </w:rPr>
          <w:t>34</w:t>
        </w:r>
        <w:r>
          <w:rPr>
            <w:noProof/>
          </w:rPr>
          <w:fldChar w:fldCharType="end"/>
        </w:r>
      </w:hyperlink>
    </w:p>
    <w:p w14:paraId="6A3A2BBA" w14:textId="1CF0C707" w:rsidR="0046184B" w:rsidRDefault="00000000">
      <w:pPr>
        <w:pStyle w:val="TOC1"/>
        <w:rPr>
          <w:rFonts w:asciiTheme="minorHAnsi" w:eastAsiaTheme="minorEastAsia" w:hAnsiTheme="minorHAnsi" w:cstheme="minorBidi"/>
          <w:noProof/>
          <w:szCs w:val="22"/>
        </w:rPr>
      </w:pPr>
      <w:hyperlink w:anchor="_Toc37770210" w:history="1">
        <w:r>
          <w:rPr>
            <w:rStyle w:val="afc"/>
            <w:noProof/>
          </w:rPr>
          <w:t>第七部分</w:t>
        </w:r>
        <w:r>
          <w:rPr>
            <w:rStyle w:val="afc"/>
            <w:noProof/>
          </w:rPr>
          <w:t xml:space="preserve">  </w:t>
        </w:r>
        <w:r>
          <w:rPr>
            <w:rStyle w:val="afc"/>
            <w:noProof/>
          </w:rPr>
          <w:t>基金合同的生效</w:t>
        </w:r>
        <w:r>
          <w:rPr>
            <w:noProof/>
          </w:rPr>
          <w:tab/>
        </w:r>
        <w:r>
          <w:rPr>
            <w:noProof/>
          </w:rPr>
          <w:fldChar w:fldCharType="begin"/>
        </w:r>
        <w:r>
          <w:rPr>
            <w:noProof/>
          </w:rPr>
          <w:instrText xml:space="preserve"> PAGEREF _Toc37770210 \h </w:instrText>
        </w:r>
        <w:r>
          <w:rPr>
            <w:noProof/>
          </w:rPr>
        </w:r>
        <w:r>
          <w:rPr>
            <w:noProof/>
          </w:rPr>
          <w:fldChar w:fldCharType="separate"/>
        </w:r>
        <w:r w:rsidR="007B1F64">
          <w:rPr>
            <w:noProof/>
          </w:rPr>
          <w:t>35</w:t>
        </w:r>
        <w:r>
          <w:rPr>
            <w:noProof/>
          </w:rPr>
          <w:fldChar w:fldCharType="end"/>
        </w:r>
      </w:hyperlink>
    </w:p>
    <w:p w14:paraId="54AC61C6" w14:textId="1990BB59" w:rsidR="0046184B" w:rsidRDefault="00000000">
      <w:pPr>
        <w:pStyle w:val="TOC1"/>
        <w:rPr>
          <w:rFonts w:asciiTheme="minorHAnsi" w:eastAsiaTheme="minorEastAsia" w:hAnsiTheme="minorHAnsi" w:cstheme="minorBidi"/>
          <w:noProof/>
          <w:szCs w:val="22"/>
        </w:rPr>
      </w:pPr>
      <w:hyperlink w:anchor="_Toc37770211" w:history="1">
        <w:r>
          <w:rPr>
            <w:rStyle w:val="afc"/>
            <w:noProof/>
          </w:rPr>
          <w:t>第八部分</w:t>
        </w:r>
        <w:r>
          <w:rPr>
            <w:rStyle w:val="afc"/>
            <w:noProof/>
          </w:rPr>
          <w:t xml:space="preserve">  </w:t>
        </w:r>
        <w:r>
          <w:rPr>
            <w:rStyle w:val="afc"/>
            <w:noProof/>
          </w:rPr>
          <w:t>基金份额的申购与赎回</w:t>
        </w:r>
        <w:r>
          <w:rPr>
            <w:noProof/>
          </w:rPr>
          <w:tab/>
        </w:r>
        <w:r>
          <w:rPr>
            <w:noProof/>
          </w:rPr>
          <w:fldChar w:fldCharType="begin"/>
        </w:r>
        <w:r>
          <w:rPr>
            <w:noProof/>
          </w:rPr>
          <w:instrText xml:space="preserve"> PAGEREF _Toc37770211 \h </w:instrText>
        </w:r>
        <w:r>
          <w:rPr>
            <w:noProof/>
          </w:rPr>
        </w:r>
        <w:r>
          <w:rPr>
            <w:noProof/>
          </w:rPr>
          <w:fldChar w:fldCharType="separate"/>
        </w:r>
        <w:r w:rsidR="007B1F64">
          <w:rPr>
            <w:noProof/>
          </w:rPr>
          <w:t>36</w:t>
        </w:r>
        <w:r>
          <w:rPr>
            <w:noProof/>
          </w:rPr>
          <w:fldChar w:fldCharType="end"/>
        </w:r>
      </w:hyperlink>
    </w:p>
    <w:p w14:paraId="742FD5A6" w14:textId="1EB87907" w:rsidR="0046184B" w:rsidRDefault="00000000">
      <w:pPr>
        <w:pStyle w:val="TOC1"/>
        <w:rPr>
          <w:rFonts w:asciiTheme="minorHAnsi" w:eastAsiaTheme="minorEastAsia" w:hAnsiTheme="minorHAnsi" w:cstheme="minorBidi"/>
          <w:noProof/>
          <w:szCs w:val="22"/>
        </w:rPr>
      </w:pPr>
      <w:hyperlink w:anchor="_Toc37770212" w:history="1">
        <w:r>
          <w:rPr>
            <w:rStyle w:val="afc"/>
            <w:noProof/>
          </w:rPr>
          <w:t>第九部分</w:t>
        </w:r>
        <w:r>
          <w:rPr>
            <w:rStyle w:val="afc"/>
            <w:noProof/>
          </w:rPr>
          <w:t xml:space="preserve">  </w:t>
        </w:r>
        <w:r>
          <w:rPr>
            <w:rStyle w:val="afc"/>
            <w:noProof/>
          </w:rPr>
          <w:t>基金的投资</w:t>
        </w:r>
        <w:r>
          <w:rPr>
            <w:noProof/>
          </w:rPr>
          <w:tab/>
        </w:r>
        <w:r>
          <w:rPr>
            <w:noProof/>
          </w:rPr>
          <w:fldChar w:fldCharType="begin"/>
        </w:r>
        <w:r>
          <w:rPr>
            <w:noProof/>
          </w:rPr>
          <w:instrText xml:space="preserve"> PAGEREF _Toc37770212 \h </w:instrText>
        </w:r>
        <w:r>
          <w:rPr>
            <w:noProof/>
          </w:rPr>
        </w:r>
        <w:r>
          <w:rPr>
            <w:noProof/>
          </w:rPr>
          <w:fldChar w:fldCharType="separate"/>
        </w:r>
        <w:r w:rsidR="007B1F64">
          <w:rPr>
            <w:noProof/>
          </w:rPr>
          <w:t>47</w:t>
        </w:r>
        <w:r>
          <w:rPr>
            <w:noProof/>
          </w:rPr>
          <w:fldChar w:fldCharType="end"/>
        </w:r>
      </w:hyperlink>
    </w:p>
    <w:p w14:paraId="6A2430A5" w14:textId="59BBA0A0" w:rsidR="0046184B" w:rsidRDefault="00000000">
      <w:pPr>
        <w:pStyle w:val="TOC1"/>
        <w:rPr>
          <w:rFonts w:asciiTheme="minorHAnsi" w:eastAsiaTheme="minorEastAsia" w:hAnsiTheme="minorHAnsi" w:cstheme="minorBidi"/>
          <w:noProof/>
          <w:szCs w:val="22"/>
        </w:rPr>
      </w:pPr>
      <w:hyperlink w:anchor="_Toc37770213" w:history="1">
        <w:r>
          <w:rPr>
            <w:rStyle w:val="afc"/>
            <w:noProof/>
          </w:rPr>
          <w:t>第十部分</w:t>
        </w:r>
        <w:r>
          <w:rPr>
            <w:rStyle w:val="afc"/>
            <w:noProof/>
          </w:rPr>
          <w:t xml:space="preserve">  </w:t>
        </w:r>
        <w:r>
          <w:rPr>
            <w:rStyle w:val="afc"/>
            <w:noProof/>
          </w:rPr>
          <w:t>基金的财产</w:t>
        </w:r>
        <w:r>
          <w:rPr>
            <w:noProof/>
          </w:rPr>
          <w:tab/>
        </w:r>
        <w:r>
          <w:rPr>
            <w:noProof/>
          </w:rPr>
          <w:fldChar w:fldCharType="begin"/>
        </w:r>
        <w:r>
          <w:rPr>
            <w:noProof/>
          </w:rPr>
          <w:instrText xml:space="preserve"> PAGEREF _Toc37770213 \h </w:instrText>
        </w:r>
        <w:r>
          <w:rPr>
            <w:noProof/>
          </w:rPr>
        </w:r>
        <w:r>
          <w:rPr>
            <w:noProof/>
          </w:rPr>
          <w:fldChar w:fldCharType="separate"/>
        </w:r>
        <w:r w:rsidR="007B1F64">
          <w:rPr>
            <w:noProof/>
          </w:rPr>
          <w:t>62</w:t>
        </w:r>
        <w:r>
          <w:rPr>
            <w:noProof/>
          </w:rPr>
          <w:fldChar w:fldCharType="end"/>
        </w:r>
      </w:hyperlink>
    </w:p>
    <w:p w14:paraId="096B2726" w14:textId="6271DB0E" w:rsidR="0046184B" w:rsidRDefault="00000000">
      <w:pPr>
        <w:pStyle w:val="TOC1"/>
        <w:rPr>
          <w:rFonts w:asciiTheme="minorHAnsi" w:eastAsiaTheme="minorEastAsia" w:hAnsiTheme="minorHAnsi" w:cstheme="minorBidi"/>
          <w:noProof/>
          <w:szCs w:val="22"/>
        </w:rPr>
      </w:pPr>
      <w:hyperlink w:anchor="_Toc37770214" w:history="1">
        <w:r>
          <w:rPr>
            <w:rStyle w:val="afc"/>
            <w:noProof/>
          </w:rPr>
          <w:t>第十一部分</w:t>
        </w:r>
        <w:r>
          <w:rPr>
            <w:rStyle w:val="afc"/>
            <w:noProof/>
          </w:rPr>
          <w:t xml:space="preserve">  </w:t>
        </w:r>
        <w:r>
          <w:rPr>
            <w:rStyle w:val="afc"/>
            <w:noProof/>
          </w:rPr>
          <w:t>基金资产的估值</w:t>
        </w:r>
        <w:r>
          <w:rPr>
            <w:noProof/>
          </w:rPr>
          <w:tab/>
        </w:r>
        <w:r>
          <w:rPr>
            <w:noProof/>
          </w:rPr>
          <w:fldChar w:fldCharType="begin"/>
        </w:r>
        <w:r>
          <w:rPr>
            <w:noProof/>
          </w:rPr>
          <w:instrText xml:space="preserve"> PAGEREF _Toc37770214 \h </w:instrText>
        </w:r>
        <w:r>
          <w:rPr>
            <w:noProof/>
          </w:rPr>
        </w:r>
        <w:r>
          <w:rPr>
            <w:noProof/>
          </w:rPr>
          <w:fldChar w:fldCharType="separate"/>
        </w:r>
        <w:r w:rsidR="007B1F64">
          <w:rPr>
            <w:noProof/>
          </w:rPr>
          <w:t>63</w:t>
        </w:r>
        <w:r>
          <w:rPr>
            <w:noProof/>
          </w:rPr>
          <w:fldChar w:fldCharType="end"/>
        </w:r>
      </w:hyperlink>
    </w:p>
    <w:p w14:paraId="6EC9A449" w14:textId="7722355B" w:rsidR="0046184B" w:rsidRDefault="00000000">
      <w:pPr>
        <w:pStyle w:val="TOC1"/>
        <w:rPr>
          <w:rFonts w:asciiTheme="minorHAnsi" w:eastAsiaTheme="minorEastAsia" w:hAnsiTheme="minorHAnsi" w:cstheme="minorBidi"/>
          <w:noProof/>
          <w:szCs w:val="22"/>
        </w:rPr>
      </w:pPr>
      <w:hyperlink w:anchor="_Toc37770215" w:history="1">
        <w:r>
          <w:rPr>
            <w:rStyle w:val="afc"/>
            <w:noProof/>
          </w:rPr>
          <w:t>第十二部分</w:t>
        </w:r>
        <w:r>
          <w:rPr>
            <w:rStyle w:val="afc"/>
            <w:noProof/>
          </w:rPr>
          <w:t xml:space="preserve">  </w:t>
        </w:r>
        <w:r>
          <w:rPr>
            <w:rStyle w:val="afc"/>
            <w:noProof/>
          </w:rPr>
          <w:t>基金的收益分配</w:t>
        </w:r>
        <w:r>
          <w:rPr>
            <w:noProof/>
          </w:rPr>
          <w:tab/>
        </w:r>
        <w:r>
          <w:rPr>
            <w:noProof/>
          </w:rPr>
          <w:fldChar w:fldCharType="begin"/>
        </w:r>
        <w:r>
          <w:rPr>
            <w:noProof/>
          </w:rPr>
          <w:instrText xml:space="preserve"> PAGEREF _Toc37770215 \h </w:instrText>
        </w:r>
        <w:r>
          <w:rPr>
            <w:noProof/>
          </w:rPr>
        </w:r>
        <w:r>
          <w:rPr>
            <w:noProof/>
          </w:rPr>
          <w:fldChar w:fldCharType="separate"/>
        </w:r>
        <w:r w:rsidR="007B1F64">
          <w:rPr>
            <w:noProof/>
          </w:rPr>
          <w:t>68</w:t>
        </w:r>
        <w:r>
          <w:rPr>
            <w:noProof/>
          </w:rPr>
          <w:fldChar w:fldCharType="end"/>
        </w:r>
      </w:hyperlink>
    </w:p>
    <w:p w14:paraId="48B0694C" w14:textId="78DD0E58" w:rsidR="0046184B" w:rsidRDefault="00000000">
      <w:pPr>
        <w:pStyle w:val="TOC1"/>
        <w:rPr>
          <w:rFonts w:asciiTheme="minorHAnsi" w:eastAsiaTheme="minorEastAsia" w:hAnsiTheme="minorHAnsi" w:cstheme="minorBidi"/>
          <w:noProof/>
          <w:szCs w:val="22"/>
        </w:rPr>
      </w:pPr>
      <w:hyperlink w:anchor="_Toc37770216" w:history="1">
        <w:r>
          <w:rPr>
            <w:rStyle w:val="afc"/>
            <w:noProof/>
          </w:rPr>
          <w:t>第十三部分</w:t>
        </w:r>
        <w:r>
          <w:rPr>
            <w:rStyle w:val="afc"/>
            <w:noProof/>
          </w:rPr>
          <w:t xml:space="preserve">  </w:t>
        </w:r>
        <w:r>
          <w:rPr>
            <w:rStyle w:val="afc"/>
            <w:noProof/>
          </w:rPr>
          <w:t>基金费用与税收</w:t>
        </w:r>
        <w:r>
          <w:rPr>
            <w:noProof/>
          </w:rPr>
          <w:tab/>
        </w:r>
        <w:r>
          <w:rPr>
            <w:noProof/>
          </w:rPr>
          <w:fldChar w:fldCharType="begin"/>
        </w:r>
        <w:r>
          <w:rPr>
            <w:noProof/>
          </w:rPr>
          <w:instrText xml:space="preserve"> PAGEREF _Toc37770216 \h </w:instrText>
        </w:r>
        <w:r>
          <w:rPr>
            <w:noProof/>
          </w:rPr>
        </w:r>
        <w:r>
          <w:rPr>
            <w:noProof/>
          </w:rPr>
          <w:fldChar w:fldCharType="separate"/>
        </w:r>
        <w:r w:rsidR="007B1F64">
          <w:rPr>
            <w:noProof/>
          </w:rPr>
          <w:t>70</w:t>
        </w:r>
        <w:r>
          <w:rPr>
            <w:noProof/>
          </w:rPr>
          <w:fldChar w:fldCharType="end"/>
        </w:r>
      </w:hyperlink>
    </w:p>
    <w:p w14:paraId="32C46E4A" w14:textId="618BBBDF" w:rsidR="0046184B" w:rsidRDefault="00000000">
      <w:pPr>
        <w:pStyle w:val="TOC1"/>
        <w:rPr>
          <w:rFonts w:asciiTheme="minorHAnsi" w:eastAsiaTheme="minorEastAsia" w:hAnsiTheme="minorHAnsi" w:cstheme="minorBidi"/>
          <w:noProof/>
          <w:szCs w:val="22"/>
        </w:rPr>
      </w:pPr>
      <w:hyperlink w:anchor="_Toc37770217" w:history="1">
        <w:r>
          <w:rPr>
            <w:rStyle w:val="afc"/>
            <w:noProof/>
          </w:rPr>
          <w:t>第十四部分</w:t>
        </w:r>
        <w:r>
          <w:rPr>
            <w:rStyle w:val="afc"/>
            <w:noProof/>
          </w:rPr>
          <w:t xml:space="preserve">  </w:t>
        </w:r>
        <w:r>
          <w:rPr>
            <w:rStyle w:val="afc"/>
            <w:noProof/>
          </w:rPr>
          <w:t>基金的会计与审计</w:t>
        </w:r>
        <w:r>
          <w:rPr>
            <w:noProof/>
          </w:rPr>
          <w:tab/>
        </w:r>
        <w:r>
          <w:rPr>
            <w:noProof/>
          </w:rPr>
          <w:fldChar w:fldCharType="begin"/>
        </w:r>
        <w:r>
          <w:rPr>
            <w:noProof/>
          </w:rPr>
          <w:instrText xml:space="preserve"> PAGEREF _Toc37770217 \h </w:instrText>
        </w:r>
        <w:r>
          <w:rPr>
            <w:noProof/>
          </w:rPr>
        </w:r>
        <w:r>
          <w:rPr>
            <w:noProof/>
          </w:rPr>
          <w:fldChar w:fldCharType="separate"/>
        </w:r>
        <w:r w:rsidR="007B1F64">
          <w:rPr>
            <w:noProof/>
          </w:rPr>
          <w:t>73</w:t>
        </w:r>
        <w:r>
          <w:rPr>
            <w:noProof/>
          </w:rPr>
          <w:fldChar w:fldCharType="end"/>
        </w:r>
      </w:hyperlink>
    </w:p>
    <w:p w14:paraId="34C7D304" w14:textId="2CF89E40" w:rsidR="0046184B" w:rsidRDefault="00000000">
      <w:pPr>
        <w:pStyle w:val="TOC1"/>
        <w:rPr>
          <w:rFonts w:asciiTheme="minorHAnsi" w:eastAsiaTheme="minorEastAsia" w:hAnsiTheme="minorHAnsi" w:cstheme="minorBidi"/>
          <w:noProof/>
          <w:szCs w:val="22"/>
        </w:rPr>
      </w:pPr>
      <w:hyperlink w:anchor="_Toc37770218" w:history="1">
        <w:r>
          <w:rPr>
            <w:rStyle w:val="afc"/>
            <w:noProof/>
          </w:rPr>
          <w:t>第十五部分</w:t>
        </w:r>
        <w:r>
          <w:rPr>
            <w:rStyle w:val="afc"/>
            <w:noProof/>
          </w:rPr>
          <w:t xml:space="preserve">  </w:t>
        </w:r>
        <w:r>
          <w:rPr>
            <w:rStyle w:val="afc"/>
            <w:noProof/>
          </w:rPr>
          <w:t>基金的信息披露</w:t>
        </w:r>
        <w:r>
          <w:rPr>
            <w:noProof/>
          </w:rPr>
          <w:tab/>
        </w:r>
        <w:r>
          <w:rPr>
            <w:noProof/>
          </w:rPr>
          <w:fldChar w:fldCharType="begin"/>
        </w:r>
        <w:r>
          <w:rPr>
            <w:noProof/>
          </w:rPr>
          <w:instrText xml:space="preserve"> PAGEREF _Toc37770218 \h </w:instrText>
        </w:r>
        <w:r>
          <w:rPr>
            <w:noProof/>
          </w:rPr>
        </w:r>
        <w:r>
          <w:rPr>
            <w:noProof/>
          </w:rPr>
          <w:fldChar w:fldCharType="separate"/>
        </w:r>
        <w:r w:rsidR="007B1F64">
          <w:rPr>
            <w:noProof/>
          </w:rPr>
          <w:t>74</w:t>
        </w:r>
        <w:r>
          <w:rPr>
            <w:noProof/>
          </w:rPr>
          <w:fldChar w:fldCharType="end"/>
        </w:r>
      </w:hyperlink>
    </w:p>
    <w:p w14:paraId="70F71AE4" w14:textId="1374AD86" w:rsidR="0046184B" w:rsidRDefault="00000000">
      <w:pPr>
        <w:pStyle w:val="TOC1"/>
        <w:rPr>
          <w:rFonts w:asciiTheme="minorHAnsi" w:eastAsiaTheme="minorEastAsia" w:hAnsiTheme="minorHAnsi" w:cstheme="minorBidi"/>
          <w:noProof/>
          <w:szCs w:val="22"/>
        </w:rPr>
      </w:pPr>
      <w:hyperlink w:anchor="_Toc37770219" w:history="1">
        <w:r>
          <w:rPr>
            <w:rStyle w:val="afc"/>
            <w:noProof/>
          </w:rPr>
          <w:t>第十六部分</w:t>
        </w:r>
        <w:r>
          <w:rPr>
            <w:rStyle w:val="afc"/>
            <w:noProof/>
          </w:rPr>
          <w:t xml:space="preserve">  </w:t>
        </w:r>
        <w:r>
          <w:rPr>
            <w:rStyle w:val="afc"/>
            <w:noProof/>
          </w:rPr>
          <w:t>风险揭示</w:t>
        </w:r>
        <w:r>
          <w:rPr>
            <w:noProof/>
          </w:rPr>
          <w:tab/>
        </w:r>
        <w:r>
          <w:rPr>
            <w:noProof/>
          </w:rPr>
          <w:fldChar w:fldCharType="begin"/>
        </w:r>
        <w:r>
          <w:rPr>
            <w:noProof/>
          </w:rPr>
          <w:instrText xml:space="preserve"> PAGEREF _Toc37770219 \h </w:instrText>
        </w:r>
        <w:r>
          <w:rPr>
            <w:noProof/>
          </w:rPr>
        </w:r>
        <w:r>
          <w:rPr>
            <w:noProof/>
          </w:rPr>
          <w:fldChar w:fldCharType="separate"/>
        </w:r>
        <w:r w:rsidR="007B1F64">
          <w:rPr>
            <w:noProof/>
          </w:rPr>
          <w:t>81</w:t>
        </w:r>
        <w:r>
          <w:rPr>
            <w:noProof/>
          </w:rPr>
          <w:fldChar w:fldCharType="end"/>
        </w:r>
      </w:hyperlink>
    </w:p>
    <w:p w14:paraId="52CF7FE2" w14:textId="6DFB0BC6" w:rsidR="0046184B" w:rsidRDefault="00000000">
      <w:pPr>
        <w:pStyle w:val="TOC1"/>
        <w:rPr>
          <w:rFonts w:asciiTheme="minorHAnsi" w:eastAsiaTheme="minorEastAsia" w:hAnsiTheme="minorHAnsi" w:cstheme="minorBidi"/>
          <w:noProof/>
          <w:szCs w:val="22"/>
        </w:rPr>
      </w:pPr>
      <w:hyperlink w:anchor="_Toc37770220" w:history="1">
        <w:r>
          <w:rPr>
            <w:rStyle w:val="afc"/>
            <w:noProof/>
          </w:rPr>
          <w:t>第十七部分</w:t>
        </w:r>
        <w:r>
          <w:rPr>
            <w:rStyle w:val="afc"/>
            <w:noProof/>
          </w:rPr>
          <w:t xml:space="preserve">  </w:t>
        </w:r>
        <w:r>
          <w:rPr>
            <w:rStyle w:val="afc"/>
            <w:noProof/>
          </w:rPr>
          <w:t>基金合同的变更、终止与基金财产的清算</w:t>
        </w:r>
        <w:r>
          <w:rPr>
            <w:noProof/>
          </w:rPr>
          <w:tab/>
        </w:r>
        <w:r>
          <w:rPr>
            <w:noProof/>
          </w:rPr>
          <w:fldChar w:fldCharType="begin"/>
        </w:r>
        <w:r>
          <w:rPr>
            <w:noProof/>
          </w:rPr>
          <w:instrText xml:space="preserve"> PAGEREF _Toc37770220 \h </w:instrText>
        </w:r>
        <w:r>
          <w:rPr>
            <w:noProof/>
          </w:rPr>
        </w:r>
        <w:r>
          <w:rPr>
            <w:noProof/>
          </w:rPr>
          <w:fldChar w:fldCharType="separate"/>
        </w:r>
        <w:r w:rsidR="007B1F64">
          <w:rPr>
            <w:noProof/>
          </w:rPr>
          <w:t>85</w:t>
        </w:r>
        <w:r>
          <w:rPr>
            <w:noProof/>
          </w:rPr>
          <w:fldChar w:fldCharType="end"/>
        </w:r>
      </w:hyperlink>
    </w:p>
    <w:p w14:paraId="7D69E008" w14:textId="535BCDF7" w:rsidR="0046184B" w:rsidRDefault="00000000">
      <w:pPr>
        <w:pStyle w:val="TOC1"/>
        <w:rPr>
          <w:rFonts w:asciiTheme="minorHAnsi" w:eastAsiaTheme="minorEastAsia" w:hAnsiTheme="minorHAnsi" w:cstheme="minorBidi"/>
          <w:noProof/>
          <w:szCs w:val="22"/>
        </w:rPr>
      </w:pPr>
      <w:hyperlink w:anchor="_Toc37770221" w:history="1">
        <w:r>
          <w:rPr>
            <w:rStyle w:val="afc"/>
            <w:noProof/>
          </w:rPr>
          <w:t>第十八部分</w:t>
        </w:r>
        <w:r>
          <w:rPr>
            <w:rStyle w:val="afc"/>
            <w:noProof/>
          </w:rPr>
          <w:t xml:space="preserve">  </w:t>
        </w:r>
        <w:r>
          <w:rPr>
            <w:rStyle w:val="afc"/>
            <w:noProof/>
          </w:rPr>
          <w:t>基金合同的内容摘要</w:t>
        </w:r>
        <w:r>
          <w:rPr>
            <w:noProof/>
          </w:rPr>
          <w:tab/>
        </w:r>
        <w:r>
          <w:rPr>
            <w:noProof/>
          </w:rPr>
          <w:fldChar w:fldCharType="begin"/>
        </w:r>
        <w:r>
          <w:rPr>
            <w:noProof/>
          </w:rPr>
          <w:instrText xml:space="preserve"> PAGEREF _Toc37770221 \h </w:instrText>
        </w:r>
        <w:r>
          <w:rPr>
            <w:noProof/>
          </w:rPr>
        </w:r>
        <w:r>
          <w:rPr>
            <w:noProof/>
          </w:rPr>
          <w:fldChar w:fldCharType="separate"/>
        </w:r>
        <w:r w:rsidR="007B1F64">
          <w:rPr>
            <w:noProof/>
          </w:rPr>
          <w:t>87</w:t>
        </w:r>
        <w:r>
          <w:rPr>
            <w:noProof/>
          </w:rPr>
          <w:fldChar w:fldCharType="end"/>
        </w:r>
      </w:hyperlink>
    </w:p>
    <w:p w14:paraId="61C4986D" w14:textId="390C290B" w:rsidR="0046184B" w:rsidRDefault="00000000">
      <w:pPr>
        <w:pStyle w:val="TOC1"/>
        <w:rPr>
          <w:rFonts w:asciiTheme="minorHAnsi" w:eastAsiaTheme="minorEastAsia" w:hAnsiTheme="minorHAnsi" w:cstheme="minorBidi"/>
          <w:noProof/>
          <w:szCs w:val="22"/>
        </w:rPr>
      </w:pPr>
      <w:hyperlink w:anchor="_Toc37770222" w:history="1">
        <w:r>
          <w:rPr>
            <w:rStyle w:val="afc"/>
            <w:noProof/>
          </w:rPr>
          <w:t>第十九部分</w:t>
        </w:r>
        <w:r>
          <w:rPr>
            <w:rStyle w:val="afc"/>
            <w:noProof/>
          </w:rPr>
          <w:t xml:space="preserve">  </w:t>
        </w:r>
        <w:r>
          <w:rPr>
            <w:rStyle w:val="afc"/>
            <w:noProof/>
          </w:rPr>
          <w:t>基金托管协议的内容摘要</w:t>
        </w:r>
        <w:r>
          <w:rPr>
            <w:noProof/>
          </w:rPr>
          <w:tab/>
        </w:r>
        <w:r>
          <w:rPr>
            <w:noProof/>
          </w:rPr>
          <w:fldChar w:fldCharType="begin"/>
        </w:r>
        <w:r>
          <w:rPr>
            <w:noProof/>
          </w:rPr>
          <w:instrText xml:space="preserve"> PAGEREF _Toc37770222 \h </w:instrText>
        </w:r>
        <w:r>
          <w:rPr>
            <w:noProof/>
          </w:rPr>
        </w:r>
        <w:r>
          <w:rPr>
            <w:noProof/>
          </w:rPr>
          <w:fldChar w:fldCharType="separate"/>
        </w:r>
        <w:r w:rsidR="007B1F64">
          <w:rPr>
            <w:noProof/>
          </w:rPr>
          <w:t>103</w:t>
        </w:r>
        <w:r>
          <w:rPr>
            <w:noProof/>
          </w:rPr>
          <w:fldChar w:fldCharType="end"/>
        </w:r>
      </w:hyperlink>
    </w:p>
    <w:p w14:paraId="4E1881D0" w14:textId="21BD93B1" w:rsidR="0046184B" w:rsidRDefault="00000000">
      <w:pPr>
        <w:pStyle w:val="TOC1"/>
        <w:rPr>
          <w:rFonts w:asciiTheme="minorHAnsi" w:eastAsiaTheme="minorEastAsia" w:hAnsiTheme="minorHAnsi" w:cstheme="minorBidi"/>
          <w:noProof/>
          <w:szCs w:val="22"/>
        </w:rPr>
      </w:pPr>
      <w:hyperlink w:anchor="_Toc37770223" w:history="1">
        <w:r>
          <w:rPr>
            <w:rStyle w:val="afc"/>
            <w:noProof/>
          </w:rPr>
          <w:t>第二十部分</w:t>
        </w:r>
        <w:r>
          <w:rPr>
            <w:rStyle w:val="afc"/>
            <w:noProof/>
          </w:rPr>
          <w:t xml:space="preserve">  </w:t>
        </w:r>
        <w:r>
          <w:rPr>
            <w:rStyle w:val="afc"/>
            <w:noProof/>
          </w:rPr>
          <w:t>对基金份额持有人的服务</w:t>
        </w:r>
        <w:r>
          <w:rPr>
            <w:noProof/>
          </w:rPr>
          <w:tab/>
        </w:r>
        <w:r>
          <w:rPr>
            <w:noProof/>
          </w:rPr>
          <w:fldChar w:fldCharType="begin"/>
        </w:r>
        <w:r>
          <w:rPr>
            <w:noProof/>
          </w:rPr>
          <w:instrText xml:space="preserve"> PAGEREF _Toc37770223 \h </w:instrText>
        </w:r>
        <w:r>
          <w:rPr>
            <w:noProof/>
          </w:rPr>
        </w:r>
        <w:r>
          <w:rPr>
            <w:noProof/>
          </w:rPr>
          <w:fldChar w:fldCharType="separate"/>
        </w:r>
        <w:r w:rsidR="007B1F64">
          <w:rPr>
            <w:noProof/>
          </w:rPr>
          <w:t>118</w:t>
        </w:r>
        <w:r>
          <w:rPr>
            <w:noProof/>
          </w:rPr>
          <w:fldChar w:fldCharType="end"/>
        </w:r>
      </w:hyperlink>
    </w:p>
    <w:p w14:paraId="1D38D7D7" w14:textId="0F56D078" w:rsidR="0046184B" w:rsidRDefault="00000000">
      <w:pPr>
        <w:pStyle w:val="TOC1"/>
        <w:rPr>
          <w:rFonts w:asciiTheme="minorHAnsi" w:eastAsiaTheme="minorEastAsia" w:hAnsiTheme="minorHAnsi" w:cstheme="minorBidi"/>
          <w:noProof/>
          <w:szCs w:val="22"/>
        </w:rPr>
      </w:pPr>
      <w:hyperlink w:anchor="_Toc37770224" w:history="1">
        <w:r>
          <w:rPr>
            <w:rStyle w:val="afc"/>
            <w:noProof/>
          </w:rPr>
          <w:t>第二十一部分</w:t>
        </w:r>
        <w:r>
          <w:rPr>
            <w:rStyle w:val="afc"/>
            <w:noProof/>
          </w:rPr>
          <w:t xml:space="preserve">  </w:t>
        </w:r>
        <w:r>
          <w:rPr>
            <w:rStyle w:val="afc"/>
            <w:noProof/>
          </w:rPr>
          <w:t>其他应披露事项</w:t>
        </w:r>
        <w:r>
          <w:rPr>
            <w:noProof/>
          </w:rPr>
          <w:tab/>
        </w:r>
        <w:r>
          <w:rPr>
            <w:noProof/>
          </w:rPr>
          <w:fldChar w:fldCharType="begin"/>
        </w:r>
        <w:r>
          <w:rPr>
            <w:noProof/>
          </w:rPr>
          <w:instrText xml:space="preserve"> PAGEREF _Toc37770224 \h </w:instrText>
        </w:r>
        <w:r>
          <w:rPr>
            <w:noProof/>
          </w:rPr>
        </w:r>
        <w:r>
          <w:rPr>
            <w:noProof/>
          </w:rPr>
          <w:fldChar w:fldCharType="separate"/>
        </w:r>
        <w:r w:rsidR="007B1F64">
          <w:rPr>
            <w:noProof/>
          </w:rPr>
          <w:t>120</w:t>
        </w:r>
        <w:r>
          <w:rPr>
            <w:noProof/>
          </w:rPr>
          <w:fldChar w:fldCharType="end"/>
        </w:r>
      </w:hyperlink>
    </w:p>
    <w:p w14:paraId="28BD0D54" w14:textId="0D0D0142" w:rsidR="0046184B" w:rsidRDefault="00000000">
      <w:pPr>
        <w:pStyle w:val="TOC1"/>
        <w:rPr>
          <w:rFonts w:asciiTheme="minorHAnsi" w:eastAsiaTheme="minorEastAsia" w:hAnsiTheme="minorHAnsi" w:cstheme="minorBidi"/>
          <w:noProof/>
          <w:szCs w:val="22"/>
        </w:rPr>
      </w:pPr>
      <w:hyperlink w:anchor="_Toc37770225" w:history="1">
        <w:r>
          <w:rPr>
            <w:rStyle w:val="afc"/>
            <w:noProof/>
          </w:rPr>
          <w:t>第二十二部分</w:t>
        </w:r>
        <w:r>
          <w:rPr>
            <w:rStyle w:val="afc"/>
            <w:noProof/>
          </w:rPr>
          <w:t xml:space="preserve">  </w:t>
        </w:r>
        <w:r>
          <w:rPr>
            <w:rStyle w:val="afc"/>
            <w:noProof/>
          </w:rPr>
          <w:t>招募说明书存放及查阅方式</w:t>
        </w:r>
        <w:r>
          <w:rPr>
            <w:noProof/>
          </w:rPr>
          <w:tab/>
        </w:r>
        <w:r>
          <w:rPr>
            <w:noProof/>
          </w:rPr>
          <w:fldChar w:fldCharType="begin"/>
        </w:r>
        <w:r>
          <w:rPr>
            <w:noProof/>
          </w:rPr>
          <w:instrText xml:space="preserve"> PAGEREF _Toc37770225 \h </w:instrText>
        </w:r>
        <w:r>
          <w:rPr>
            <w:noProof/>
          </w:rPr>
        </w:r>
        <w:r>
          <w:rPr>
            <w:noProof/>
          </w:rPr>
          <w:fldChar w:fldCharType="separate"/>
        </w:r>
        <w:r w:rsidR="007B1F64">
          <w:rPr>
            <w:noProof/>
          </w:rPr>
          <w:t>122</w:t>
        </w:r>
        <w:r>
          <w:rPr>
            <w:noProof/>
          </w:rPr>
          <w:fldChar w:fldCharType="end"/>
        </w:r>
      </w:hyperlink>
    </w:p>
    <w:p w14:paraId="77B50829" w14:textId="4C06A11C" w:rsidR="0046184B" w:rsidRDefault="00000000">
      <w:pPr>
        <w:pStyle w:val="TOC1"/>
        <w:rPr>
          <w:rFonts w:asciiTheme="minorHAnsi" w:eastAsiaTheme="minorEastAsia" w:hAnsiTheme="minorHAnsi" w:cstheme="minorBidi"/>
          <w:noProof/>
          <w:szCs w:val="22"/>
        </w:rPr>
      </w:pPr>
      <w:hyperlink w:anchor="_Toc37770226" w:history="1">
        <w:r>
          <w:rPr>
            <w:rStyle w:val="afc"/>
            <w:noProof/>
          </w:rPr>
          <w:t>第二十三部分</w:t>
        </w:r>
        <w:r>
          <w:rPr>
            <w:rStyle w:val="afc"/>
            <w:noProof/>
          </w:rPr>
          <w:t xml:space="preserve">  </w:t>
        </w:r>
        <w:r>
          <w:rPr>
            <w:rStyle w:val="afc"/>
            <w:noProof/>
          </w:rPr>
          <w:t>备查文件</w:t>
        </w:r>
        <w:r>
          <w:rPr>
            <w:noProof/>
          </w:rPr>
          <w:tab/>
        </w:r>
        <w:r>
          <w:rPr>
            <w:noProof/>
          </w:rPr>
          <w:fldChar w:fldCharType="begin"/>
        </w:r>
        <w:r>
          <w:rPr>
            <w:noProof/>
          </w:rPr>
          <w:instrText xml:space="preserve"> PAGEREF _Toc37770226 \h </w:instrText>
        </w:r>
        <w:r>
          <w:rPr>
            <w:noProof/>
          </w:rPr>
        </w:r>
        <w:r>
          <w:rPr>
            <w:noProof/>
          </w:rPr>
          <w:fldChar w:fldCharType="separate"/>
        </w:r>
        <w:r w:rsidR="007B1F64">
          <w:rPr>
            <w:noProof/>
          </w:rPr>
          <w:t>123</w:t>
        </w:r>
        <w:r>
          <w:rPr>
            <w:noProof/>
          </w:rPr>
          <w:fldChar w:fldCharType="end"/>
        </w:r>
      </w:hyperlink>
    </w:p>
    <w:p w14:paraId="1D47F2D5" w14:textId="77777777" w:rsidR="0046184B" w:rsidRDefault="00000000">
      <w:pPr>
        <w:sectPr w:rsidR="0046184B">
          <w:pgSz w:w="11906" w:h="16838"/>
          <w:pgMar w:top="1440" w:right="1800" w:bottom="1440" w:left="1800" w:header="851" w:footer="992" w:gutter="0"/>
          <w:pgNumType w:chapStyle="1"/>
          <w:cols w:space="720"/>
          <w:docGrid w:type="lines" w:linePitch="312"/>
        </w:sectPr>
      </w:pPr>
      <w:r>
        <w:fldChar w:fldCharType="end"/>
      </w:r>
      <w:bookmarkStart w:id="33" w:name="_Toc416264537"/>
      <w:bookmarkStart w:id="34" w:name="_Toc263092309"/>
      <w:bookmarkStart w:id="35" w:name="_Toc22864"/>
      <w:bookmarkStart w:id="36" w:name="_Toc19592"/>
      <w:bookmarkStart w:id="37" w:name="_Toc24860"/>
      <w:bookmarkStart w:id="38" w:name="_Toc819"/>
      <w:bookmarkStart w:id="39" w:name="_Toc258829399"/>
      <w:bookmarkStart w:id="40" w:name="_Toc6617"/>
      <w:bookmarkStart w:id="41" w:name="_Toc352229747"/>
      <w:bookmarkStart w:id="42" w:name="_Toc2465"/>
      <w:bookmarkStart w:id="43" w:name="_Toc15067"/>
      <w:bookmarkStart w:id="44" w:name="_Toc21301"/>
      <w:bookmarkStart w:id="45" w:name="_Toc31551"/>
      <w:bookmarkStart w:id="46" w:name="_Toc13020"/>
      <w:bookmarkStart w:id="47" w:name="_Toc322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p>
    <w:p w14:paraId="60A5F6D5" w14:textId="77777777" w:rsidR="0046184B" w:rsidRDefault="00000000">
      <w:pPr>
        <w:pStyle w:val="1"/>
        <w:jc w:val="center"/>
        <w:rPr>
          <w:sz w:val="30"/>
          <w:szCs w:val="30"/>
        </w:rPr>
      </w:pPr>
      <w:bookmarkStart w:id="48" w:name="_Toc37770204"/>
      <w:r>
        <w:rPr>
          <w:rFonts w:hint="eastAsia"/>
          <w:sz w:val="30"/>
          <w:szCs w:val="30"/>
        </w:rPr>
        <w:lastRenderedPageBreak/>
        <w:t>第一部分</w:t>
      </w:r>
      <w:r>
        <w:rPr>
          <w:sz w:val="30"/>
          <w:szCs w:val="30"/>
        </w:rPr>
        <w:t xml:space="preserve">  </w:t>
      </w:r>
      <w:r>
        <w:rPr>
          <w:rFonts w:hint="eastAsia"/>
          <w:sz w:val="30"/>
          <w:szCs w:val="30"/>
        </w:rPr>
        <w:t>绪言</w:t>
      </w:r>
      <w:bookmarkEnd w:id="33"/>
      <w:bookmarkEnd w:id="34"/>
      <w:bookmarkEnd w:id="48"/>
    </w:p>
    <w:p w14:paraId="59FB387F"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富荣福锦混合型证券投资基金招募说明书》（以下简称“招募说明书”或“本招募说明书”）依照《中华人民共和国证券投资基金法》（以下简称“《基金法》”）、《公开募集证券投资基金运作管理办法》（以下简称“《运作办法》”）、《证券投资基金销售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》（以下简称“《信息披露办法》”）、《公开募集开放式证券投资基金流动性风险管理规定》（以下简称“《管理规定》”）以及《富荣福锦混合型证券投资基金基金合同》（以下简称“基金合同”）编写。</w:t>
      </w:r>
    </w:p>
    <w:p w14:paraId="15B3484A"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9E904CB"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proofErr w:type="gramStart"/>
      <w:r>
        <w:rPr>
          <w:rFonts w:asciiTheme="minorEastAsia" w:hAnsiTheme="minorEastAsia" w:cs="Arial" w:hint="eastAsia"/>
          <w:sz w:val="24"/>
          <w:szCs w:val="24"/>
        </w:rPr>
        <w:t>富荣福锦</w:t>
      </w:r>
      <w:proofErr w:type="gramEnd"/>
      <w:r>
        <w:rPr>
          <w:rFonts w:asciiTheme="minorEastAsia" w:hAnsiTheme="minorEastAsia" w:cs="Arial" w:hint="eastAsia"/>
          <w:sz w:val="24"/>
          <w:szCs w:val="24"/>
        </w:rPr>
        <w:t>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1B69A548"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46597054" w14:textId="77777777" w:rsidR="0046184B" w:rsidRDefault="0046184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46184B">
          <w:footerReference w:type="default" r:id="rId10"/>
          <w:pgSz w:w="11906" w:h="16838"/>
          <w:pgMar w:top="1440" w:right="1800" w:bottom="1440" w:left="1800" w:header="851" w:footer="992" w:gutter="0"/>
          <w:pgNumType w:chapStyle="1"/>
          <w:cols w:space="720"/>
          <w:docGrid w:type="lines" w:linePitch="312"/>
        </w:sectPr>
      </w:pPr>
      <w:bookmarkStart w:id="49" w:name="_Toc352229748"/>
      <w:bookmarkStart w:id="50" w:name="_Toc5246"/>
      <w:bookmarkStart w:id="51" w:name="_Toc20318"/>
      <w:bookmarkStart w:id="52" w:name="_Toc6149"/>
      <w:bookmarkStart w:id="53" w:name="_Toc18631"/>
      <w:bookmarkStart w:id="54" w:name="_Toc13288"/>
      <w:bookmarkStart w:id="55" w:name="_Toc6683"/>
      <w:bookmarkStart w:id="56" w:name="_Toc24571"/>
      <w:bookmarkStart w:id="57" w:name="_Toc545"/>
      <w:bookmarkStart w:id="58" w:name="_Toc733"/>
      <w:bookmarkStart w:id="59" w:name="_Toc22708"/>
      <w:bookmarkStart w:id="60" w:name="_Toc20627"/>
      <w:bookmarkStart w:id="61" w:name="_Toc233456272"/>
      <w:bookmarkStart w:id="62" w:name="_Toc258829400"/>
      <w:bookmarkEnd w:id="32"/>
      <w:bookmarkEnd w:id="35"/>
      <w:bookmarkEnd w:id="36"/>
      <w:bookmarkEnd w:id="37"/>
      <w:bookmarkEnd w:id="38"/>
      <w:bookmarkEnd w:id="39"/>
      <w:bookmarkEnd w:id="40"/>
      <w:bookmarkEnd w:id="41"/>
      <w:bookmarkEnd w:id="42"/>
      <w:bookmarkEnd w:id="43"/>
      <w:bookmarkEnd w:id="44"/>
      <w:bookmarkEnd w:id="45"/>
      <w:bookmarkEnd w:id="46"/>
      <w:bookmarkEnd w:id="47"/>
    </w:p>
    <w:p w14:paraId="783A1939" w14:textId="77777777" w:rsidR="0046184B" w:rsidRDefault="00000000">
      <w:pPr>
        <w:pStyle w:val="1"/>
        <w:jc w:val="center"/>
        <w:rPr>
          <w:sz w:val="30"/>
          <w:szCs w:val="30"/>
        </w:rPr>
      </w:pPr>
      <w:bookmarkStart w:id="63" w:name="_Toc37770205"/>
      <w:r>
        <w:rPr>
          <w:rFonts w:hint="eastAsia"/>
          <w:sz w:val="30"/>
          <w:szCs w:val="30"/>
        </w:rPr>
        <w:lastRenderedPageBreak/>
        <w:t>第二部分</w:t>
      </w:r>
      <w:r>
        <w:rPr>
          <w:sz w:val="30"/>
          <w:szCs w:val="30"/>
        </w:rPr>
        <w:t xml:space="preserve">  </w:t>
      </w:r>
      <w:r>
        <w:rPr>
          <w:rFonts w:hint="eastAsia"/>
          <w:sz w:val="30"/>
          <w:szCs w:val="30"/>
        </w:rPr>
        <w:t>释义</w:t>
      </w:r>
      <w:bookmarkEnd w:id="63"/>
    </w:p>
    <w:p w14:paraId="67E69E09"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在本招募说明书中，除非文意另有所指，下列词语或简称具有如下含义：</w:t>
      </w:r>
    </w:p>
    <w:p w14:paraId="1549A2B4"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w:t>
      </w:r>
      <w:proofErr w:type="gramStart"/>
      <w:r>
        <w:rPr>
          <w:rFonts w:asciiTheme="minorEastAsia" w:hAnsiTheme="minorEastAsia" w:cs="Times New Roman" w:hint="eastAsia"/>
          <w:sz w:val="24"/>
          <w:szCs w:val="24"/>
        </w:rPr>
        <w:t>指富荣福</w:t>
      </w:r>
      <w:proofErr w:type="gramEnd"/>
      <w:r>
        <w:rPr>
          <w:rFonts w:asciiTheme="minorEastAsia" w:hAnsiTheme="minorEastAsia" w:cs="Times New Roman" w:hint="eastAsia"/>
          <w:sz w:val="24"/>
          <w:szCs w:val="24"/>
        </w:rPr>
        <w:t>锦混合型证券投资基金</w:t>
      </w:r>
    </w:p>
    <w:p w14:paraId="44F3884A"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w:t>
      </w:r>
    </w:p>
    <w:p w14:paraId="4DC061DD"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、基金托管人：指平安银行股份有限公司</w:t>
      </w:r>
    </w:p>
    <w:p w14:paraId="68773319"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、基金合同：指《富荣福锦混合型证券投资基金基金合同》及对基金合同的任何有效修订和补充</w:t>
      </w:r>
    </w:p>
    <w:p w14:paraId="3FF041CA"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、托管协议：指基金管理人与基金托管人就本基金签订之《富荣福锦混合型证券投资基金托管协议》及对该托管协议的任何有效修订和补充</w:t>
      </w:r>
    </w:p>
    <w:p w14:paraId="7F18B7F3"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、招募说明书或本招募说明书：指《富荣福锦混合型证券投资基金招募说明书》及其更新</w:t>
      </w:r>
    </w:p>
    <w:p w14:paraId="7255CFBF"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bCs/>
          <w:sz w:val="24"/>
          <w:szCs w:val="24"/>
        </w:rPr>
        <w:t>7</w:t>
      </w:r>
      <w:r>
        <w:rPr>
          <w:rFonts w:asciiTheme="minorEastAsia" w:hAnsiTheme="minorEastAsia" w:cs="Times New Roman" w:hint="eastAsia"/>
          <w:bCs/>
          <w:sz w:val="24"/>
          <w:szCs w:val="24"/>
        </w:rPr>
        <w:t>、基金产品资料概要：指《富荣福锦混合型证券投资基金基金产品资料概要》及其更新</w:t>
      </w:r>
    </w:p>
    <w:p w14:paraId="610FD6EF"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、基金份额发售公告：指《富荣福锦混合型证券投资基金基金份额发售公告》</w:t>
      </w:r>
    </w:p>
    <w:p w14:paraId="37B5751A"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475A3DF6"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基金法》：指2003年10月28日经第十届全国人民代表大会常务委员会第五次会议通过，并经2012年12月28日第十一届全国人民代表大会常务委员会第三十次会议修订，自2013年6月1日起实施的《中华人民共和国证券投资基金法》及颁布机关对其不时做出的修订</w:t>
      </w:r>
    </w:p>
    <w:p w14:paraId="6C07E633"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、《销售办法》：指中国证监会</w:t>
      </w:r>
      <w:r>
        <w:rPr>
          <w:rFonts w:asciiTheme="minorEastAsia" w:hAnsiTheme="minorEastAsia" w:cs="Times New Roman"/>
          <w:sz w:val="24"/>
          <w:szCs w:val="24"/>
        </w:rPr>
        <w:t>2013</w:t>
      </w:r>
      <w:r>
        <w:rPr>
          <w:rFonts w:asciiTheme="minorEastAsia" w:hAnsiTheme="minorEastAsia" w:cs="Times New Roman" w:hint="eastAsia"/>
          <w:sz w:val="24"/>
          <w:szCs w:val="24"/>
        </w:rPr>
        <w:t>年</w:t>
      </w:r>
      <w:r>
        <w:rPr>
          <w:rFonts w:asciiTheme="minorEastAsia" w:hAnsiTheme="minorEastAsia" w:cs="Times New Roman"/>
          <w:sz w:val="24"/>
          <w:szCs w:val="24"/>
        </w:rPr>
        <w:t>3</w:t>
      </w:r>
      <w:r>
        <w:rPr>
          <w:rFonts w:asciiTheme="minorEastAsia" w:hAnsiTheme="minorEastAsia" w:cs="Times New Roman" w:hint="eastAsia"/>
          <w:sz w:val="24"/>
          <w:szCs w:val="24"/>
        </w:rPr>
        <w:t>月</w:t>
      </w:r>
      <w:r>
        <w:rPr>
          <w:rFonts w:asciiTheme="minorEastAsia" w:hAnsiTheme="minorEastAsia" w:cs="Times New Roman"/>
          <w:sz w:val="24"/>
          <w:szCs w:val="24"/>
        </w:rPr>
        <w:t>15</w:t>
      </w:r>
      <w:r>
        <w:rPr>
          <w:rFonts w:asciiTheme="minorEastAsia" w:hAnsiTheme="minorEastAsia" w:cs="Times New Roman" w:hint="eastAsia"/>
          <w:sz w:val="24"/>
          <w:szCs w:val="24"/>
        </w:rPr>
        <w:t>日颁布、同年</w:t>
      </w:r>
      <w:r>
        <w:rPr>
          <w:rFonts w:asciiTheme="minorEastAsia" w:hAnsiTheme="minorEastAsia" w:cs="Times New Roman"/>
          <w:sz w:val="24"/>
          <w:szCs w:val="24"/>
        </w:rPr>
        <w:t>6</w:t>
      </w:r>
      <w:r>
        <w:rPr>
          <w:rFonts w:asciiTheme="minorEastAsia" w:hAnsiTheme="minorEastAsia" w:cs="Times New Roman" w:hint="eastAsia"/>
          <w:sz w:val="24"/>
          <w:szCs w:val="24"/>
        </w:rPr>
        <w:t>月</w:t>
      </w:r>
      <w:r>
        <w:rPr>
          <w:rFonts w:asciiTheme="minorEastAsia" w:hAnsiTheme="minorEastAsia" w:cs="Times New Roman"/>
          <w:sz w:val="24"/>
          <w:szCs w:val="24"/>
        </w:rPr>
        <w:t>1</w:t>
      </w:r>
      <w:r>
        <w:rPr>
          <w:rFonts w:asciiTheme="minorEastAsia" w:hAnsiTheme="minorEastAsia" w:cs="Times New Roman" w:hint="eastAsia"/>
          <w:sz w:val="24"/>
          <w:szCs w:val="24"/>
        </w:rPr>
        <w:t>日实施的《证券投资基金销售管理办法》及颁布机关对其不时做出的修订</w:t>
      </w:r>
    </w:p>
    <w:p w14:paraId="06171895"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日实施的《公开募集证券投资基金信息披露管理办法》</w:t>
      </w:r>
      <w:r>
        <w:rPr>
          <w:rFonts w:asciiTheme="minorEastAsia" w:hAnsiTheme="minorEastAsia" w:cs="Times New Roman" w:hint="eastAsia"/>
          <w:sz w:val="24"/>
          <w:szCs w:val="24"/>
        </w:rPr>
        <w:t>及颁布机关对其不时做出的修订</w:t>
      </w:r>
    </w:p>
    <w:p w14:paraId="3F16CEE4"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日实施的《公开募集证券投资基金运作管理办法》及颁布机关对其不时做出的修订</w:t>
      </w:r>
    </w:p>
    <w:p w14:paraId="690BD499"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w:t>
      </w:r>
      <w:r>
        <w:rPr>
          <w:rFonts w:asciiTheme="minorEastAsia" w:hAnsiTheme="minorEastAsia" w:cs="Times New Roman"/>
          <w:sz w:val="24"/>
          <w:szCs w:val="24"/>
        </w:rPr>
        <w:t>4</w:t>
      </w:r>
      <w:r>
        <w:rPr>
          <w:rFonts w:asciiTheme="minorEastAsia" w:hAnsiTheme="minorEastAsia" w:cs="Times New Roman" w:hint="eastAsia"/>
          <w:sz w:val="24"/>
          <w:szCs w:val="24"/>
        </w:rPr>
        <w:t>、《管理规定》：指中国证监会2017年8月31日颁布、同年10月1日实</w:t>
      </w:r>
      <w:r>
        <w:rPr>
          <w:rFonts w:asciiTheme="minorEastAsia" w:hAnsiTheme="minorEastAsia" w:cs="Times New Roman" w:hint="eastAsia"/>
          <w:sz w:val="24"/>
          <w:szCs w:val="24"/>
        </w:rPr>
        <w:lastRenderedPageBreak/>
        <w:t>施的《公开募集开放式证券投资基金流动性风险管理规定》及颁布机关对其不时做出的修订</w:t>
      </w:r>
    </w:p>
    <w:p w14:paraId="05E7CE46"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、中国证监会：指中国证券监督管理委员会</w:t>
      </w:r>
    </w:p>
    <w:p w14:paraId="28E0FAFE"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、银行业监督管理机构：指中国人民银行和</w:t>
      </w:r>
      <w:r>
        <w:rPr>
          <w:rFonts w:asciiTheme="minorEastAsia" w:hAnsiTheme="minorEastAsia" w:cs="Times New Roman"/>
          <w:sz w:val="24"/>
          <w:szCs w:val="24"/>
        </w:rPr>
        <w:t>/</w:t>
      </w:r>
      <w:r>
        <w:rPr>
          <w:rFonts w:asciiTheme="minorEastAsia" w:hAnsiTheme="minorEastAsia" w:cs="Times New Roman" w:hint="eastAsia"/>
          <w:sz w:val="24"/>
          <w:szCs w:val="24"/>
        </w:rPr>
        <w:t>或中国银行保险监督管理委员会</w:t>
      </w:r>
    </w:p>
    <w:p w14:paraId="5A09B884"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41F87C6A"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18</w:t>
      </w:r>
      <w:r>
        <w:rPr>
          <w:rFonts w:asciiTheme="minorEastAsia" w:hAnsiTheme="minorEastAsia" w:cs="Times New Roman" w:hint="eastAsia"/>
          <w:sz w:val="24"/>
          <w:szCs w:val="24"/>
        </w:rPr>
        <w:t>、个人投资者：指依据有关法律法规规定可投资于证券投资基金的自然人</w:t>
      </w:r>
    </w:p>
    <w:p w14:paraId="74C9CDE3"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7CEC866E"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、合格境外机构投资者：指符合《合格境外机构投资者境内证券投资管理办法》及相关法律法规规定可以投资于在中国境内依法募集的证券投资基金的中国境外的机构投资者</w:t>
      </w:r>
    </w:p>
    <w:p w14:paraId="18EE2BAA"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w:t>
      </w:r>
      <w:r>
        <w:rPr>
          <w:rFonts w:asciiTheme="minorEastAsia" w:hAnsiTheme="minorEastAsia" w:cs="Times New Roman"/>
          <w:sz w:val="24"/>
          <w:szCs w:val="24"/>
        </w:rPr>
        <w:t>1</w:t>
      </w:r>
      <w:r>
        <w:rPr>
          <w:rFonts w:asciiTheme="minorEastAsia" w:hAnsiTheme="minorEastAsia" w:cs="Times New Roman" w:hint="eastAsia"/>
          <w:sz w:val="24"/>
          <w:szCs w:val="24"/>
        </w:rPr>
        <w:t>、投资人：指个人投资者、机构投资者和合格境外机构投资者以及法律法规或中国证监会允许购买证券投资基金的其他投资人的合称</w:t>
      </w:r>
    </w:p>
    <w:p w14:paraId="040DDC6C"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、基金份额持有人：指依基金合同和招募说明书合法取得基金份额的投资人</w:t>
      </w:r>
    </w:p>
    <w:p w14:paraId="22CDCF89"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4C9F8C5E"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、销售机构：</w:t>
      </w:r>
      <w:proofErr w:type="gramStart"/>
      <w:r>
        <w:rPr>
          <w:rFonts w:asciiTheme="minorEastAsia" w:hAnsiTheme="minorEastAsia" w:cs="Times New Roman" w:hint="eastAsia"/>
          <w:sz w:val="24"/>
          <w:szCs w:val="24"/>
        </w:rPr>
        <w:t>指富荣基金</w:t>
      </w:r>
      <w:proofErr w:type="gramEnd"/>
      <w:r>
        <w:rPr>
          <w:rFonts w:asciiTheme="minorEastAsia" w:hAnsiTheme="minorEastAsia" w:cs="Times New Roman" w:hint="eastAsia"/>
          <w:sz w:val="24"/>
          <w:szCs w:val="24"/>
        </w:rPr>
        <w:t>管理有限公司以及符合《销售办法》和中国证监会规定的其他条件，取得基金销售业务资格并与基金管理人签订了基金销售服务协议，办理基金销售业务的机构</w:t>
      </w:r>
    </w:p>
    <w:p w14:paraId="1FD8C492"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59F9E762"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登记业务的机构。本基金的登记机构为富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管理有限公司或接受富</w:t>
      </w:r>
      <w:proofErr w:type="gramStart"/>
      <w:r>
        <w:rPr>
          <w:rFonts w:asciiTheme="minorEastAsia" w:hAnsiTheme="minorEastAsia" w:cs="Times New Roman" w:hint="eastAsia"/>
          <w:sz w:val="24"/>
          <w:szCs w:val="24"/>
        </w:rPr>
        <w:t>荣基金</w:t>
      </w:r>
      <w:proofErr w:type="gramEnd"/>
      <w:r>
        <w:rPr>
          <w:rFonts w:asciiTheme="minorEastAsia" w:hAnsiTheme="minorEastAsia" w:cs="Times New Roman" w:hint="eastAsia"/>
          <w:sz w:val="24"/>
          <w:szCs w:val="24"/>
        </w:rPr>
        <w:t>管理有限公司委托代为办理登记业务的机构</w:t>
      </w:r>
    </w:p>
    <w:p w14:paraId="632E8C57"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0BCADB79"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lastRenderedPageBreak/>
        <w:t>28</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、基金交易账户：指销售机构为投资人开立的、记录投资人通过该销售机构办理认购、申购、赎回、转换、转托管及定期定额投资等业务而引起的基金份额变动及结余情况的账户</w:t>
      </w:r>
    </w:p>
    <w:p w14:paraId="005259B9"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7248BA7D"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6B2734A9"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w:t>
      </w:r>
      <w:r>
        <w:rPr>
          <w:rFonts w:asciiTheme="minorEastAsia" w:hAnsiTheme="minorEastAsia" w:cs="Times New Roman"/>
          <w:sz w:val="24"/>
          <w:szCs w:val="24"/>
        </w:rPr>
        <w:t>1</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5A1C2B28"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、存续期：指基金合同生效至终止之间的不定期期限</w:t>
      </w:r>
    </w:p>
    <w:p w14:paraId="05B08FCD"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、工作日：指上海证券交易所、深圳证券交易所的正常交易日</w:t>
      </w:r>
    </w:p>
    <w:p w14:paraId="61895F06"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6E0F41D1"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w:t>
      </w:r>
    </w:p>
    <w:p w14:paraId="5A5CEA8E"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、开放日：指为投资人办理基金份额申购、赎回或其他业务的工作日</w:t>
      </w:r>
    </w:p>
    <w:p w14:paraId="399F3EB3"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、开放时间：指开放日基金接受申购、赎回或其他交易的时间段</w:t>
      </w:r>
    </w:p>
    <w:p w14:paraId="2D352F32"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6C6066A8"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、认购：指在基金募集期内，投资人根据基金合同和招募说明书的规定申请购买基金份额的行为</w:t>
      </w:r>
    </w:p>
    <w:p w14:paraId="494F1E89"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、申购：指基金合同生效后，投资人根据基金合同和招募说明书的规定申请购买基金份额的行为</w:t>
      </w:r>
    </w:p>
    <w:p w14:paraId="7B534FFF"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1</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4630EEDC"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5E484643"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、转托管：指基金份额持有人在本基金的不同销售机构之间实施的变更所</w:t>
      </w:r>
      <w:r>
        <w:rPr>
          <w:rFonts w:asciiTheme="minorEastAsia" w:hAnsiTheme="minorEastAsia" w:cs="Times New Roman" w:hint="eastAsia"/>
          <w:sz w:val="24"/>
          <w:szCs w:val="24"/>
        </w:rPr>
        <w:lastRenderedPageBreak/>
        <w:t>持基金份额销售机构的操作</w:t>
      </w:r>
    </w:p>
    <w:p w14:paraId="15BC581A"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758C962A"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2D69B65B"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、元：指人民币元</w:t>
      </w:r>
    </w:p>
    <w:p w14:paraId="4B858684"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5C865E67"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w:t>
      </w:r>
      <w:r>
        <w:rPr>
          <w:rFonts w:asciiTheme="minorEastAsia" w:hAnsiTheme="minorEastAsia" w:cs="Times New Roman"/>
          <w:sz w:val="24"/>
          <w:szCs w:val="24"/>
        </w:rPr>
        <w:t>8</w:t>
      </w:r>
      <w:r>
        <w:rPr>
          <w:rFonts w:asciiTheme="minorEastAsia" w:hAnsiTheme="minorEastAsia" w:cs="Times New Roman" w:hint="eastAsia"/>
          <w:sz w:val="24"/>
          <w:szCs w:val="24"/>
        </w:rPr>
        <w:t>、销售服务费：指本基金用于持续销售和服务基金份额持有人的费用，该笔费用从C类份额的基金财产中计提，属于基金的营运费用</w:t>
      </w:r>
    </w:p>
    <w:p w14:paraId="29E07733"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、基金资产总值：指基金拥有的各类有价证券、银行存款本息、基金应收申购款及其他资产的价值总和</w:t>
      </w:r>
    </w:p>
    <w:p w14:paraId="2349BAF1"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50</w:t>
      </w:r>
      <w:r>
        <w:rPr>
          <w:rFonts w:asciiTheme="minorEastAsia" w:hAnsiTheme="minorEastAsia" w:cs="Times New Roman" w:hint="eastAsia"/>
          <w:sz w:val="24"/>
          <w:szCs w:val="24"/>
        </w:rPr>
        <w:t>、基金资产净值：指基金资产总值减去基金负债后的价值</w:t>
      </w:r>
    </w:p>
    <w:p w14:paraId="5E957A1A"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1</w:t>
      </w:r>
      <w:r>
        <w:rPr>
          <w:rFonts w:asciiTheme="minorEastAsia" w:hAnsiTheme="minorEastAsia" w:cs="Times New Roman" w:hint="eastAsia"/>
          <w:sz w:val="24"/>
          <w:szCs w:val="24"/>
        </w:rPr>
        <w:t>、基金份额净值：指计算日基金资产净值除以计算日基金份额总数</w:t>
      </w:r>
    </w:p>
    <w:p w14:paraId="277A2D62"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2</w:t>
      </w:r>
      <w:r>
        <w:rPr>
          <w:rFonts w:asciiTheme="minorEastAsia" w:hAnsiTheme="minorEastAsia" w:cs="Times New Roman" w:hint="eastAsia"/>
          <w:sz w:val="24"/>
          <w:szCs w:val="24"/>
        </w:rPr>
        <w:t>、基金资产估值：指计算评估基金资产和负债的价值，以确定基金资产净值和基金份额净值的过程</w:t>
      </w:r>
    </w:p>
    <w:p w14:paraId="152BDEB2"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w:t>
      </w:r>
      <w:r>
        <w:rPr>
          <w:rFonts w:asciiTheme="minorEastAsia" w:hAnsiTheme="minorEastAsia" w:cs="Times New Roman"/>
          <w:sz w:val="24"/>
          <w:szCs w:val="24"/>
        </w:rPr>
        <w:t>3</w:t>
      </w:r>
      <w:r>
        <w:rPr>
          <w:rFonts w:asciiTheme="minorEastAsia" w:hAnsiTheme="minorEastAsia" w:cs="Times New Roman" w:hint="eastAsia"/>
          <w:sz w:val="24"/>
          <w:szCs w:val="24"/>
        </w:rPr>
        <w:t>、基金份额的类别：指本基金根据销售服务费收取方式的不同，将基金份额分为不同的类别</w:t>
      </w:r>
    </w:p>
    <w:p w14:paraId="4F0B2130"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54</w:t>
      </w:r>
      <w:r>
        <w:rPr>
          <w:rFonts w:asciiTheme="minorEastAsia" w:hAnsiTheme="minorEastAsia" w:cs="Times New Roman" w:hint="eastAsia"/>
          <w:sz w:val="24"/>
          <w:szCs w:val="24"/>
        </w:rPr>
        <w:t>、</w:t>
      </w:r>
      <w:r>
        <w:rPr>
          <w:rFonts w:asciiTheme="minorEastAsia" w:hAnsiTheme="minorEastAsia" w:cs="Times New Roman"/>
          <w:sz w:val="24"/>
          <w:szCs w:val="24"/>
        </w:rPr>
        <w:t>A</w:t>
      </w:r>
      <w:r>
        <w:rPr>
          <w:rFonts w:asciiTheme="minorEastAsia" w:hAnsiTheme="minorEastAsia" w:cs="Times New Roman" w:hint="eastAsia"/>
          <w:sz w:val="24"/>
          <w:szCs w:val="24"/>
        </w:rPr>
        <w:t>类基金份额：指在投资者认购、申购时收取前端认购、申购费用，</w:t>
      </w:r>
      <w:r>
        <w:rPr>
          <w:rFonts w:hint="eastAsia"/>
          <w:bCs/>
          <w:sz w:val="24"/>
          <w:szCs w:val="24"/>
        </w:rPr>
        <w:t>在赎回时根据持有期限收取赎回费用的基金份额</w:t>
      </w:r>
      <w:r>
        <w:rPr>
          <w:bCs/>
          <w:sz w:val="24"/>
          <w:szCs w:val="24"/>
        </w:rPr>
        <w:t>，</w:t>
      </w:r>
      <w:r>
        <w:rPr>
          <w:rFonts w:asciiTheme="minorEastAsia" w:hAnsiTheme="minorEastAsia" w:cs="Times New Roman" w:hint="eastAsia"/>
          <w:sz w:val="24"/>
          <w:szCs w:val="24"/>
        </w:rPr>
        <w:t>而不从本类别基金资产中计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7905160F"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sz w:val="24"/>
          <w:szCs w:val="24"/>
        </w:rPr>
        <w:t>55</w:t>
      </w:r>
      <w:r>
        <w:rPr>
          <w:rFonts w:asciiTheme="minorEastAsia" w:hAnsiTheme="minorEastAsia" w:cs="Times New Roman" w:hint="eastAsia"/>
          <w:sz w:val="24"/>
          <w:szCs w:val="24"/>
        </w:rPr>
        <w:t>、</w:t>
      </w:r>
      <w:r>
        <w:rPr>
          <w:rFonts w:asciiTheme="minorEastAsia" w:hAnsiTheme="minorEastAsia" w:cs="Times New Roman"/>
          <w:sz w:val="24"/>
          <w:szCs w:val="24"/>
        </w:rPr>
        <w:t>C</w:t>
      </w:r>
      <w:r>
        <w:rPr>
          <w:rFonts w:asciiTheme="minorEastAsia" w:hAnsiTheme="minorEastAsia" w:cs="Times New Roman" w:hint="eastAsia"/>
          <w:sz w:val="24"/>
          <w:szCs w:val="24"/>
        </w:rPr>
        <w:t>类基金份额：指在投资者认购、申购时不收取前端认购、申购费用，</w:t>
      </w:r>
      <w:r>
        <w:rPr>
          <w:rFonts w:hint="eastAsia"/>
          <w:bCs/>
          <w:sz w:val="24"/>
          <w:szCs w:val="24"/>
        </w:rPr>
        <w:t>在赎回时根据持有期限收取赎回费用，且</w:t>
      </w:r>
      <w:r>
        <w:rPr>
          <w:rFonts w:asciiTheme="minorEastAsia" w:hAnsiTheme="minorEastAsia" w:cs="Times New Roman" w:hint="eastAsia"/>
          <w:sz w:val="24"/>
          <w:szCs w:val="24"/>
        </w:rPr>
        <w:t>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服务费的基金份额类别</w:t>
      </w:r>
    </w:p>
    <w:p w14:paraId="532C45AB" w14:textId="77777777" w:rsidR="0046184B" w:rsidRDefault="00000000">
      <w:pPr>
        <w:spacing w:line="360" w:lineRule="auto"/>
        <w:ind w:firstLineChars="200" w:firstLine="480"/>
        <w:rPr>
          <w:bCs/>
          <w:sz w:val="24"/>
          <w:szCs w:val="24"/>
        </w:rPr>
      </w:pPr>
      <w:r>
        <w:rPr>
          <w:rFonts w:hint="eastAsia"/>
          <w:bCs/>
          <w:sz w:val="24"/>
          <w:szCs w:val="24"/>
        </w:rPr>
        <w:t>5</w:t>
      </w:r>
      <w:r>
        <w:rPr>
          <w:bCs/>
          <w:sz w:val="24"/>
          <w:szCs w:val="24"/>
        </w:rPr>
        <w:t>6</w:t>
      </w:r>
      <w:r>
        <w:rPr>
          <w:rFonts w:hint="eastAsia"/>
          <w:bCs/>
          <w:sz w:val="24"/>
          <w:szCs w:val="24"/>
        </w:rPr>
        <w:t>、流动性受限资产：是指由于法律法规、监管、合同或操作障碍等原因无法以合理价格予以变现的资产，包括但不限于到期日在</w:t>
      </w:r>
      <w:r>
        <w:rPr>
          <w:rFonts w:hint="eastAsia"/>
          <w:bCs/>
          <w:sz w:val="24"/>
          <w:szCs w:val="24"/>
        </w:rPr>
        <w:t xml:space="preserve">10 </w:t>
      </w:r>
      <w:proofErr w:type="gramStart"/>
      <w:r>
        <w:rPr>
          <w:rFonts w:hint="eastAsia"/>
          <w:bCs/>
          <w:sz w:val="24"/>
          <w:szCs w:val="24"/>
        </w:rPr>
        <w:t>个</w:t>
      </w:r>
      <w:proofErr w:type="gramEnd"/>
      <w:r>
        <w:rPr>
          <w:rFonts w:hint="eastAsia"/>
          <w:bCs/>
          <w:sz w:val="24"/>
          <w:szCs w:val="24"/>
        </w:rPr>
        <w:t>交易日以上的逆回购与银行定期存款（</w:t>
      </w:r>
      <w:proofErr w:type="gramStart"/>
      <w:r>
        <w:rPr>
          <w:rFonts w:hint="eastAsia"/>
          <w:bCs/>
          <w:sz w:val="24"/>
          <w:szCs w:val="24"/>
        </w:rPr>
        <w:t>含协议</w:t>
      </w:r>
      <w:proofErr w:type="gramEnd"/>
      <w:r>
        <w:rPr>
          <w:rFonts w:hint="eastAsia"/>
          <w:bCs/>
          <w:sz w:val="24"/>
          <w:szCs w:val="24"/>
        </w:rPr>
        <w:t>约定有条件提前支取的银行存款）、停牌股票、流通受限的新股及非公开发行股票、资产支持证券、因发行人债务违约无法进行转让</w:t>
      </w:r>
      <w:r>
        <w:rPr>
          <w:rFonts w:hint="eastAsia"/>
          <w:bCs/>
          <w:sz w:val="24"/>
          <w:szCs w:val="24"/>
        </w:rPr>
        <w:lastRenderedPageBreak/>
        <w:t>或交易的债券等</w:t>
      </w:r>
    </w:p>
    <w:p w14:paraId="647993A6" w14:textId="77777777" w:rsidR="0046184B" w:rsidRDefault="00000000">
      <w:pPr>
        <w:spacing w:line="360" w:lineRule="auto"/>
        <w:ind w:firstLineChars="200" w:firstLine="480"/>
        <w:rPr>
          <w:bCs/>
          <w:sz w:val="24"/>
          <w:szCs w:val="24"/>
        </w:rPr>
      </w:pPr>
      <w:r>
        <w:rPr>
          <w:rFonts w:hint="eastAsia"/>
          <w:bCs/>
          <w:sz w:val="24"/>
          <w:szCs w:val="24"/>
        </w:rPr>
        <w:t>5</w:t>
      </w:r>
      <w:r>
        <w:rPr>
          <w:bCs/>
          <w:sz w:val="24"/>
          <w:szCs w:val="24"/>
        </w:rPr>
        <w:t>7</w:t>
      </w:r>
      <w:r>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2722420A" w14:textId="77777777" w:rsidR="0046184B" w:rsidRDefault="00000000">
      <w:pPr>
        <w:spacing w:line="360" w:lineRule="auto"/>
        <w:ind w:firstLineChars="200" w:firstLine="460"/>
        <w:rPr>
          <w:bCs/>
          <w:sz w:val="24"/>
          <w:szCs w:val="24"/>
        </w:rPr>
      </w:pPr>
      <w:r>
        <w:rPr>
          <w:kern w:val="0"/>
          <w:sz w:val="23"/>
          <w:szCs w:val="23"/>
        </w:rPr>
        <w:t>58</w:t>
      </w:r>
      <w:r>
        <w:rPr>
          <w:rFonts w:hint="eastAsia"/>
          <w:bCs/>
          <w:sz w:val="24"/>
          <w:szCs w:val="24"/>
        </w:rPr>
        <w:t>、</w:t>
      </w:r>
      <w:r>
        <w:rPr>
          <w:bCs/>
          <w:sz w:val="24"/>
          <w:szCs w:val="24"/>
        </w:rPr>
        <w:t>指定媒</w:t>
      </w:r>
      <w:r>
        <w:rPr>
          <w:rFonts w:hint="eastAsia"/>
          <w:bCs/>
          <w:sz w:val="24"/>
          <w:szCs w:val="24"/>
        </w:rPr>
        <w:t>介</w:t>
      </w:r>
      <w:r>
        <w:rPr>
          <w:bCs/>
          <w:sz w:val="24"/>
          <w:szCs w:val="24"/>
        </w:rPr>
        <w:t>：</w:t>
      </w:r>
      <w:r>
        <w:rPr>
          <w:rFonts w:hint="eastAsia"/>
          <w:bCs/>
          <w:kern w:val="0"/>
          <w:sz w:val="24"/>
        </w:rPr>
        <w:t>指中国证监会指定的用以进行信息披露的全国性报刊及指定互联网网站（包括基金管理人网站、基金托管人网站、中国证监会基金电子披露网站）等媒介</w:t>
      </w:r>
    </w:p>
    <w:p w14:paraId="3191AC07" w14:textId="77777777" w:rsidR="0046184B" w:rsidRDefault="00000000">
      <w:pPr>
        <w:spacing w:line="360" w:lineRule="auto"/>
        <w:ind w:firstLineChars="200" w:firstLine="480"/>
        <w:rPr>
          <w:b/>
          <w:bCs/>
        </w:rPr>
        <w:sectPr w:rsidR="0046184B">
          <w:footerReference w:type="default" r:id="rId11"/>
          <w:pgSz w:w="11906" w:h="16838"/>
          <w:pgMar w:top="1440" w:right="1800" w:bottom="1440" w:left="1800" w:header="851" w:footer="992" w:gutter="0"/>
          <w:pgNumType w:start="5" w:chapStyle="1"/>
          <w:cols w:space="720"/>
          <w:docGrid w:type="lines" w:linePitch="312"/>
        </w:sectPr>
      </w:pPr>
      <w:r>
        <w:rPr>
          <w:rFonts w:hint="eastAsia"/>
          <w:bCs/>
          <w:sz w:val="24"/>
          <w:szCs w:val="24"/>
        </w:rPr>
        <w:t>5</w:t>
      </w:r>
      <w:r>
        <w:rPr>
          <w:bCs/>
          <w:sz w:val="24"/>
          <w:szCs w:val="24"/>
        </w:rPr>
        <w:t>9</w:t>
      </w:r>
      <w:r>
        <w:rPr>
          <w:rFonts w:hint="eastAsia"/>
          <w:bCs/>
          <w:sz w:val="24"/>
          <w:szCs w:val="24"/>
        </w:rPr>
        <w:t>、</w:t>
      </w:r>
      <w:r>
        <w:rPr>
          <w:bCs/>
          <w:sz w:val="24"/>
          <w:szCs w:val="24"/>
        </w:rPr>
        <w:t>不可抗力：指本</w:t>
      </w:r>
      <w:r>
        <w:rPr>
          <w:rFonts w:hint="eastAsia"/>
          <w:bCs/>
          <w:sz w:val="24"/>
          <w:szCs w:val="24"/>
        </w:rPr>
        <w:t>基金</w:t>
      </w:r>
      <w:r>
        <w:rPr>
          <w:bCs/>
          <w:sz w:val="24"/>
          <w:szCs w:val="24"/>
        </w:rPr>
        <w:t>合同当事人不能预见、不能避免且不能克服的客观事件</w:t>
      </w:r>
    </w:p>
    <w:p w14:paraId="3BCE8C56" w14:textId="77777777" w:rsidR="0046184B" w:rsidRDefault="00000000">
      <w:pPr>
        <w:pStyle w:val="1"/>
        <w:jc w:val="center"/>
        <w:rPr>
          <w:sz w:val="30"/>
          <w:szCs w:val="30"/>
        </w:rPr>
      </w:pPr>
      <w:bookmarkStart w:id="64" w:name="_Toc416264539"/>
      <w:bookmarkStart w:id="65" w:name="_Toc37770206"/>
      <w:bookmarkStart w:id="66" w:name="_Toc263092311"/>
      <w:bookmarkStart w:id="67" w:name="_Toc410197817"/>
      <w:bookmarkStart w:id="68" w:name="_Toc352229749"/>
      <w:bookmarkStart w:id="69" w:name="_Toc24682"/>
      <w:bookmarkStart w:id="70" w:name="_Toc6714"/>
      <w:bookmarkStart w:id="71" w:name="_Toc29784"/>
      <w:bookmarkStart w:id="72" w:name="_Toc27189"/>
      <w:bookmarkStart w:id="73" w:name="_Toc27226"/>
      <w:bookmarkStart w:id="74" w:name="_Toc90742390"/>
      <w:bookmarkStart w:id="75" w:name="_Toc22074"/>
      <w:bookmarkStart w:id="76" w:name="_Toc7151"/>
      <w:bookmarkStart w:id="77" w:name="_Toc16265"/>
      <w:bookmarkStart w:id="78" w:name="_Toc3266"/>
      <w:bookmarkStart w:id="79" w:name="_Toc90742688"/>
      <w:bookmarkStart w:id="80" w:name="_Toc15203"/>
      <w:bookmarkStart w:id="81" w:name="_Toc90742321"/>
      <w:bookmarkStart w:id="82" w:name="_Toc29948"/>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4"/>
      <w:bookmarkEnd w:id="65"/>
      <w:bookmarkEnd w:id="66"/>
    </w:p>
    <w:p w14:paraId="2BE5AD77" w14:textId="77777777" w:rsidR="0046184B" w:rsidRDefault="00000000">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一、基金管理人概况</w:t>
      </w:r>
    </w:p>
    <w:p w14:paraId="253C866C" w14:textId="77777777" w:rsidR="0046184B"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名称：富</w:t>
      </w:r>
      <w:proofErr w:type="gramStart"/>
      <w:r>
        <w:rPr>
          <w:rFonts w:asciiTheme="minorEastAsia" w:hAnsiTheme="minorEastAsia" w:cs="Times New Roman" w:hint="eastAsia"/>
          <w:kern w:val="0"/>
          <w:sz w:val="24"/>
          <w:szCs w:val="24"/>
        </w:rPr>
        <w:t>荣基金</w:t>
      </w:r>
      <w:proofErr w:type="gramEnd"/>
      <w:r>
        <w:rPr>
          <w:rFonts w:asciiTheme="minorEastAsia" w:hAnsiTheme="minorEastAsia" w:cs="Times New Roman" w:hint="eastAsia"/>
          <w:kern w:val="0"/>
          <w:sz w:val="24"/>
          <w:szCs w:val="24"/>
        </w:rPr>
        <w:t>管理有限公司</w:t>
      </w:r>
    </w:p>
    <w:p w14:paraId="1DFDAF0F" w14:textId="77777777" w:rsidR="0046184B"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住所：广东省广州市南沙区横</w:t>
      </w:r>
      <w:proofErr w:type="gramStart"/>
      <w:r>
        <w:rPr>
          <w:rFonts w:asciiTheme="minorEastAsia" w:hAnsiTheme="minorEastAsia" w:cs="Times New Roman" w:hint="eastAsia"/>
          <w:kern w:val="0"/>
          <w:sz w:val="24"/>
          <w:szCs w:val="24"/>
        </w:rPr>
        <w:t>沥</w:t>
      </w:r>
      <w:proofErr w:type="gramEnd"/>
      <w:r>
        <w:rPr>
          <w:rFonts w:asciiTheme="minorEastAsia" w:hAnsiTheme="minorEastAsia" w:cs="Times New Roman" w:hint="eastAsia"/>
          <w:kern w:val="0"/>
          <w:sz w:val="24"/>
          <w:szCs w:val="24"/>
        </w:rPr>
        <w:t>镇汇通二街2号3110房</w:t>
      </w:r>
    </w:p>
    <w:p w14:paraId="2831936A" w14:textId="77777777" w:rsidR="0046184B"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w:t>
      </w:r>
      <w:proofErr w:type="gramStart"/>
      <w:r>
        <w:rPr>
          <w:rFonts w:asciiTheme="minorEastAsia" w:hAnsiTheme="minorEastAsia" w:cs="Times New Roman" w:hint="eastAsia"/>
          <w:kern w:val="0"/>
          <w:sz w:val="24"/>
          <w:szCs w:val="24"/>
        </w:rPr>
        <w:t>尔大厦</w:t>
      </w:r>
      <w:proofErr w:type="gramEnd"/>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10F10F7E" w14:textId="77777777" w:rsidR="0046184B"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王亦伟</w:t>
      </w:r>
    </w:p>
    <w:p w14:paraId="0AEC2147" w14:textId="77777777" w:rsidR="0046184B"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成立时间：2016年1月25日</w:t>
      </w:r>
    </w:p>
    <w:p w14:paraId="1FC565BB" w14:textId="77777777" w:rsidR="0046184B"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注册资本：2亿元人民币</w:t>
      </w:r>
    </w:p>
    <w:p w14:paraId="72DC6E9A" w14:textId="77777777" w:rsidR="0046184B"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存续期间：持续经营</w:t>
      </w:r>
    </w:p>
    <w:p w14:paraId="0D8C0894" w14:textId="77777777" w:rsidR="0046184B"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联系人：罗艳</w:t>
      </w:r>
    </w:p>
    <w:p w14:paraId="5031C857" w14:textId="77777777" w:rsidR="0046184B" w:rsidRDefault="00000000">
      <w:pPr>
        <w:spacing w:line="360" w:lineRule="auto"/>
        <w:ind w:firstLineChars="200" w:firstLine="480"/>
        <w:rPr>
          <w:rFonts w:asciiTheme="minorEastAsia" w:hAnsiTheme="minorEastAsia" w:cs="Times New Roman" w:hint="eastAsia"/>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6637</w:t>
      </w:r>
    </w:p>
    <w:p w14:paraId="20DFA2C0" w14:textId="77777777" w:rsidR="0046184B" w:rsidRDefault="00000000">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46184B" w14:paraId="682773E3"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E735DDE" w14:textId="77777777" w:rsidR="0046184B"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6AE4D760" w14:textId="77777777" w:rsidR="0046184B"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出资比例</w:t>
            </w:r>
          </w:p>
        </w:tc>
      </w:tr>
      <w:tr w:rsidR="0046184B" w14:paraId="41AA204E"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4C95A89A" w14:textId="77777777" w:rsidR="0046184B"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471ED52" w14:textId="77777777" w:rsidR="0046184B"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w:t>
            </w:r>
          </w:p>
        </w:tc>
      </w:tr>
      <w:tr w:rsidR="0046184B" w14:paraId="43E2C619"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6A62F0C" w14:textId="77777777" w:rsidR="0046184B"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2067A99E" w14:textId="77777777" w:rsidR="0046184B"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45.1%</w:t>
            </w:r>
          </w:p>
        </w:tc>
      </w:tr>
      <w:tr w:rsidR="0046184B" w14:paraId="75B7099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6DD693A8" w14:textId="77777777" w:rsidR="0046184B" w:rsidRDefault="00000000">
            <w:pPr>
              <w:spacing w:line="360" w:lineRule="auto"/>
              <w:jc w:val="center"/>
              <w:rPr>
                <w:rFonts w:asciiTheme="minorEastAsia" w:hAnsiTheme="minorEastAsia" w:cs="Arial" w:hint="eastAsia"/>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5BEB876B" w14:textId="77777777" w:rsidR="0046184B" w:rsidRDefault="00000000">
            <w:pPr>
              <w:spacing w:line="360"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4.9%</w:t>
            </w:r>
          </w:p>
        </w:tc>
      </w:tr>
    </w:tbl>
    <w:p w14:paraId="09F780AF" w14:textId="77777777" w:rsidR="0046184B" w:rsidRDefault="0046184B">
      <w:pPr>
        <w:adjustRightInd w:val="0"/>
        <w:snapToGrid w:val="0"/>
        <w:spacing w:line="360" w:lineRule="auto"/>
        <w:ind w:firstLineChars="200" w:firstLine="480"/>
        <w:rPr>
          <w:rFonts w:asciiTheme="minorEastAsia" w:hAnsiTheme="minorEastAsia" w:cs="Arial" w:hint="eastAsia"/>
          <w:kern w:val="0"/>
          <w:sz w:val="24"/>
          <w:szCs w:val="24"/>
        </w:rPr>
      </w:pPr>
    </w:p>
    <w:p w14:paraId="77106E3F" w14:textId="77777777" w:rsidR="0046184B" w:rsidRDefault="00000000">
      <w:pPr>
        <w:spacing w:line="360" w:lineRule="auto"/>
        <w:ind w:firstLineChars="200" w:firstLine="482"/>
        <w:rPr>
          <w:rFonts w:asciiTheme="minorEastAsia" w:hAnsiTheme="minorEastAsia" w:cs="Times New Roman" w:hint="eastAsia"/>
          <w:b/>
          <w:kern w:val="0"/>
          <w:sz w:val="24"/>
          <w:szCs w:val="24"/>
        </w:rPr>
      </w:pPr>
      <w:r>
        <w:rPr>
          <w:rFonts w:asciiTheme="minorEastAsia" w:hAnsiTheme="minorEastAsia" w:cs="Times New Roman" w:hint="eastAsia"/>
          <w:b/>
          <w:kern w:val="0"/>
          <w:sz w:val="24"/>
          <w:szCs w:val="24"/>
        </w:rPr>
        <w:t>二、主要成员情况</w:t>
      </w:r>
    </w:p>
    <w:p w14:paraId="4C625B53"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1、董事会成员</w:t>
      </w:r>
    </w:p>
    <w:p w14:paraId="7456637A" w14:textId="561E88A3"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投资有限公司总经理、党支部书记、董事、董事长，广州新中轴建设有限公司财务总监、董事长、法人代表。现任广州产业投资基金管理有限公司党委书记、董事长、法定代表人，中国文化产业投资</w:t>
      </w:r>
      <w:proofErr w:type="gramStart"/>
      <w:r>
        <w:rPr>
          <w:rFonts w:asciiTheme="minorEastAsia" w:hAnsiTheme="minorEastAsia" w:cs="Arial" w:hint="eastAsia"/>
          <w:kern w:val="0"/>
          <w:sz w:val="24"/>
          <w:szCs w:val="24"/>
        </w:rPr>
        <w:t>母基金</w:t>
      </w:r>
      <w:proofErr w:type="gramEnd"/>
      <w:r>
        <w:rPr>
          <w:rFonts w:asciiTheme="minorEastAsia" w:hAnsiTheme="minorEastAsia" w:cs="Arial" w:hint="eastAsia"/>
          <w:kern w:val="0"/>
          <w:sz w:val="24"/>
          <w:szCs w:val="24"/>
        </w:rPr>
        <w:t>管理有限公司董事，广州城</w:t>
      </w:r>
      <w:proofErr w:type="gramStart"/>
      <w:r>
        <w:rPr>
          <w:rFonts w:asciiTheme="minorEastAsia" w:hAnsiTheme="minorEastAsia" w:cs="Arial" w:hint="eastAsia"/>
          <w:kern w:val="0"/>
          <w:sz w:val="24"/>
          <w:szCs w:val="24"/>
        </w:rPr>
        <w:t>恒</w:t>
      </w:r>
      <w:proofErr w:type="gramEnd"/>
      <w:r>
        <w:rPr>
          <w:rFonts w:asciiTheme="minorEastAsia" w:hAnsiTheme="minorEastAsia" w:cs="Arial" w:hint="eastAsia"/>
          <w:kern w:val="0"/>
          <w:sz w:val="24"/>
          <w:szCs w:val="24"/>
        </w:rPr>
        <w:t>城市更新投资有限公司董事长、法定代表人，广州市城</w:t>
      </w:r>
      <w:proofErr w:type="gramStart"/>
      <w:r>
        <w:rPr>
          <w:rFonts w:asciiTheme="minorEastAsia" w:hAnsiTheme="minorEastAsia" w:cs="Arial" w:hint="eastAsia"/>
          <w:kern w:val="0"/>
          <w:sz w:val="24"/>
          <w:szCs w:val="24"/>
        </w:rPr>
        <w:t>投</w:t>
      </w:r>
      <w:proofErr w:type="gramEnd"/>
      <w:r>
        <w:rPr>
          <w:rFonts w:asciiTheme="minorEastAsia" w:hAnsiTheme="minorEastAsia" w:cs="Arial" w:hint="eastAsia"/>
          <w:kern w:val="0"/>
          <w:sz w:val="24"/>
          <w:szCs w:val="24"/>
        </w:rPr>
        <w:t>投资有限公司董事，富</w:t>
      </w:r>
      <w:proofErr w:type="gramStart"/>
      <w:r>
        <w:rPr>
          <w:rFonts w:asciiTheme="minorEastAsia" w:hAnsiTheme="minorEastAsia" w:cs="Arial" w:hint="eastAsia"/>
          <w:kern w:val="0"/>
          <w:sz w:val="24"/>
          <w:szCs w:val="24"/>
        </w:rPr>
        <w:t>荣基金</w:t>
      </w:r>
      <w:proofErr w:type="gramEnd"/>
      <w:r>
        <w:rPr>
          <w:rFonts w:asciiTheme="minorEastAsia" w:hAnsiTheme="minorEastAsia" w:cs="Arial" w:hint="eastAsia"/>
          <w:kern w:val="0"/>
          <w:sz w:val="24"/>
          <w:szCs w:val="24"/>
        </w:rPr>
        <w:t>管理有限公司董事长、法定代表人。</w:t>
      </w:r>
    </w:p>
    <w:p w14:paraId="313347D7"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富荣基金管理有限公司董事长。现任富荣基金管理有限公司董事、总经理、首席信息官、代行督察长。</w:t>
      </w:r>
    </w:p>
    <w:p w14:paraId="1757DB26" w14:textId="6C6CCBC0"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赵宏伟先生，董事，对外经济贸易大学硕士。历任北京大成律师事务所证券律师、当代北方（北京）投资有限公司总裁、黑龙江北美工业大麻科技有限公司总裁，广州产业投资基金管理有限公司风险管理部总经理、法</w:t>
      </w:r>
      <w:proofErr w:type="gramStart"/>
      <w:r>
        <w:rPr>
          <w:rFonts w:asciiTheme="minorEastAsia" w:hAnsiTheme="minorEastAsia" w:cs="Arial"/>
          <w:kern w:val="0"/>
          <w:sz w:val="24"/>
          <w:szCs w:val="24"/>
        </w:rPr>
        <w:t>务风控部</w:t>
      </w:r>
      <w:proofErr w:type="gramEnd"/>
      <w:r>
        <w:rPr>
          <w:rFonts w:asciiTheme="minorEastAsia" w:hAnsiTheme="minorEastAsia" w:cs="Arial"/>
          <w:kern w:val="0"/>
          <w:sz w:val="24"/>
          <w:szCs w:val="24"/>
        </w:rPr>
        <w:t>总经理</w:t>
      </w:r>
      <w:r>
        <w:rPr>
          <w:rFonts w:asciiTheme="minorEastAsia" w:hAnsiTheme="minorEastAsia" w:cs="Arial" w:hint="eastAsia"/>
          <w:kern w:val="0"/>
          <w:sz w:val="24"/>
          <w:szCs w:val="24"/>
        </w:rPr>
        <w:t>，广州基金国际股权投资基金管理有限公司党支部副书记、总经理。</w:t>
      </w:r>
      <w:r>
        <w:rPr>
          <w:rFonts w:asciiTheme="minorEastAsia" w:hAnsiTheme="minorEastAsia" w:cs="Arial"/>
          <w:kern w:val="0"/>
          <w:sz w:val="24"/>
          <w:szCs w:val="24"/>
        </w:rPr>
        <w:t>现任</w:t>
      </w:r>
      <w:r>
        <w:rPr>
          <w:rFonts w:asciiTheme="minorEastAsia" w:hAnsiTheme="minorEastAsia" w:cs="Arial" w:hint="eastAsia"/>
          <w:kern w:val="0"/>
          <w:sz w:val="24"/>
          <w:szCs w:val="24"/>
        </w:rPr>
        <w:t>广州产业投资基金管理有限公司投资管理部总经理，广州基金国际股权投资基金管理有限公司党支部副书记、总经理，富荣基金管理有限公司董事。</w:t>
      </w:r>
    </w:p>
    <w:p w14:paraId="207F04B1" w14:textId="1131C111"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郭涛先生，董事， 上海交通大学高级管理人员工商管理专业硕士。</w:t>
      </w:r>
      <w:proofErr w:type="gramStart"/>
      <w:r>
        <w:rPr>
          <w:rFonts w:asciiTheme="minorEastAsia" w:hAnsiTheme="minorEastAsia" w:cs="Arial" w:hint="eastAsia"/>
          <w:kern w:val="0"/>
          <w:sz w:val="24"/>
        </w:rPr>
        <w:t>曾任津沪</w:t>
      </w:r>
      <w:proofErr w:type="gramEnd"/>
      <w:r>
        <w:rPr>
          <w:rFonts w:asciiTheme="minorEastAsia" w:hAnsiTheme="minorEastAsia" w:cs="Arial" w:hint="eastAsia"/>
          <w:kern w:val="0"/>
          <w:sz w:val="24"/>
        </w:rPr>
        <w:t>深生物医药科技有限公司董事。</w:t>
      </w:r>
      <w:r>
        <w:rPr>
          <w:rFonts w:asciiTheme="minorEastAsia" w:hAnsiTheme="minorEastAsia" w:cs="Arial" w:hint="eastAsia"/>
          <w:kern w:val="0"/>
          <w:sz w:val="24"/>
          <w:szCs w:val="24"/>
        </w:rPr>
        <w:t>现任</w:t>
      </w:r>
      <w:proofErr w:type="gramStart"/>
      <w:r>
        <w:rPr>
          <w:rFonts w:asciiTheme="minorEastAsia" w:hAnsiTheme="minorEastAsia" w:cs="Arial" w:hint="eastAsia"/>
          <w:kern w:val="0"/>
          <w:sz w:val="24"/>
          <w:szCs w:val="24"/>
        </w:rPr>
        <w:t>深圳市亿尔德</w:t>
      </w:r>
      <w:proofErr w:type="gramEnd"/>
      <w:r>
        <w:rPr>
          <w:rFonts w:asciiTheme="minorEastAsia" w:hAnsiTheme="minorEastAsia" w:cs="Arial" w:hint="eastAsia"/>
          <w:kern w:val="0"/>
          <w:sz w:val="24"/>
          <w:szCs w:val="24"/>
        </w:rPr>
        <w:t>投资有限公司总经理、执行董事；</w:t>
      </w:r>
      <w:proofErr w:type="gramStart"/>
      <w:r>
        <w:rPr>
          <w:rFonts w:asciiTheme="minorEastAsia" w:hAnsiTheme="minorEastAsia" w:cs="Arial" w:hint="eastAsia"/>
          <w:kern w:val="0"/>
          <w:sz w:val="24"/>
          <w:szCs w:val="24"/>
        </w:rPr>
        <w:t>微愿数智</w:t>
      </w:r>
      <w:proofErr w:type="gramEnd"/>
      <w:r>
        <w:rPr>
          <w:rFonts w:asciiTheme="minorEastAsia" w:hAnsiTheme="minorEastAsia" w:cs="Arial" w:hint="eastAsia"/>
          <w:kern w:val="0"/>
          <w:sz w:val="24"/>
          <w:szCs w:val="24"/>
        </w:rPr>
        <w:t>（深圳）健康科技有限公司总经理、执行董事；</w:t>
      </w:r>
      <w:proofErr w:type="gramStart"/>
      <w:r>
        <w:rPr>
          <w:rFonts w:asciiTheme="minorEastAsia" w:hAnsiTheme="minorEastAsia" w:cs="Arial" w:hint="eastAsia"/>
          <w:kern w:val="0"/>
          <w:sz w:val="24"/>
          <w:szCs w:val="24"/>
        </w:rPr>
        <w:t>深圳市盈投荣达</w:t>
      </w:r>
      <w:proofErr w:type="gramEnd"/>
      <w:r>
        <w:rPr>
          <w:rFonts w:asciiTheme="minorEastAsia" w:hAnsiTheme="minorEastAsia" w:cs="Arial" w:hint="eastAsia"/>
          <w:kern w:val="0"/>
          <w:sz w:val="24"/>
          <w:szCs w:val="24"/>
        </w:rPr>
        <w:t>科技有限公司董事长、总经理；深圳市嘉年印</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有限公司董事长；深圳市盈实发展有限公司董事长；深圳市</w:t>
      </w:r>
      <w:proofErr w:type="gramStart"/>
      <w:r>
        <w:rPr>
          <w:rFonts w:asciiTheme="minorEastAsia" w:hAnsiTheme="minorEastAsia" w:cs="Arial" w:hint="eastAsia"/>
          <w:kern w:val="0"/>
          <w:sz w:val="24"/>
          <w:szCs w:val="24"/>
        </w:rPr>
        <w:t>盈致未来文创管理</w:t>
      </w:r>
      <w:proofErr w:type="gramEnd"/>
      <w:r>
        <w:rPr>
          <w:rFonts w:asciiTheme="minorEastAsia" w:hAnsiTheme="minorEastAsia" w:cs="Arial" w:hint="eastAsia"/>
          <w:kern w:val="0"/>
          <w:sz w:val="24"/>
          <w:szCs w:val="24"/>
        </w:rPr>
        <w:t>有限公司董事长；深圳市益德置业有限公司总经理、董事；</w:t>
      </w:r>
      <w:proofErr w:type="gramStart"/>
      <w:r>
        <w:rPr>
          <w:rFonts w:asciiTheme="minorEastAsia" w:hAnsiTheme="minorEastAsia" w:cs="Arial" w:hint="eastAsia"/>
          <w:kern w:val="0"/>
          <w:sz w:val="24"/>
          <w:szCs w:val="24"/>
        </w:rPr>
        <w:t>盈投控股</w:t>
      </w:r>
      <w:proofErr w:type="gramEnd"/>
      <w:r>
        <w:rPr>
          <w:rFonts w:asciiTheme="minorEastAsia" w:hAnsiTheme="minorEastAsia" w:cs="Arial" w:hint="eastAsia"/>
          <w:kern w:val="0"/>
          <w:sz w:val="24"/>
          <w:szCs w:val="24"/>
        </w:rPr>
        <w:t>有限公司总经理、董事；深圳市铭嘉达信息咨询有限公司董事；深圳市理得文化发展有限公司董事；乐百氏（广东）饮用水有限公司董事；深圳安吉尔饮水产业集团有限公司董事；</w:t>
      </w:r>
      <w:proofErr w:type="gramStart"/>
      <w:r>
        <w:rPr>
          <w:rFonts w:asciiTheme="minorEastAsia" w:hAnsiTheme="minorEastAsia" w:cs="Arial" w:hint="eastAsia"/>
          <w:kern w:val="0"/>
          <w:sz w:val="24"/>
          <w:szCs w:val="24"/>
        </w:rPr>
        <w:t>昊</w:t>
      </w:r>
      <w:proofErr w:type="gramEnd"/>
      <w:r>
        <w:rPr>
          <w:rFonts w:asciiTheme="minorEastAsia" w:hAnsiTheme="minorEastAsia" w:cs="Arial" w:hint="eastAsia"/>
          <w:kern w:val="0"/>
          <w:sz w:val="24"/>
          <w:szCs w:val="24"/>
        </w:rPr>
        <w:t>华化工科技集团股份有限公司董事；深圳嘉年实业股份有限公司董事；深圳市</w:t>
      </w:r>
      <w:proofErr w:type="gramStart"/>
      <w:r>
        <w:rPr>
          <w:rFonts w:asciiTheme="minorEastAsia" w:hAnsiTheme="minorEastAsia" w:cs="Arial" w:hint="eastAsia"/>
          <w:kern w:val="0"/>
          <w:sz w:val="24"/>
          <w:szCs w:val="24"/>
        </w:rPr>
        <w:t>盈投发展</w:t>
      </w:r>
      <w:proofErr w:type="gramEnd"/>
      <w:r>
        <w:rPr>
          <w:rFonts w:asciiTheme="minorEastAsia" w:hAnsiTheme="minorEastAsia" w:cs="Arial" w:hint="eastAsia"/>
          <w:kern w:val="0"/>
          <w:sz w:val="24"/>
          <w:szCs w:val="24"/>
        </w:rPr>
        <w:t>有限公司董事；绍兴安吉尔环境科技有限公司董事；深圳市银珠塑料制品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深圳市乐百氏实业发展有限公司董事；乐百氏（广州）健康科技有限公司董事；深圳上合高金投资管理有限公司监事</w:t>
      </w:r>
      <w:r>
        <w:rPr>
          <w:rFonts w:asciiTheme="minorEastAsia" w:hAnsiTheme="minorEastAsia" w:cs="Arial" w:hint="eastAsia"/>
          <w:kern w:val="0"/>
          <w:sz w:val="24"/>
        </w:rPr>
        <w:t>；富荣基金管理有限公司董事</w:t>
      </w:r>
      <w:r>
        <w:rPr>
          <w:rFonts w:asciiTheme="minorEastAsia" w:hAnsiTheme="minorEastAsia" w:cs="Arial" w:hint="eastAsia"/>
          <w:kern w:val="0"/>
          <w:sz w:val="24"/>
          <w:szCs w:val="24"/>
        </w:rPr>
        <w:t>。</w:t>
      </w:r>
    </w:p>
    <w:p w14:paraId="43E3C381"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余</w:t>
      </w:r>
      <w:proofErr w:type="gramStart"/>
      <w:r>
        <w:rPr>
          <w:rFonts w:asciiTheme="minorEastAsia" w:hAnsiTheme="minorEastAsia" w:cs="Arial" w:hint="eastAsia"/>
          <w:kern w:val="0"/>
          <w:sz w:val="24"/>
          <w:szCs w:val="24"/>
        </w:rPr>
        <w:t>关健</w:t>
      </w:r>
      <w:proofErr w:type="gramEnd"/>
      <w:r>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szCs w:val="24"/>
        </w:rPr>
        <w:t>邦</w:t>
      </w:r>
      <w:proofErr w:type="gramEnd"/>
      <w:r>
        <w:rPr>
          <w:rFonts w:asciiTheme="minorEastAsia" w:hAnsiTheme="minorEastAsia" w:cs="Arial" w:hint="eastAsia"/>
          <w:kern w:val="0"/>
          <w:sz w:val="24"/>
          <w:szCs w:val="24"/>
        </w:rPr>
        <w:t>信资产管理公司董事总经理、对外贸易集团股份有限公司董事长、中国东方资产管理股份有限公司广东省分公司总经理、大业信托有限责任公司董</w:t>
      </w:r>
      <w:r>
        <w:rPr>
          <w:rFonts w:asciiTheme="minorEastAsia" w:hAnsiTheme="minorEastAsia" w:cs="Arial" w:hint="eastAsia"/>
          <w:kern w:val="0"/>
          <w:sz w:val="24"/>
          <w:szCs w:val="24"/>
        </w:rPr>
        <w:lastRenderedPageBreak/>
        <w:t>事、沈阳公用发展股份有限公司董事、申科滑动轴承股份有限公司董事、东银实业（深圳）有限公司董事、金田实业（集团）股份有限公司独立董事。现任富荣基金管理有限公司独立董事。</w:t>
      </w:r>
    </w:p>
    <w:p w14:paraId="13D01777"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刘宝瑞先生，独立董事， 历任中国人民银行宝坻支行会计、中国农业银行天津分行人力资源部副处长、中国农业银行天津分行国际业务部副总经理、总经理，中国农业银行天津分行资金计划处处长、深圳发展银行总行行长助理、副行长、党委委员，中国金融国际投资有限公司执行董事。现任深圳第一金融服务有限公司董事长、总经理，湖南银行独立董事，天津银行监事，深圳和</w:t>
      </w:r>
      <w:proofErr w:type="gramStart"/>
      <w:r>
        <w:rPr>
          <w:rFonts w:asciiTheme="minorEastAsia" w:hAnsiTheme="minorEastAsia" w:cs="Arial" w:hint="eastAsia"/>
          <w:kern w:val="0"/>
          <w:sz w:val="24"/>
          <w:szCs w:val="24"/>
        </w:rPr>
        <w:t>石资本</w:t>
      </w:r>
      <w:proofErr w:type="gramEnd"/>
      <w:r>
        <w:rPr>
          <w:rFonts w:asciiTheme="minorEastAsia" w:hAnsiTheme="minorEastAsia" w:cs="Arial" w:hint="eastAsia"/>
          <w:kern w:val="0"/>
          <w:sz w:val="24"/>
          <w:szCs w:val="24"/>
        </w:rPr>
        <w:t>管理有限责任公司法定代表人、执行董事、总经理，深圳青石资本管理有限公司法定代表人、执行董事、总经理，深圳泰和瑞</w:t>
      </w:r>
      <w:proofErr w:type="gramStart"/>
      <w:r>
        <w:rPr>
          <w:rFonts w:asciiTheme="minorEastAsia" w:hAnsiTheme="minorEastAsia" w:cs="Arial" w:hint="eastAsia"/>
          <w:kern w:val="0"/>
          <w:sz w:val="24"/>
          <w:szCs w:val="24"/>
        </w:rPr>
        <w:t>银金融</w:t>
      </w:r>
      <w:proofErr w:type="gramEnd"/>
      <w:r>
        <w:rPr>
          <w:rFonts w:asciiTheme="minorEastAsia" w:hAnsiTheme="minorEastAsia" w:cs="Arial" w:hint="eastAsia"/>
          <w:kern w:val="0"/>
          <w:sz w:val="24"/>
          <w:szCs w:val="24"/>
        </w:rPr>
        <w:t>配套服务合伙企业（有限合伙）执行事务合伙人、北京</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和瑞泰管理顾问有限公司法定代表人、执行董事、总经理、财务负责人，深圳</w:t>
      </w:r>
      <w:proofErr w:type="gramStart"/>
      <w:r>
        <w:rPr>
          <w:rFonts w:asciiTheme="minorEastAsia" w:hAnsiTheme="minorEastAsia" w:cs="Arial" w:hint="eastAsia"/>
          <w:kern w:val="0"/>
          <w:sz w:val="24"/>
          <w:szCs w:val="24"/>
        </w:rPr>
        <w:t>雍</w:t>
      </w:r>
      <w:proofErr w:type="gramEnd"/>
      <w:r>
        <w:rPr>
          <w:rFonts w:asciiTheme="minorEastAsia" w:hAnsiTheme="minorEastAsia" w:cs="Arial" w:hint="eastAsia"/>
          <w:kern w:val="0"/>
          <w:sz w:val="24"/>
          <w:szCs w:val="24"/>
        </w:rPr>
        <w:t>和</w:t>
      </w:r>
      <w:proofErr w:type="gramStart"/>
      <w:r>
        <w:rPr>
          <w:rFonts w:asciiTheme="minorEastAsia" w:hAnsiTheme="minorEastAsia" w:cs="Arial" w:hint="eastAsia"/>
          <w:kern w:val="0"/>
          <w:sz w:val="24"/>
          <w:szCs w:val="24"/>
        </w:rPr>
        <w:t>瑞银</w:t>
      </w:r>
      <w:proofErr w:type="gramEnd"/>
      <w:r>
        <w:rPr>
          <w:rFonts w:asciiTheme="minorEastAsia" w:hAnsiTheme="minorEastAsia" w:cs="Arial" w:hint="eastAsia"/>
          <w:kern w:val="0"/>
          <w:sz w:val="24"/>
          <w:szCs w:val="24"/>
        </w:rPr>
        <w:t>投资管理有限公司法定代表人、执行董事、总经理，富荣基金管理有限公司独立董事。</w:t>
      </w:r>
    </w:p>
    <w:p w14:paraId="3120DD6A"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张刚先生，独立董事，内蒙古大学民</w:t>
      </w:r>
      <w:proofErr w:type="gramStart"/>
      <w:r>
        <w:rPr>
          <w:rFonts w:asciiTheme="minorEastAsia" w:hAnsiTheme="minorEastAsia" w:cs="Arial" w:hint="eastAsia"/>
          <w:kern w:val="0"/>
          <w:sz w:val="24"/>
          <w:szCs w:val="24"/>
        </w:rPr>
        <w:t>商法学</w:t>
      </w:r>
      <w:proofErr w:type="gramEnd"/>
      <w:r>
        <w:rPr>
          <w:rFonts w:asciiTheme="minorEastAsia" w:hAnsiTheme="minorEastAsia" w:cs="Arial" w:hint="eastAsia"/>
          <w:kern w:val="0"/>
          <w:sz w:val="24"/>
          <w:szCs w:val="24"/>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54DAF34A"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2、监事会成员</w:t>
      </w:r>
    </w:p>
    <w:p w14:paraId="6EB4382B"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基金管理人不设监事会，设监事两名，其中一名为职工监事。</w:t>
      </w:r>
    </w:p>
    <w:p w14:paraId="12DBC51B"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冯晓霖女士，监事，硕士。曾任深圳市嘉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w:t>
      </w:r>
      <w:proofErr w:type="gramStart"/>
      <w:r>
        <w:rPr>
          <w:rFonts w:asciiTheme="minorEastAsia" w:hAnsiTheme="minorEastAsia" w:cs="Arial" w:hint="eastAsia"/>
          <w:kern w:val="0"/>
          <w:sz w:val="24"/>
          <w:szCs w:val="24"/>
        </w:rPr>
        <w:t>现任盈投控股</w:t>
      </w:r>
      <w:proofErr w:type="gramEnd"/>
      <w:r>
        <w:rPr>
          <w:rFonts w:asciiTheme="minorEastAsia" w:hAnsiTheme="minorEastAsia" w:cs="Arial" w:hint="eastAsia"/>
          <w:kern w:val="0"/>
          <w:sz w:val="24"/>
          <w:szCs w:val="24"/>
        </w:rPr>
        <w:t>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p>
    <w:p w14:paraId="14255D7A"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787FBB6D"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3、高级管理人员</w:t>
      </w:r>
    </w:p>
    <w:p w14:paraId="574647F2"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现任富荣基金管理有限公司董事、总经理、首席信息官、代行督察长。</w:t>
      </w:r>
    </w:p>
    <w:p w14:paraId="3E42F8CA" w14:textId="3CC87468"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史克新先生，副总经理，中欧国际工商学院高级管理人员工商管理硕士。历</w:t>
      </w:r>
      <w:r>
        <w:rPr>
          <w:rFonts w:asciiTheme="minorEastAsia" w:hAnsiTheme="minorEastAsia" w:cs="Arial" w:hint="eastAsia"/>
          <w:kern w:val="0"/>
          <w:sz w:val="24"/>
          <w:szCs w:val="24"/>
        </w:rPr>
        <w:lastRenderedPageBreak/>
        <w:t>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Pr>
          <w:rFonts w:asciiTheme="minorEastAsia" w:hAnsiTheme="minorEastAsia" w:cs="Arial" w:hint="eastAsia"/>
          <w:kern w:val="0"/>
          <w:sz w:val="24"/>
          <w:szCs w:val="24"/>
        </w:rPr>
        <w:t>安基金</w:t>
      </w:r>
      <w:proofErr w:type="gramEnd"/>
      <w:r>
        <w:rPr>
          <w:rFonts w:asciiTheme="minorEastAsia" w:hAnsiTheme="minorEastAsia" w:cs="Arial" w:hint="eastAsia"/>
          <w:kern w:val="0"/>
          <w:sz w:val="24"/>
          <w:szCs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6C26C64A" w14:textId="77777777" w:rsidR="0046184B" w:rsidRDefault="00000000">
      <w:pPr>
        <w:spacing w:line="360" w:lineRule="auto"/>
        <w:ind w:firstLineChars="200" w:firstLine="480"/>
        <w:rPr>
          <w:rFonts w:asciiTheme="minorEastAsia" w:hAnsiTheme="minorEastAsia" w:cs="Arial" w:hint="eastAsia"/>
          <w:kern w:val="0"/>
          <w:sz w:val="24"/>
        </w:rPr>
      </w:pPr>
      <w:r>
        <w:rPr>
          <w:rFonts w:asciiTheme="minorEastAsia" w:hAnsiTheme="minorEastAsia" w:cs="Arial" w:hint="eastAsia"/>
          <w:kern w:val="0"/>
          <w:sz w:val="24"/>
        </w:rPr>
        <w:t>郑宇光先生，总经理助理，上海交通大学工商管理硕士。历任平安资产管理有限责任公司交易部/投资管理部经理，太平资产管理有限责任公司固定收益部投资经理，上投摩根基金管理有限公司专户管理部投资经理，中</w:t>
      </w:r>
      <w:proofErr w:type="gramStart"/>
      <w:r>
        <w:rPr>
          <w:rFonts w:asciiTheme="minorEastAsia" w:hAnsiTheme="minorEastAsia" w:cs="Arial" w:hint="eastAsia"/>
          <w:kern w:val="0"/>
          <w:sz w:val="24"/>
        </w:rPr>
        <w:t>信保诚基金</w:t>
      </w:r>
      <w:proofErr w:type="gramEnd"/>
      <w:r>
        <w:rPr>
          <w:rFonts w:asciiTheme="minorEastAsia" w:hAnsiTheme="minorEastAsia" w:cs="Arial" w:hint="eastAsia"/>
          <w:kern w:val="0"/>
          <w:sz w:val="24"/>
        </w:rPr>
        <w:t>管理有限公司固定收益部投资经理、总监助理，长江证券资产管理有限责任公司投资经理，上海勤远投资管理中心（有限合伙）量化研究总监基金经理，</w:t>
      </w:r>
      <w:proofErr w:type="gramStart"/>
      <w:r>
        <w:rPr>
          <w:rFonts w:asciiTheme="minorEastAsia" w:hAnsiTheme="minorEastAsia" w:cs="Arial" w:hint="eastAsia"/>
          <w:kern w:val="0"/>
          <w:sz w:val="24"/>
        </w:rPr>
        <w:t>泰信基金</w:t>
      </w:r>
      <w:proofErr w:type="gramEnd"/>
      <w:r>
        <w:rPr>
          <w:rFonts w:asciiTheme="minorEastAsia" w:hAnsiTheme="minorEastAsia" w:cs="Arial" w:hint="eastAsia"/>
          <w:kern w:val="0"/>
          <w:sz w:val="24"/>
        </w:rPr>
        <w:t>管理有限公司专户投资部副总监，</w:t>
      </w:r>
      <w:proofErr w:type="gramStart"/>
      <w:r>
        <w:rPr>
          <w:rFonts w:asciiTheme="minorEastAsia" w:hAnsiTheme="minorEastAsia" w:cs="Arial" w:hint="eastAsia"/>
          <w:kern w:val="0"/>
          <w:sz w:val="24"/>
        </w:rPr>
        <w:t>固收投资部基金</w:t>
      </w:r>
      <w:proofErr w:type="gramEnd"/>
      <w:r>
        <w:rPr>
          <w:rFonts w:asciiTheme="minorEastAsia" w:hAnsiTheme="minorEastAsia" w:cs="Arial" w:hint="eastAsia"/>
          <w:kern w:val="0"/>
          <w:sz w:val="24"/>
        </w:rPr>
        <w:t>经理、总监。现任富荣基金管理有限公司总经理助理。</w:t>
      </w:r>
    </w:p>
    <w:p w14:paraId="76E4996A" w14:textId="77777777" w:rsidR="0046184B" w:rsidRDefault="00000000" w:rsidP="007B1F64">
      <w:pPr>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rPr>
        <w:t>赵睿杨女士，总经理助理，对外经济贸易大学会计学硕士研究生。历任合生创展集团有限公司集团财务与投资中心上市核算管理师、投资分析副经理，</w:t>
      </w:r>
      <w:proofErr w:type="gramStart"/>
      <w:r>
        <w:rPr>
          <w:rFonts w:asciiTheme="minorEastAsia" w:hAnsiTheme="minorEastAsia" w:cs="Arial" w:hint="eastAsia"/>
          <w:kern w:val="0"/>
          <w:sz w:val="24"/>
        </w:rPr>
        <w:t>慧富恒</w:t>
      </w:r>
      <w:proofErr w:type="gramEnd"/>
      <w:r>
        <w:rPr>
          <w:rFonts w:asciiTheme="minorEastAsia" w:hAnsiTheme="minorEastAsia" w:cs="Arial" w:hint="eastAsia"/>
          <w:kern w:val="0"/>
          <w:sz w:val="24"/>
        </w:rPr>
        <w:t>泰（北京）基金管理有限公司投融资一部总经理，北信瑞丰基金管理有限公司市场部高级经理、市场部总监助理、渠道部副总监、渠道部总监、专</w:t>
      </w:r>
      <w:proofErr w:type="gramStart"/>
      <w:r>
        <w:rPr>
          <w:rFonts w:asciiTheme="minorEastAsia" w:hAnsiTheme="minorEastAsia" w:cs="Arial" w:hint="eastAsia"/>
          <w:kern w:val="0"/>
          <w:sz w:val="24"/>
        </w:rPr>
        <w:t>户机构</w:t>
      </w:r>
      <w:proofErr w:type="gramEnd"/>
      <w:r>
        <w:rPr>
          <w:rFonts w:asciiTheme="minorEastAsia" w:hAnsiTheme="minorEastAsia" w:cs="Arial" w:hint="eastAsia"/>
          <w:kern w:val="0"/>
          <w:sz w:val="24"/>
        </w:rPr>
        <w:t>部总监、市场总监、公司总经理助理。现任富荣基金管理有限公司总经理助理，渠道业务总部总经理，兼任北京分公司、机构业务总部总经理。</w:t>
      </w:r>
    </w:p>
    <w:p w14:paraId="3A0F4E03"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7C45FB1E" w14:textId="77777777" w:rsidR="0046184B" w:rsidRDefault="00000000">
      <w:pPr>
        <w:adjustRightInd w:val="0"/>
        <w:snapToGrid w:val="0"/>
        <w:spacing w:line="360" w:lineRule="auto"/>
        <w:ind w:firstLine="420"/>
        <w:rPr>
          <w:rFonts w:asciiTheme="minorEastAsia" w:hAnsiTheme="minorEastAsia" w:cs="Arial" w:hint="eastAsia"/>
          <w:kern w:val="0"/>
          <w:sz w:val="24"/>
          <w:szCs w:val="24"/>
        </w:rPr>
      </w:pPr>
      <w:r>
        <w:rPr>
          <w:rFonts w:asciiTheme="minorEastAsia" w:hAnsiTheme="minorEastAsia" w:cs="Arial" w:hint="eastAsia"/>
          <w:kern w:val="0"/>
          <w:sz w:val="24"/>
          <w:szCs w:val="24"/>
        </w:rPr>
        <w:t>李延峥先生，西南财经大学金融学硕士。2017年进入富荣基金管理有限公司，历任富荣基金管理有限公司研究部TMT研究员，现任投资决策委员会秘书、</w:t>
      </w:r>
      <w:proofErr w:type="gramStart"/>
      <w:r>
        <w:rPr>
          <w:rFonts w:asciiTheme="minorEastAsia" w:hAnsiTheme="minorEastAsia" w:cs="Arial" w:hint="eastAsia"/>
          <w:kern w:val="0"/>
          <w:sz w:val="24"/>
          <w:szCs w:val="24"/>
        </w:rPr>
        <w:t>富荣福银混合型</w:t>
      </w:r>
      <w:proofErr w:type="gramEnd"/>
      <w:r>
        <w:rPr>
          <w:rFonts w:asciiTheme="minorEastAsia" w:hAnsiTheme="minorEastAsia" w:cs="Arial" w:hint="eastAsia"/>
          <w:kern w:val="0"/>
          <w:sz w:val="24"/>
          <w:szCs w:val="24"/>
        </w:rPr>
        <w:t>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经理（自2021年6月18日起任职至2024年1月15日）、富荣信息技术混合型证券投资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经理（自2021年10月28日起任职）、富荣福锦混合型证券投资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经理（自2024年8月28日起）。</w:t>
      </w:r>
    </w:p>
    <w:p w14:paraId="39191418" w14:textId="4E1061B3"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历任基金经理：胡长虹（自2018年3月16日至2018年11月26日）、邓宇翔（自2018年3月30日至2024年6月24日）、李天翔（自2024年6月7日至2025年2月19日）。</w:t>
      </w:r>
    </w:p>
    <w:p w14:paraId="1224AB8C"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23D5D0A2" w14:textId="77777777" w:rsidR="0046184B" w:rsidRPr="007B1F64" w:rsidRDefault="00000000" w:rsidP="007B1F64">
      <w:pPr>
        <w:spacing w:line="360" w:lineRule="auto"/>
        <w:ind w:firstLineChars="200" w:firstLine="480"/>
        <w:rPr>
          <w:rFonts w:asciiTheme="minorEastAsia" w:hAnsiTheme="minorEastAsia" w:hint="eastAsia"/>
          <w:sz w:val="24"/>
        </w:rPr>
      </w:pPr>
      <w:r>
        <w:rPr>
          <w:rFonts w:asciiTheme="minorEastAsia" w:hAnsiTheme="minorEastAsia" w:cs="Arial" w:hint="eastAsia"/>
          <w:kern w:val="0"/>
          <w:sz w:val="24"/>
          <w:szCs w:val="24"/>
        </w:rPr>
        <w:t>杨小舟先生，投资决策委员会主任委员、公司总经理、兼任首席信息官、</w:t>
      </w:r>
      <w:r>
        <w:rPr>
          <w:rFonts w:asciiTheme="minorEastAsia" w:hAnsiTheme="minorEastAsia" w:hint="eastAsia"/>
          <w:sz w:val="24"/>
        </w:rPr>
        <w:t>代</w:t>
      </w:r>
      <w:r>
        <w:rPr>
          <w:rFonts w:asciiTheme="minorEastAsia" w:hAnsiTheme="minorEastAsia" w:hint="eastAsia"/>
          <w:sz w:val="24"/>
        </w:rPr>
        <w:lastRenderedPageBreak/>
        <w:t>行督察长</w:t>
      </w:r>
      <w:r>
        <w:rPr>
          <w:rFonts w:asciiTheme="minorEastAsia" w:hAnsiTheme="minorEastAsia" w:cs="Arial" w:hint="eastAsia"/>
          <w:kern w:val="0"/>
          <w:sz w:val="24"/>
          <w:szCs w:val="24"/>
        </w:rPr>
        <w:t>。</w:t>
      </w:r>
    </w:p>
    <w:p w14:paraId="268F7697"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史克新先生，投资决策委员会委员、公司副总经理。</w:t>
      </w:r>
    </w:p>
    <w:p w14:paraId="68C53733"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郎骋成先生，投资决策委员会委员、研究部总经理、权益投资部总经理、专户投资经理、基金经理。</w:t>
      </w:r>
    </w:p>
    <w:p w14:paraId="70E39024"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宋芳女士，投资决策委员会委员、固定收益部总经理、基金经理。</w:t>
      </w:r>
    </w:p>
    <w:p w14:paraId="651DB581"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孟飞先生，投资决策委员会委员、固定收益部副总经理、基金经理。</w:t>
      </w:r>
    </w:p>
    <w:p w14:paraId="3FC8FC97"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李黄海先生，投资决策委员会委员、基金经理。</w:t>
      </w:r>
    </w:p>
    <w:p w14:paraId="1C8F07D2"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李延峥先生，投资决策委员会委员、投资决策委员会秘书、研究部总经理助理、基金经理。</w:t>
      </w:r>
    </w:p>
    <w:p w14:paraId="362BCA66" w14:textId="77777777" w:rsidR="0046184B" w:rsidRDefault="00000000">
      <w:pPr>
        <w:adjustRightInd w:val="0"/>
        <w:snapToGrid w:val="0"/>
        <w:spacing w:line="360" w:lineRule="auto"/>
        <w:ind w:firstLineChars="200" w:firstLine="480"/>
        <w:rPr>
          <w:rFonts w:asciiTheme="minorEastAsia" w:hAnsiTheme="minorEastAsia" w:cs="Arial" w:hint="eastAsia"/>
          <w:color w:val="FF0000"/>
          <w:sz w:val="24"/>
          <w:szCs w:val="24"/>
        </w:rPr>
      </w:pPr>
      <w:r>
        <w:rPr>
          <w:rFonts w:asciiTheme="minorEastAsia" w:hAnsiTheme="minorEastAsia" w:cs="Arial"/>
          <w:kern w:val="0"/>
          <w:sz w:val="24"/>
          <w:szCs w:val="24"/>
        </w:rPr>
        <w:t>6、上述人员之间不存在近亲属关系。</w:t>
      </w:r>
    </w:p>
    <w:p w14:paraId="49006CFE" w14:textId="77777777" w:rsidR="0046184B"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三、基金管理人的职责</w:t>
      </w:r>
    </w:p>
    <w:p w14:paraId="3062201F"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3F77028E"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2、办理基金备案手续；</w:t>
      </w:r>
    </w:p>
    <w:p w14:paraId="53A9CB64"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33EC91F2"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15A7C9DB"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5、建立健全内部风险控制、监察与稽核、财务管理及人事管理等制度，保证所管理的基金财产和基金管理人的财产相互独立，对所管理的不同基金分别管理，分别记账，进行证券投资；</w:t>
      </w:r>
    </w:p>
    <w:p w14:paraId="60F7A156"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16F544B9"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7、依法接受基金托管人的监督；</w:t>
      </w:r>
    </w:p>
    <w:p w14:paraId="5A5A36EF"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51FA64D6"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9、进行基金会计核算并编制基金财务会计报告；</w:t>
      </w:r>
    </w:p>
    <w:p w14:paraId="0DFB42CE"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10、编制季度、中期和年度基金报告；</w:t>
      </w:r>
    </w:p>
    <w:p w14:paraId="7B3EA33D"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11、严格按照《基金法》、《基金合同》及其他有关规定，履行信息披露及报</w:t>
      </w:r>
      <w:r>
        <w:rPr>
          <w:rFonts w:asciiTheme="minorEastAsia" w:hAnsiTheme="minorEastAsia" w:cs="Times New Roman" w:hint="eastAsia"/>
          <w:sz w:val="24"/>
          <w:szCs w:val="24"/>
        </w:rPr>
        <w:lastRenderedPageBreak/>
        <w:t>告义务；</w:t>
      </w:r>
    </w:p>
    <w:p w14:paraId="2D094329"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w:t>
      </w:r>
    </w:p>
    <w:p w14:paraId="57625A3A"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732C5735"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14、按规定受理申购与赎回申请，及时、足额支付赎回款项；</w:t>
      </w:r>
    </w:p>
    <w:p w14:paraId="071A7AED"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1DEA9484"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16、按规定保存基金财产管理业务活动的会计账册、报表、记录和其他相关资料15年以上；</w:t>
      </w:r>
    </w:p>
    <w:p w14:paraId="4B504B31"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2617C54"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50EB8113"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19、面临解散、依法被撤销或者被依法宣告破产时，及时报告中国证监会并通知基金托管人；</w:t>
      </w:r>
    </w:p>
    <w:p w14:paraId="75C39894"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6BC16E6F"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76B67E26"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52127250"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28B8404E"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24、基金管理人在募集期间未能达到基金的备案条件，《基金合同》不能生效，基金管理人承担全部募集费用，将已募集资金加计银行同期活期存款利息在</w:t>
      </w:r>
      <w:r>
        <w:rPr>
          <w:rFonts w:asciiTheme="minorEastAsia" w:hAnsiTheme="minorEastAsia" w:cs="Times New Roman" w:hint="eastAsia"/>
          <w:sz w:val="24"/>
          <w:szCs w:val="24"/>
        </w:rPr>
        <w:lastRenderedPageBreak/>
        <w:t>基金募集期结束后30日内退还基金认购人；</w:t>
      </w:r>
    </w:p>
    <w:p w14:paraId="3F87B0A0"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25、执行生效的基金份额持有人大会的决议；</w:t>
      </w:r>
    </w:p>
    <w:p w14:paraId="538FBE1E"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26、建立并保存基金份额持有人名册；</w:t>
      </w:r>
    </w:p>
    <w:p w14:paraId="4C7D767D"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27、法律法规及中国证监会规定的和《基金合同》约定的其他义务。</w:t>
      </w:r>
    </w:p>
    <w:p w14:paraId="04378157" w14:textId="77777777" w:rsidR="0046184B"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四、基金管理人的承诺</w:t>
      </w:r>
    </w:p>
    <w:p w14:paraId="6069979B"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4DEA0D91"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271761F9"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（1）将基金管理人固有财产或者他人财产混同于基金财产从事证券投资；</w:t>
      </w:r>
    </w:p>
    <w:p w14:paraId="47164F52"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（2）不公平地对待管理的不同基金财产；</w:t>
      </w:r>
    </w:p>
    <w:p w14:paraId="3DEDC9AA"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（3）利用基金财产或者职务之便为基金份额持有人以外的第三人牟取利益；</w:t>
      </w:r>
    </w:p>
    <w:p w14:paraId="665E6688"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（4）向基金份额持有人违规承诺收益或者承担损失；</w:t>
      </w:r>
    </w:p>
    <w:p w14:paraId="4E905F33"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（5）侵占、挪用基金财产；</w:t>
      </w:r>
    </w:p>
    <w:p w14:paraId="13A101AB"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22C9C44E"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（7）玩忽职守，不按照规定履行职责；</w:t>
      </w:r>
    </w:p>
    <w:p w14:paraId="317CAD3E"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（8）法律、行政法规和中国证监会规定禁止的其他行为。 </w:t>
      </w:r>
    </w:p>
    <w:p w14:paraId="170EF340"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33969BEB"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33E84CA8"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5、基金管理人承诺不从事其他法规规定禁止从事的行为。 </w:t>
      </w:r>
    </w:p>
    <w:p w14:paraId="71D18B0A" w14:textId="77777777" w:rsidR="0046184B"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sz w:val="24"/>
          <w:szCs w:val="24"/>
        </w:rPr>
      </w:pPr>
      <w:r>
        <w:rPr>
          <w:rFonts w:asciiTheme="minorEastAsia" w:hAnsiTheme="minorEastAsia" w:cs="Arial" w:hint="eastAsia"/>
          <w:b/>
          <w:sz w:val="24"/>
          <w:szCs w:val="24"/>
        </w:rPr>
        <w:t>五、基金经理承诺</w:t>
      </w:r>
    </w:p>
    <w:p w14:paraId="0ECFFFD0"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5C9587BB"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 xml:space="preserve">2、不利用职务之便为自己、受雇人或任何第三者牟取利益； </w:t>
      </w:r>
    </w:p>
    <w:p w14:paraId="6F850179"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3、不泄露在任职期间知悉的有关证券、基金的商业秘密，尚未依法公开的</w:t>
      </w:r>
      <w:r>
        <w:rPr>
          <w:rFonts w:asciiTheme="minorEastAsia" w:hAnsiTheme="minorEastAsia" w:cs="Times New Roman" w:hint="eastAsia"/>
          <w:sz w:val="24"/>
          <w:szCs w:val="24"/>
        </w:rPr>
        <w:lastRenderedPageBreak/>
        <w:t>基金投资内容、基金投资计划等信息，或利用该信息从事或者明示、暗示他人从事相关的交易活动；</w:t>
      </w:r>
    </w:p>
    <w:p w14:paraId="5C96786A" w14:textId="77777777" w:rsidR="0046184B" w:rsidRDefault="00000000">
      <w:pPr>
        <w:autoSpaceDE w:val="0"/>
        <w:autoSpaceDN w:val="0"/>
        <w:adjustRightInd w:val="0"/>
        <w:spacing w:line="360" w:lineRule="auto"/>
        <w:ind w:firstLineChars="200" w:firstLine="480"/>
        <w:rPr>
          <w:rFonts w:asciiTheme="minorEastAsia" w:hAnsiTheme="minorEastAsia" w:cs="Times New Roman" w:hint="eastAsia"/>
          <w:sz w:val="24"/>
          <w:szCs w:val="24"/>
        </w:rPr>
      </w:pPr>
      <w:r>
        <w:rPr>
          <w:rFonts w:asciiTheme="minorEastAsia" w:hAnsiTheme="minorEastAsia" w:cs="Times New Roman" w:hint="eastAsia"/>
          <w:sz w:val="24"/>
          <w:szCs w:val="24"/>
        </w:rPr>
        <w:t>4、不以任何形式为其他组织或个人进行证券交易。</w:t>
      </w:r>
    </w:p>
    <w:p w14:paraId="13966549" w14:textId="77777777" w:rsidR="0046184B"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hint="eastAsia"/>
          <w:b/>
          <w:bCs/>
          <w:sz w:val="24"/>
          <w:szCs w:val="24"/>
        </w:rPr>
      </w:pPr>
      <w:r>
        <w:rPr>
          <w:rFonts w:asciiTheme="minorEastAsia" w:hAnsiTheme="minorEastAsia" w:cs="Arial" w:hint="eastAsia"/>
          <w:b/>
          <w:bCs/>
          <w:sz w:val="24"/>
          <w:szCs w:val="24"/>
        </w:rPr>
        <w:t>六、基金管理人的内部控制制度</w:t>
      </w:r>
    </w:p>
    <w:p w14:paraId="0BB84EC8"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bookmarkStart w:id="83" w:name="_Toc410197818"/>
      <w:bookmarkStart w:id="84" w:name="_Toc416264540"/>
      <w:bookmarkStart w:id="85" w:name="_Toc352229750"/>
      <w:bookmarkStart w:id="86" w:name="_Toc263092312"/>
      <w:bookmarkEnd w:id="67"/>
      <w:bookmarkEnd w:id="68"/>
      <w:bookmarkEnd w:id="69"/>
      <w:r>
        <w:rPr>
          <w:rFonts w:asciiTheme="minorEastAsia" w:hAnsiTheme="minorEastAsia" w:cs="Arial" w:hint="eastAsia"/>
          <w:sz w:val="24"/>
          <w:szCs w:val="24"/>
        </w:rPr>
        <w:t>1、风险控制目标</w:t>
      </w:r>
    </w:p>
    <w:p w14:paraId="38B2F70B"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（1）在有效控制风险的前提下，实现基金份额持有人利益最大化；</w:t>
      </w:r>
    </w:p>
    <w:p w14:paraId="44BC372A"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（2）确保国家有关法律法规、行业规章和公司各项规章制度的贯彻执行；</w:t>
      </w:r>
    </w:p>
    <w:p w14:paraId="039D1BC1"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3D3E7841"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209837D9"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0AA33855"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2、建立风险控制制度应遵循的原则</w:t>
      </w:r>
    </w:p>
    <w:p w14:paraId="32B4C6B5"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5C37DF93"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6688F1BA"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2EAE58EB"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195FBDF"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21EC8550"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3、风险控制体系</w:t>
      </w:r>
    </w:p>
    <w:p w14:paraId="09C305BD"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（1）风险控制制度体系</w:t>
      </w:r>
    </w:p>
    <w:p w14:paraId="19BFD591"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公司风险控制制度体系由三个不同层次的制度构成：第一个层次是公司章程、</w:t>
      </w:r>
      <w:r>
        <w:rPr>
          <w:rFonts w:asciiTheme="minorEastAsia" w:hAnsiTheme="minorEastAsia" w:cs="Arial" w:hint="eastAsia"/>
          <w:sz w:val="24"/>
          <w:szCs w:val="24"/>
        </w:rPr>
        <w:lastRenderedPageBreak/>
        <w:t>内部控制大纲；第二个层次是基本管理制度；第三个层次是部门管理制度及各项业务规则。</w:t>
      </w:r>
    </w:p>
    <w:p w14:paraId="6F70CE1A"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（2）风险控制组织体系</w:t>
      </w:r>
    </w:p>
    <w:p w14:paraId="559F9EA6"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风险控制组织体系包括两个层次：</w:t>
      </w:r>
    </w:p>
    <w:p w14:paraId="67963306"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8305C87"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25A575F"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1ED6B76C"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2E4770E5" w14:textId="77777777" w:rsidR="0046184B" w:rsidRDefault="00000000">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05C2BFAF"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1B4062C9"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w:t>
      </w:r>
      <w:r>
        <w:rPr>
          <w:rFonts w:asciiTheme="minorEastAsia" w:hAnsiTheme="minorEastAsia" w:cs="Arial" w:hint="eastAsia"/>
          <w:sz w:val="24"/>
          <w:szCs w:val="24"/>
        </w:rPr>
        <w:lastRenderedPageBreak/>
        <w:t>础上，根据具体情况制订本部门的业务管理规定、操作流程及内部控制规定并严格执行。</w:t>
      </w:r>
    </w:p>
    <w:p w14:paraId="101A7411"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4、关于授权、研究、投资、交易等方面的控制点</w:t>
      </w:r>
    </w:p>
    <w:p w14:paraId="61E368BF"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（1）授权制度</w:t>
      </w:r>
    </w:p>
    <w:p w14:paraId="6C36468B"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93D368F"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（2）研究业务</w:t>
      </w:r>
    </w:p>
    <w:p w14:paraId="3C62F3BA"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3B2CF013"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（3）基金投资业务</w:t>
      </w:r>
    </w:p>
    <w:p w14:paraId="4602EA02"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8D83826"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（4）交易业务</w:t>
      </w:r>
    </w:p>
    <w:p w14:paraId="19EEF973"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7FE47D20"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（5）基金会计核算</w:t>
      </w:r>
    </w:p>
    <w:p w14:paraId="7BA13858"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w:t>
      </w:r>
      <w:r>
        <w:rPr>
          <w:rFonts w:asciiTheme="minorEastAsia" w:hAnsiTheme="minorEastAsia" w:cs="Arial" w:hint="eastAsia"/>
          <w:sz w:val="24"/>
          <w:szCs w:val="24"/>
        </w:rPr>
        <w:lastRenderedPageBreak/>
        <w:t>度、合理的估值方法和估值程序等会计措施真实、完整、及时地记载每一笔业务并正确进行会计核算和业务核算；建立会计档案保管制度，确保档案真实完整。</w:t>
      </w:r>
    </w:p>
    <w:p w14:paraId="72FB94C2"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（6）信息披露</w:t>
      </w:r>
    </w:p>
    <w:p w14:paraId="3886BC01"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3E75100"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（7）监察稽核</w:t>
      </w:r>
    </w:p>
    <w:p w14:paraId="7C1B3048"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3A183EB5"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4F2A65AB"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5、风险管理和内部控制的措施</w:t>
      </w:r>
    </w:p>
    <w:p w14:paraId="288B28A4"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7DA2D50B"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6AD41369"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64F98C44"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（4）建立风险分类、识别、评估、报告、提示程序：建立了风险管理委员</w:t>
      </w:r>
      <w:r>
        <w:rPr>
          <w:rFonts w:asciiTheme="minorEastAsia" w:hAnsiTheme="minorEastAsia" w:cs="Arial" w:hint="eastAsia"/>
          <w:sz w:val="24"/>
          <w:szCs w:val="24"/>
        </w:rPr>
        <w:lastRenderedPageBreak/>
        <w:t>会，使用适合的程序，确认和评估与公司运作有关的风险；建立了自下而上的风险报告程序，对风险隐患进行层层汇报，使各个层次的人员及时掌握风险状况，从而以最快速度做出决策。</w:t>
      </w:r>
    </w:p>
    <w:p w14:paraId="548706E9"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5B20FC4C"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1B7BDFC8" w14:textId="77777777" w:rsidR="0046184B"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hint="eastAsia"/>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7A44ABE8" w14:textId="77777777" w:rsidR="0046184B" w:rsidRDefault="00000000">
      <w:pPr>
        <w:widowControl/>
        <w:adjustRightInd w:val="0"/>
        <w:snapToGrid w:val="0"/>
        <w:spacing w:line="360" w:lineRule="auto"/>
        <w:ind w:firstLineChars="200" w:firstLine="480"/>
        <w:rPr>
          <w:rFonts w:asciiTheme="minorEastAsia" w:hAnsiTheme="minorEastAsia" w:cs="Arial" w:hint="eastAsia"/>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7" w:name="_Toc238013745"/>
      <w:bookmarkStart w:id="88" w:name="_Toc238027832"/>
      <w:bookmarkEnd w:id="87"/>
      <w:bookmarkEnd w:id="88"/>
    </w:p>
    <w:p w14:paraId="4088A76A" w14:textId="77777777" w:rsidR="0046184B" w:rsidRDefault="0046184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46184B">
          <w:footerReference w:type="default" r:id="rId12"/>
          <w:pgSz w:w="11906" w:h="16838"/>
          <w:pgMar w:top="1440" w:right="1800" w:bottom="1440" w:left="1800" w:header="851" w:footer="992" w:gutter="0"/>
          <w:pgNumType w:chapStyle="1"/>
          <w:cols w:space="720"/>
          <w:docGrid w:type="lines" w:linePitch="312"/>
        </w:sectPr>
      </w:pPr>
    </w:p>
    <w:p w14:paraId="04CA22B6" w14:textId="77777777" w:rsidR="0046184B" w:rsidRDefault="00000000">
      <w:pPr>
        <w:pStyle w:val="1"/>
        <w:jc w:val="center"/>
        <w:rPr>
          <w:sz w:val="30"/>
          <w:szCs w:val="30"/>
        </w:rPr>
      </w:pPr>
      <w:bookmarkStart w:id="89" w:name="_Toc37770207"/>
      <w:r>
        <w:rPr>
          <w:rFonts w:hint="eastAsia"/>
          <w:sz w:val="30"/>
          <w:szCs w:val="30"/>
        </w:rPr>
        <w:lastRenderedPageBreak/>
        <w:t>第四部分</w:t>
      </w:r>
      <w:r>
        <w:rPr>
          <w:sz w:val="30"/>
          <w:szCs w:val="30"/>
        </w:rPr>
        <w:t xml:space="preserve">  </w:t>
      </w:r>
      <w:r>
        <w:rPr>
          <w:rFonts w:hint="eastAsia"/>
          <w:sz w:val="30"/>
          <w:szCs w:val="30"/>
        </w:rPr>
        <w:t>基金托管人</w:t>
      </w:r>
      <w:bookmarkEnd w:id="89"/>
    </w:p>
    <w:p w14:paraId="59A2534B" w14:textId="77777777" w:rsidR="0046184B"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一、基金托管人情况</w:t>
      </w:r>
    </w:p>
    <w:p w14:paraId="43624068"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1、基本情况</w:t>
      </w:r>
    </w:p>
    <w:p w14:paraId="2B4DBFA8"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名称：平安银行股份有限公司</w:t>
      </w:r>
    </w:p>
    <w:p w14:paraId="60BE5CC2"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注册住所：广东省深圳市罗湖区深南东路5047号</w:t>
      </w:r>
    </w:p>
    <w:p w14:paraId="01F95852"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办公地址：广东省深圳市福田区益田路5023号平安金融中心B座26楼</w:t>
      </w:r>
    </w:p>
    <w:p w14:paraId="55BDED19"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法定代表人：谢永林</w:t>
      </w:r>
    </w:p>
    <w:p w14:paraId="723DB179"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成立日期：1987年12月22日</w:t>
      </w:r>
    </w:p>
    <w:p w14:paraId="43CE542F"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组织形式：股份有限公司</w:t>
      </w:r>
    </w:p>
    <w:p w14:paraId="5D807832"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注册资本：19,405,918,198元</w:t>
      </w:r>
    </w:p>
    <w:p w14:paraId="2490104D"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存续期间：持续经营</w:t>
      </w:r>
    </w:p>
    <w:p w14:paraId="45CE104C"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基金托管资格批文及文号：中国证监会证监许可[2008]1037 号</w:t>
      </w:r>
    </w:p>
    <w:p w14:paraId="0D54018A"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联系人：刘华栋</w:t>
      </w:r>
    </w:p>
    <w:p w14:paraId="6ACBBB02"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联系电话：0755-22166388</w:t>
      </w:r>
    </w:p>
    <w:p w14:paraId="24D23E8E"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2、平安银行基本情况</w:t>
      </w:r>
    </w:p>
    <w:p w14:paraId="30B686C2"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平安银行股份有限公司是一家总部设在深圳的全国性股份制商业银行（深圳证券交易所简称：平安银行，证券代码000001）。其前身是深圳发展银行股份有限公司，于2012年6月吸收合并原平安银行并于同年7月更名为平安银行。中国平安保险（集团）股份有限公司及其子公司合计持有平安银行58%的股份，为平安银行的控股股东。截至2023年12月末，平安银行有109家分行（含香港分行）,共1,201家营业机构。</w:t>
      </w:r>
    </w:p>
    <w:p w14:paraId="655C8AA7"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2023年1-12月，平安银行实现营业收入1,646.99亿元（同比下降8.4%）、净利润464.55亿元（同比增长 2.1%）、资产总额55,871.16亿元（较上年末增长5.0%）、吸收存款本金余额34,072.95亿元（较上年末增长 2.9%）、发放贷款和垫款总额34,075.09亿元（较上年末增长2.4%）。</w:t>
      </w:r>
    </w:p>
    <w:p w14:paraId="2A402221"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3、主要人员情况</w:t>
      </w:r>
    </w:p>
    <w:p w14:paraId="796A1052"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平安银行总行</w:t>
      </w:r>
      <w:proofErr w:type="gramStart"/>
      <w:r>
        <w:rPr>
          <w:rFonts w:asciiTheme="minorEastAsia" w:hAnsiTheme="minorEastAsia" w:cs="Arial" w:hint="eastAsia"/>
          <w:bCs/>
          <w:sz w:val="24"/>
          <w:szCs w:val="24"/>
        </w:rPr>
        <w:t>设资产</w:t>
      </w:r>
      <w:proofErr w:type="gramEnd"/>
      <w:r>
        <w:rPr>
          <w:rFonts w:asciiTheme="minorEastAsia" w:hAnsiTheme="minorEastAsia" w:cs="Arial" w:hint="eastAsia"/>
          <w:bCs/>
          <w:sz w:val="24"/>
          <w:szCs w:val="24"/>
        </w:rPr>
        <w:t>托管部，下设客群拓展室、营销推动室、估值核算室、资金清算室、企划与综合服务室、数字平台室、督察合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室、基金服务室8个处室，目前部门人员为75人，为客户提供专业化的托管服务。证券投资基金托管</w:t>
      </w:r>
      <w:r>
        <w:rPr>
          <w:rFonts w:asciiTheme="minorEastAsia" w:hAnsiTheme="minorEastAsia" w:cs="Arial" w:hint="eastAsia"/>
          <w:bCs/>
          <w:sz w:val="24"/>
          <w:szCs w:val="24"/>
        </w:rPr>
        <w:lastRenderedPageBreak/>
        <w:t>业务相关员工配置齐全且从业经验丰富，托管</w:t>
      </w:r>
      <w:proofErr w:type="gramStart"/>
      <w:r>
        <w:rPr>
          <w:rFonts w:asciiTheme="minorEastAsia" w:hAnsiTheme="minorEastAsia" w:cs="Arial" w:hint="eastAsia"/>
          <w:bCs/>
          <w:sz w:val="24"/>
          <w:szCs w:val="24"/>
        </w:rPr>
        <w:t>部核心管理层具备</w:t>
      </w:r>
      <w:proofErr w:type="gramEnd"/>
      <w:r>
        <w:rPr>
          <w:rFonts w:asciiTheme="minorEastAsia" w:hAnsiTheme="minorEastAsia" w:cs="Arial" w:hint="eastAsia"/>
          <w:bCs/>
          <w:sz w:val="24"/>
          <w:szCs w:val="24"/>
        </w:rPr>
        <w:t>银行管理、证券或托管业务十年以上从业经验。</w:t>
      </w:r>
    </w:p>
    <w:p w14:paraId="75010CCD"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4、基金托管业务经营情况</w:t>
      </w:r>
    </w:p>
    <w:p w14:paraId="44550DC8"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2008年8月15日获得中国证监会、银监会核准开办证券投资基金托管业务。截至2023年12月末，平安银行股份有限公司托管证券投资基金净值规模合计7,088亿，平安银行已托管284只证券投资基金，覆盖了股票型、债券型、混合型、货币型、指数型、FOF 等多种类型的基金，满足了不同客户多元化的投资理财需求。</w:t>
      </w:r>
    </w:p>
    <w:p w14:paraId="0DFE8E7F" w14:textId="77777777" w:rsidR="0046184B" w:rsidRDefault="00000000">
      <w:pPr>
        <w:tabs>
          <w:tab w:val="left" w:pos="1110"/>
        </w:tabs>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二、基金托管人的内部风险控制制度说明</w:t>
      </w:r>
    </w:p>
    <w:p w14:paraId="79AD53A2"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1、内部控制目标</w:t>
      </w:r>
    </w:p>
    <w:p w14:paraId="096E6238"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作为基金托管人，平安银行股份有限公司严格遵守国家有关托管业务的法律法规、行业监管要求，自觉形成守法经营、规范运作的经营理念和经营风格；确保基金财产的安全完整，确保有关信息的真实、准确、完整、及时，保护基金份额持有人的合法权益；确保内部控制和风险管理体系的有效性；防范和化解经营风险，确保业务的安全、稳健运行，促进经营目标的实现。</w:t>
      </w:r>
    </w:p>
    <w:p w14:paraId="6ABAB544"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2、内部控制组织结构</w:t>
      </w:r>
    </w:p>
    <w:p w14:paraId="17C8D104"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平安银行股份有限公司设有总行独立一级部门资产托管部，是全行资产托管业务的管理和运营部门，专门配备了专职内部监察稽核人员负责托管业务的内部控制和风险管理工作，具有独立行使监督稽核工作的职权和能力。</w:t>
      </w:r>
    </w:p>
    <w:p w14:paraId="0E073BBB"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3、内部控制制度及措施</w:t>
      </w:r>
    </w:p>
    <w:p w14:paraId="468B2E07"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资产托管</w:t>
      </w:r>
      <w:proofErr w:type="gramStart"/>
      <w:r>
        <w:rPr>
          <w:rFonts w:asciiTheme="minorEastAsia" w:hAnsiTheme="minorEastAsia" w:cs="Arial" w:hint="eastAsia"/>
          <w:bCs/>
          <w:sz w:val="24"/>
          <w:szCs w:val="24"/>
        </w:rPr>
        <w:t>部具备</w:t>
      </w:r>
      <w:proofErr w:type="gramEnd"/>
      <w:r>
        <w:rPr>
          <w:rFonts w:asciiTheme="minorEastAsia" w:hAnsiTheme="minorEastAsia" w:cs="Arial" w:hint="eastAsia"/>
          <w:bCs/>
          <w:sz w:val="24"/>
          <w:szCs w:val="24"/>
        </w:rPr>
        <w:t>系统、完善的制度控制体系，建立了管理制度、控制制度、岗位职责、业务操作流程，可以保证托管业务的规范操作和顺利进行；取得基金从业资格的人员符合监管要求；业务管理严格实行复核、审核、检查制度，授权工作实行集中控制，业务印章按规程保管、存放、使用，账户资料严格保管，制约机制严格有效；业务</w:t>
      </w:r>
      <w:proofErr w:type="gramStart"/>
      <w:r>
        <w:rPr>
          <w:rFonts w:asciiTheme="minorEastAsia" w:hAnsiTheme="minorEastAsia" w:cs="Arial" w:hint="eastAsia"/>
          <w:bCs/>
          <w:sz w:val="24"/>
          <w:szCs w:val="24"/>
        </w:rPr>
        <w:t>操作区</w:t>
      </w:r>
      <w:proofErr w:type="gramEnd"/>
      <w:r>
        <w:rPr>
          <w:rFonts w:asciiTheme="minorEastAsia" w:hAnsiTheme="minorEastAsia" w:cs="Arial" w:hint="eastAsia"/>
          <w:bCs/>
          <w:sz w:val="24"/>
          <w:szCs w:val="24"/>
        </w:rPr>
        <w:t>专门设置，封闭管理，实施音像监控；业务信息由专职信息披露人负责，防止泄密；业务实现自动化操作，防止人为事故的发生，技术系统完整、独立。</w:t>
      </w:r>
    </w:p>
    <w:p w14:paraId="6471AC1D" w14:textId="77777777" w:rsidR="0046184B" w:rsidRDefault="00000000">
      <w:pPr>
        <w:tabs>
          <w:tab w:val="left" w:pos="1110"/>
        </w:tabs>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三、基金托管人对基金管理人运作基金进行监督的方法和程序</w:t>
      </w:r>
    </w:p>
    <w:p w14:paraId="77E4D21D"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1、监督方法</w:t>
      </w:r>
    </w:p>
    <w:p w14:paraId="205D8CDC"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依照《基金法》及其配套法规和基金合同的约定，监督所托管基金的投资运</w:t>
      </w:r>
      <w:r>
        <w:rPr>
          <w:rFonts w:asciiTheme="minorEastAsia" w:hAnsiTheme="minorEastAsia" w:cs="Arial" w:hint="eastAsia"/>
          <w:bCs/>
          <w:sz w:val="24"/>
          <w:szCs w:val="24"/>
        </w:rPr>
        <w:lastRenderedPageBreak/>
        <w:t>作。利用行业普遍使用的“资产托管业务系统——监控子系统”，严格按照现行法律法规以及基金合同规定，对基金管理人运作基金的投资比例、投资范围、投资组合等情况进行监督，并定期编写基金投资运作监督报告，报送中国证监会。在日常为基金投资运作所提供的基金清算和核算服务环节中，对基金管理人发送的投资指令、基金管理人对各基金费用的提取与开支情况进行检查监督。</w:t>
      </w:r>
    </w:p>
    <w:p w14:paraId="3FF1A42C"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2、监督流程</w:t>
      </w:r>
    </w:p>
    <w:p w14:paraId="3433F411"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每工作日按时通过监控子系统，对各基金投资运作比例控制指标进行例行监控，发现投资比例超标等异常情况，向基金管理人发出书面通知，与基金管理人进行情况核实，督促其纠正，并及时报告中国证监会。</w:t>
      </w:r>
    </w:p>
    <w:p w14:paraId="4826FFF9"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（2）收到基金管理人的投资指令后，对涉及各基金的投资范围、投资对象及交易对手等内容进行合法合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性监督。</w:t>
      </w:r>
    </w:p>
    <w:p w14:paraId="1B36DE75"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（3）根据基金投资运作监督情况，定期编写基金投资运作监督报告，对各基金投资运作的合法合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性、投资独立性和风格显著性等方面进行评价，报送中国证监会。</w:t>
      </w:r>
    </w:p>
    <w:p w14:paraId="2300F0AB"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bCs/>
          <w:szCs w:val="24"/>
        </w:rPr>
      </w:pPr>
      <w:r>
        <w:rPr>
          <w:rFonts w:asciiTheme="minorEastAsia" w:hAnsiTheme="minorEastAsia" w:cs="Arial" w:hint="eastAsia"/>
          <w:bCs/>
          <w:sz w:val="24"/>
          <w:szCs w:val="24"/>
        </w:rPr>
        <w:t>（4）通过技术或非技术手段发现基金涉嫌违规交易，电话或书面要求管理人进行解释或举证，并及时报告中国证监会。</w:t>
      </w:r>
      <w:r>
        <w:rPr>
          <w:rFonts w:asciiTheme="minorEastAsia" w:hAnsiTheme="minorEastAsia" w:cs="Arial"/>
          <w:bCs/>
          <w:szCs w:val="24"/>
        </w:rPr>
        <w:br w:type="page"/>
      </w:r>
    </w:p>
    <w:p w14:paraId="761D9281" w14:textId="77777777" w:rsidR="0046184B" w:rsidRDefault="00000000">
      <w:pPr>
        <w:pStyle w:val="1"/>
        <w:jc w:val="center"/>
        <w:rPr>
          <w:sz w:val="30"/>
          <w:szCs w:val="30"/>
        </w:rPr>
      </w:pPr>
      <w:bookmarkStart w:id="90" w:name="_Toc37770208"/>
      <w:bookmarkStart w:id="91" w:name="_Toc263092313"/>
      <w:bookmarkStart w:id="92" w:name="_Toc416264541"/>
      <w:bookmarkStart w:id="93" w:name="_Toc214873594"/>
      <w:bookmarkStart w:id="94" w:name="_Toc11081"/>
      <w:bookmarkStart w:id="95" w:name="_Toc139991736"/>
      <w:bookmarkStart w:id="96" w:name="_Toc1427"/>
      <w:bookmarkStart w:id="97" w:name="_Toc79392606"/>
      <w:bookmarkStart w:id="98" w:name="_Toc23261"/>
      <w:bookmarkStart w:id="99" w:name="_Toc141703886"/>
      <w:bookmarkStart w:id="100" w:name="_Toc352229751"/>
      <w:bookmarkStart w:id="101" w:name="_Toc20733"/>
      <w:bookmarkStart w:id="102" w:name="_Toc23822"/>
      <w:bookmarkStart w:id="103" w:name="_Toc1270"/>
      <w:bookmarkStart w:id="104" w:name="_Toc98560352"/>
      <w:bookmarkStart w:id="105" w:name="_Toc610"/>
      <w:bookmarkStart w:id="106" w:name="_Toc10463"/>
      <w:bookmarkStart w:id="107" w:name="_Toc4003"/>
      <w:bookmarkStart w:id="108" w:name="_Toc123051452"/>
      <w:bookmarkStart w:id="109" w:name="_Toc48649707"/>
      <w:bookmarkStart w:id="110" w:name="_Toc7920"/>
      <w:bookmarkStart w:id="111" w:name="_Toc123102453"/>
      <w:bookmarkStart w:id="112" w:name="_Toc17244"/>
      <w:bookmarkStart w:id="113" w:name="_Toc123112234"/>
      <w:bookmarkStart w:id="114" w:name="_Toc352229752"/>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r>
        <w:rPr>
          <w:rFonts w:hint="eastAsia"/>
          <w:sz w:val="30"/>
          <w:szCs w:val="30"/>
        </w:rPr>
        <w:lastRenderedPageBreak/>
        <w:t>第五部分</w:t>
      </w:r>
      <w:r>
        <w:rPr>
          <w:sz w:val="30"/>
          <w:szCs w:val="30"/>
        </w:rPr>
        <w:t xml:space="preserve">  </w:t>
      </w:r>
      <w:r>
        <w:rPr>
          <w:rFonts w:hint="eastAsia"/>
          <w:sz w:val="30"/>
          <w:szCs w:val="30"/>
        </w:rPr>
        <w:t>相关服务机构</w:t>
      </w:r>
      <w:bookmarkEnd w:id="90"/>
      <w:bookmarkEnd w:id="91"/>
      <w:bookmarkEnd w:id="92"/>
      <w:bookmarkEnd w:id="93"/>
    </w:p>
    <w:p w14:paraId="678A5C84" w14:textId="77777777" w:rsidR="0046184B" w:rsidRDefault="00000000">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一、基金份额发售机构</w:t>
      </w:r>
    </w:p>
    <w:p w14:paraId="420C2552" w14:textId="77777777" w:rsidR="0046184B"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1、直销机构：富荣基金管理有限公司直销中心</w:t>
      </w:r>
    </w:p>
    <w:p w14:paraId="67008DCF" w14:textId="77777777" w:rsidR="0046184B"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注册地址：广东省广州市南沙区横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镇汇通二街2号3110房</w:t>
      </w:r>
    </w:p>
    <w:p w14:paraId="1B4D21EE" w14:textId="77777777" w:rsidR="0046184B"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791B783B" w14:textId="77777777" w:rsidR="0046184B"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法定代表人：王亦伟</w:t>
      </w:r>
    </w:p>
    <w:p w14:paraId="2DE0684B" w14:textId="77777777" w:rsidR="0046184B"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电话：0755-84356629</w:t>
      </w:r>
    </w:p>
    <w:p w14:paraId="150DDEA3" w14:textId="77777777" w:rsidR="0046184B"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5022E170" w14:textId="77777777" w:rsidR="0046184B"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客服电话：4006855600</w:t>
      </w:r>
    </w:p>
    <w:p w14:paraId="652F77CD" w14:textId="77777777" w:rsidR="0046184B"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网址：www.furamc.com.cn</w:t>
      </w:r>
    </w:p>
    <w:p w14:paraId="6913E5D0" w14:textId="77777777" w:rsidR="0046184B" w:rsidRDefault="00000000">
      <w:pPr>
        <w:tabs>
          <w:tab w:val="left" w:pos="54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2、其他销售机构：</w:t>
      </w:r>
    </w:p>
    <w:tbl>
      <w:tblPr>
        <w:tblStyle w:val="afa"/>
        <w:tblW w:w="8505" w:type="dxa"/>
        <w:tblInd w:w="-5" w:type="dxa"/>
        <w:tblLayout w:type="fixed"/>
        <w:tblLook w:val="04A0" w:firstRow="1" w:lastRow="0" w:firstColumn="1" w:lastColumn="0" w:noHBand="0" w:noVBand="1"/>
      </w:tblPr>
      <w:tblGrid>
        <w:gridCol w:w="822"/>
        <w:gridCol w:w="2580"/>
        <w:gridCol w:w="5103"/>
      </w:tblGrid>
      <w:tr w:rsidR="0046184B" w14:paraId="2A8D36AC" w14:textId="77777777">
        <w:tc>
          <w:tcPr>
            <w:tcW w:w="822" w:type="dxa"/>
            <w:tcBorders>
              <w:top w:val="single" w:sz="4" w:space="0" w:color="auto"/>
              <w:left w:val="single" w:sz="4" w:space="0" w:color="auto"/>
              <w:bottom w:val="single" w:sz="4" w:space="0" w:color="auto"/>
              <w:right w:val="single" w:sz="4" w:space="0" w:color="auto"/>
            </w:tcBorders>
          </w:tcPr>
          <w:p w14:paraId="3B643D72" w14:textId="77777777" w:rsidR="0046184B"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序号</w:t>
            </w:r>
          </w:p>
        </w:tc>
        <w:tc>
          <w:tcPr>
            <w:tcW w:w="2580" w:type="dxa"/>
            <w:tcBorders>
              <w:top w:val="single" w:sz="4" w:space="0" w:color="auto"/>
              <w:left w:val="single" w:sz="4" w:space="0" w:color="auto"/>
              <w:bottom w:val="single" w:sz="4" w:space="0" w:color="auto"/>
              <w:right w:val="single" w:sz="4" w:space="0" w:color="auto"/>
            </w:tcBorders>
          </w:tcPr>
          <w:p w14:paraId="0F9612F0" w14:textId="77777777" w:rsidR="0046184B"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代销机构名称</w:t>
            </w:r>
          </w:p>
        </w:tc>
        <w:tc>
          <w:tcPr>
            <w:tcW w:w="5103" w:type="dxa"/>
            <w:tcBorders>
              <w:top w:val="single" w:sz="4" w:space="0" w:color="auto"/>
              <w:left w:val="single" w:sz="4" w:space="0" w:color="auto"/>
              <w:bottom w:val="single" w:sz="4" w:space="0" w:color="auto"/>
              <w:right w:val="single" w:sz="4" w:space="0" w:color="auto"/>
            </w:tcBorders>
          </w:tcPr>
          <w:p w14:paraId="0B613079" w14:textId="77777777" w:rsidR="0046184B" w:rsidRDefault="00000000">
            <w:pPr>
              <w:jc w:val="center"/>
              <w:rPr>
                <w:rFonts w:asciiTheme="minorEastAsia" w:hAnsiTheme="minorEastAsia" w:cs="Arial" w:hint="eastAsia"/>
                <w:sz w:val="24"/>
                <w:szCs w:val="24"/>
              </w:rPr>
            </w:pPr>
            <w:r>
              <w:rPr>
                <w:rFonts w:asciiTheme="minorEastAsia" w:hAnsiTheme="minorEastAsia" w:cs="Arial" w:hint="eastAsia"/>
                <w:sz w:val="24"/>
                <w:szCs w:val="24"/>
              </w:rPr>
              <w:t>代销机构信息</w:t>
            </w:r>
          </w:p>
        </w:tc>
      </w:tr>
    </w:tbl>
    <w:tbl>
      <w:tblPr>
        <w:tblStyle w:val="12"/>
        <w:tblW w:w="8505" w:type="dxa"/>
        <w:tblInd w:w="-5" w:type="dxa"/>
        <w:tblLayout w:type="fixed"/>
        <w:tblLook w:val="04A0" w:firstRow="1" w:lastRow="0" w:firstColumn="1" w:lastColumn="0" w:noHBand="0" w:noVBand="1"/>
      </w:tblPr>
      <w:tblGrid>
        <w:gridCol w:w="811"/>
        <w:gridCol w:w="2580"/>
        <w:gridCol w:w="5114"/>
      </w:tblGrid>
      <w:tr w:rsidR="0046184B" w14:paraId="6BC1E165" w14:textId="77777777">
        <w:trPr>
          <w:trHeight w:val="20"/>
        </w:trPr>
        <w:tc>
          <w:tcPr>
            <w:tcW w:w="811" w:type="dxa"/>
          </w:tcPr>
          <w:p w14:paraId="06773E7A" w14:textId="77777777" w:rsidR="0046184B" w:rsidRDefault="00000000">
            <w:pPr>
              <w:rPr>
                <w:rFonts w:ascii="宋体" w:hAnsi="宋体" w:cs="Arial" w:hint="eastAsia"/>
              </w:rPr>
            </w:pPr>
            <w:r>
              <w:rPr>
                <w:rFonts w:ascii="宋体" w:hAnsi="宋体" w:cs="Arial" w:hint="eastAsia"/>
              </w:rPr>
              <w:t>1</w:t>
            </w:r>
          </w:p>
        </w:tc>
        <w:tc>
          <w:tcPr>
            <w:tcW w:w="2580" w:type="dxa"/>
          </w:tcPr>
          <w:p w14:paraId="27A48791" w14:textId="77777777" w:rsidR="0046184B" w:rsidRDefault="00000000">
            <w:pPr>
              <w:jc w:val="left"/>
              <w:rPr>
                <w:rFonts w:asciiTheme="minorEastAsia" w:hAnsiTheme="minorEastAsia" w:cs="Arial" w:hint="eastAsia"/>
              </w:rPr>
            </w:pPr>
            <w:r>
              <w:rPr>
                <w:rFonts w:ascii="宋体" w:hAnsi="宋体" w:cs="Calibri" w:hint="eastAsia"/>
                <w:color w:val="000000"/>
                <w:szCs w:val="21"/>
              </w:rPr>
              <w:t>东方财富证券股份有限公司</w:t>
            </w:r>
          </w:p>
        </w:tc>
        <w:tc>
          <w:tcPr>
            <w:tcW w:w="5114" w:type="dxa"/>
          </w:tcPr>
          <w:p w14:paraId="6DF196D2"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 xml:space="preserve">注册(办公)地址：西藏自治区拉萨市柳梧新区国际总部城10栋楼 </w:t>
            </w:r>
          </w:p>
          <w:p w14:paraId="6833EBA0"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客户服务电话：95357</w:t>
            </w:r>
          </w:p>
          <w:p w14:paraId="2AE34459"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www.</w:t>
            </w:r>
            <w:r>
              <w:rPr>
                <w:rFonts w:ascii="宋体" w:hAnsi="宋体" w:cs="Calibri" w:hint="eastAsia"/>
                <w:color w:val="000000"/>
                <w:szCs w:val="21"/>
              </w:rPr>
              <w:t>18.cn</w:t>
            </w:r>
          </w:p>
        </w:tc>
      </w:tr>
      <w:tr w:rsidR="0046184B" w14:paraId="1763BDC5" w14:textId="77777777">
        <w:trPr>
          <w:trHeight w:val="20"/>
        </w:trPr>
        <w:tc>
          <w:tcPr>
            <w:tcW w:w="811" w:type="dxa"/>
          </w:tcPr>
          <w:p w14:paraId="07F0E272" w14:textId="77777777" w:rsidR="0046184B" w:rsidRDefault="00000000">
            <w:pPr>
              <w:rPr>
                <w:rFonts w:ascii="宋体" w:hAnsi="宋体" w:cs="Arial" w:hint="eastAsia"/>
              </w:rPr>
            </w:pPr>
            <w:r>
              <w:rPr>
                <w:rFonts w:ascii="宋体" w:hAnsi="宋体" w:cs="Arial" w:hint="eastAsia"/>
              </w:rPr>
              <w:t>2</w:t>
            </w:r>
          </w:p>
        </w:tc>
        <w:tc>
          <w:tcPr>
            <w:tcW w:w="2580" w:type="dxa"/>
          </w:tcPr>
          <w:p w14:paraId="3F2BE18B" w14:textId="77777777" w:rsidR="0046184B" w:rsidRDefault="00000000">
            <w:pPr>
              <w:jc w:val="left"/>
              <w:rPr>
                <w:rFonts w:asciiTheme="minorEastAsia" w:hAnsiTheme="minorEastAsia" w:cs="Arial" w:hint="eastAsia"/>
              </w:rPr>
            </w:pPr>
            <w:r>
              <w:rPr>
                <w:rFonts w:ascii="宋体" w:hAnsi="宋体" w:cs="Calibri" w:hint="eastAsia"/>
                <w:color w:val="000000"/>
                <w:szCs w:val="21"/>
              </w:rPr>
              <w:t>上海基</w:t>
            </w:r>
            <w:proofErr w:type="gramStart"/>
            <w:r>
              <w:rPr>
                <w:rFonts w:ascii="宋体" w:hAnsi="宋体" w:cs="Calibri" w:hint="eastAsia"/>
                <w:color w:val="000000"/>
                <w:szCs w:val="21"/>
              </w:rPr>
              <w:t>煜</w:t>
            </w:r>
            <w:proofErr w:type="gramEnd"/>
            <w:r>
              <w:rPr>
                <w:rFonts w:ascii="宋体" w:hAnsi="宋体" w:cs="Calibri" w:hint="eastAsia"/>
                <w:color w:val="000000"/>
                <w:szCs w:val="21"/>
              </w:rPr>
              <w:t>基金销售有限公司</w:t>
            </w:r>
          </w:p>
        </w:tc>
        <w:tc>
          <w:tcPr>
            <w:tcW w:w="5114" w:type="dxa"/>
          </w:tcPr>
          <w:p w14:paraId="117858D5"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新区银</w:t>
            </w:r>
            <w:proofErr w:type="gramEnd"/>
            <w:r>
              <w:rPr>
                <w:rFonts w:ascii="宋体" w:hAnsi="宋体" w:cs="Calibri" w:hint="eastAsia"/>
                <w:color w:val="000000"/>
                <w:szCs w:val="21"/>
              </w:rPr>
              <w:t>城中路488号</w:t>
            </w:r>
          </w:p>
          <w:p w14:paraId="50F493DB"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太平金融大厦1503室</w:t>
            </w:r>
          </w:p>
          <w:p w14:paraId="51D92667"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400-820-5369</w:t>
            </w:r>
          </w:p>
          <w:p w14:paraId="12A32233"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公司网址：</w:t>
            </w:r>
            <w:hyperlink r:id="rId13" w:tgtFrame="_blank" w:history="1">
              <w:r>
                <w:rPr>
                  <w:rFonts w:ascii="宋体" w:hAnsi="宋体" w:cs="Calibri"/>
                  <w:color w:val="000000"/>
                  <w:szCs w:val="21"/>
                </w:rPr>
                <w:t>www.jiyufund.com.cn</w:t>
              </w:r>
            </w:hyperlink>
          </w:p>
        </w:tc>
      </w:tr>
      <w:tr w:rsidR="0046184B" w14:paraId="376F1298" w14:textId="77777777">
        <w:trPr>
          <w:trHeight w:val="20"/>
        </w:trPr>
        <w:tc>
          <w:tcPr>
            <w:tcW w:w="811" w:type="dxa"/>
          </w:tcPr>
          <w:p w14:paraId="6873EDBB" w14:textId="77777777" w:rsidR="0046184B" w:rsidRDefault="00000000">
            <w:pPr>
              <w:rPr>
                <w:rFonts w:ascii="宋体" w:hAnsi="宋体" w:cs="Arial" w:hint="eastAsia"/>
              </w:rPr>
            </w:pPr>
            <w:r>
              <w:rPr>
                <w:rFonts w:ascii="宋体" w:hAnsi="宋体" w:cs="Arial" w:hint="eastAsia"/>
              </w:rPr>
              <w:t>3</w:t>
            </w:r>
          </w:p>
        </w:tc>
        <w:tc>
          <w:tcPr>
            <w:tcW w:w="2580" w:type="dxa"/>
          </w:tcPr>
          <w:p w14:paraId="4273FD7E" w14:textId="77777777" w:rsidR="0046184B" w:rsidRDefault="00000000">
            <w:pPr>
              <w:jc w:val="left"/>
              <w:rPr>
                <w:rFonts w:asciiTheme="minorEastAsia" w:hAnsiTheme="minorEastAsia" w:cs="Arial" w:hint="eastAsia"/>
              </w:rPr>
            </w:pPr>
            <w:r>
              <w:rPr>
                <w:rFonts w:ascii="宋体" w:hAnsi="宋体" w:cs="Calibri" w:hint="eastAsia"/>
                <w:color w:val="000000"/>
                <w:szCs w:val="21"/>
              </w:rPr>
              <w:t>奕丰金融销售有限公司</w:t>
            </w:r>
          </w:p>
        </w:tc>
        <w:tc>
          <w:tcPr>
            <w:tcW w:w="5114" w:type="dxa"/>
          </w:tcPr>
          <w:p w14:paraId="76D0AD73"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w:t>
            </w:r>
            <w:r>
              <w:rPr>
                <w:rFonts w:ascii="宋体" w:hAnsi="宋体" w:cs="Calibri"/>
                <w:color w:val="000000"/>
                <w:szCs w:val="21"/>
              </w:rPr>
              <w:t xml:space="preserve">地址: </w:t>
            </w:r>
            <w:r>
              <w:rPr>
                <w:rFonts w:ascii="宋体" w:hAnsi="宋体" w:cs="Calibri" w:hint="eastAsia"/>
                <w:color w:val="000000"/>
                <w:szCs w:val="21"/>
              </w:rPr>
              <w:t>深圳市南山区海德三道航天科技广场A座17楼1704室</w:t>
            </w:r>
          </w:p>
          <w:p w14:paraId="3E9B1D72"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400-684-0500</w:t>
            </w:r>
          </w:p>
          <w:p w14:paraId="5FC5843D"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www.ifastps.com.cn</w:t>
            </w:r>
          </w:p>
        </w:tc>
      </w:tr>
      <w:tr w:rsidR="0046184B" w14:paraId="188B2D70" w14:textId="77777777">
        <w:trPr>
          <w:trHeight w:val="20"/>
        </w:trPr>
        <w:tc>
          <w:tcPr>
            <w:tcW w:w="811" w:type="dxa"/>
          </w:tcPr>
          <w:p w14:paraId="3B29236A" w14:textId="77777777" w:rsidR="0046184B" w:rsidRDefault="00000000">
            <w:pPr>
              <w:rPr>
                <w:rFonts w:ascii="宋体" w:hAnsi="宋体" w:cs="Arial" w:hint="eastAsia"/>
              </w:rPr>
            </w:pPr>
            <w:r>
              <w:rPr>
                <w:rFonts w:ascii="宋体" w:hAnsi="宋体" w:cs="Arial" w:hint="eastAsia"/>
              </w:rPr>
              <w:t>4</w:t>
            </w:r>
          </w:p>
        </w:tc>
        <w:tc>
          <w:tcPr>
            <w:tcW w:w="2580" w:type="dxa"/>
          </w:tcPr>
          <w:p w14:paraId="34407D50" w14:textId="77777777" w:rsidR="0046184B" w:rsidRDefault="00000000">
            <w:pPr>
              <w:jc w:val="left"/>
              <w:rPr>
                <w:rFonts w:asciiTheme="minorEastAsia" w:hAnsiTheme="minorEastAsia" w:cs="Arial" w:hint="eastAsia"/>
              </w:rPr>
            </w:pPr>
            <w:r>
              <w:rPr>
                <w:rFonts w:ascii="宋体" w:hAnsi="宋体" w:cs="Calibri" w:hint="eastAsia"/>
                <w:color w:val="000000"/>
                <w:szCs w:val="21"/>
              </w:rPr>
              <w:t>上海好买基金销售有限公司</w:t>
            </w:r>
          </w:p>
        </w:tc>
        <w:tc>
          <w:tcPr>
            <w:tcW w:w="5114" w:type="dxa"/>
          </w:tcPr>
          <w:p w14:paraId="29143DC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注册(办公)地址：上海市浦东新区张杨路500号华</w:t>
            </w:r>
            <w:proofErr w:type="gramStart"/>
            <w:r>
              <w:rPr>
                <w:rFonts w:ascii="宋体" w:hAnsi="宋体" w:cs="Calibri" w:hint="eastAsia"/>
                <w:color w:val="000000"/>
                <w:szCs w:val="21"/>
              </w:rPr>
              <w:t>润时代</w:t>
            </w:r>
            <w:proofErr w:type="gramEnd"/>
            <w:r>
              <w:rPr>
                <w:rFonts w:ascii="宋体" w:hAnsi="宋体" w:cs="Calibri" w:hint="eastAsia"/>
                <w:color w:val="000000"/>
                <w:szCs w:val="21"/>
              </w:rPr>
              <w:t>广场10、11、12、14层</w:t>
            </w:r>
          </w:p>
          <w:p w14:paraId="0893D637"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客服电话：400-700-9665</w:t>
            </w:r>
          </w:p>
          <w:p w14:paraId="2A8DAF4F"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公司网址：www.ehowbuy.com</w:t>
            </w:r>
          </w:p>
        </w:tc>
      </w:tr>
      <w:tr w:rsidR="0046184B" w14:paraId="605E9CEB" w14:textId="77777777">
        <w:trPr>
          <w:trHeight w:val="20"/>
        </w:trPr>
        <w:tc>
          <w:tcPr>
            <w:tcW w:w="811" w:type="dxa"/>
          </w:tcPr>
          <w:p w14:paraId="2E5ADCF5" w14:textId="77777777" w:rsidR="0046184B" w:rsidRDefault="00000000">
            <w:pPr>
              <w:rPr>
                <w:rFonts w:ascii="宋体" w:hAnsi="宋体" w:cs="Arial" w:hint="eastAsia"/>
              </w:rPr>
            </w:pPr>
            <w:r>
              <w:rPr>
                <w:rFonts w:ascii="宋体" w:hAnsi="宋体" w:cs="Arial" w:hint="eastAsia"/>
              </w:rPr>
              <w:t>5</w:t>
            </w:r>
          </w:p>
        </w:tc>
        <w:tc>
          <w:tcPr>
            <w:tcW w:w="2580" w:type="dxa"/>
          </w:tcPr>
          <w:p w14:paraId="6EDB707A" w14:textId="77777777" w:rsidR="0046184B" w:rsidRDefault="00000000">
            <w:pPr>
              <w:jc w:val="left"/>
              <w:rPr>
                <w:rFonts w:asciiTheme="minorEastAsia" w:hAnsiTheme="minorEastAsia" w:cs="Arial" w:hint="eastAsia"/>
              </w:rPr>
            </w:pPr>
            <w:r>
              <w:rPr>
                <w:rFonts w:ascii="宋体" w:hAnsi="宋体" w:cs="Calibri" w:hint="eastAsia"/>
                <w:color w:val="000000"/>
                <w:szCs w:val="21"/>
              </w:rPr>
              <w:t>京东肯特瑞基金销售有限公司</w:t>
            </w:r>
          </w:p>
        </w:tc>
        <w:tc>
          <w:tcPr>
            <w:tcW w:w="5114" w:type="dxa"/>
          </w:tcPr>
          <w:p w14:paraId="7376F17A"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注册(办公)地址：北京市海淀区知春路76号(写字楼)1号楼4层1-7-2</w:t>
            </w:r>
          </w:p>
          <w:p w14:paraId="351ACA96"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客服电话：95118</w:t>
            </w:r>
          </w:p>
          <w:p w14:paraId="5FDA9A4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https://kenterui.jd.com/</w:t>
            </w:r>
          </w:p>
        </w:tc>
      </w:tr>
      <w:tr w:rsidR="0046184B" w14:paraId="53BEBC36" w14:textId="77777777">
        <w:trPr>
          <w:trHeight w:val="20"/>
        </w:trPr>
        <w:tc>
          <w:tcPr>
            <w:tcW w:w="811" w:type="dxa"/>
          </w:tcPr>
          <w:p w14:paraId="28B6C381" w14:textId="77777777" w:rsidR="0046184B" w:rsidRDefault="00000000">
            <w:pPr>
              <w:rPr>
                <w:rFonts w:ascii="宋体" w:hAnsi="宋体" w:cs="Arial" w:hint="eastAsia"/>
              </w:rPr>
            </w:pPr>
            <w:r>
              <w:rPr>
                <w:rFonts w:ascii="宋体" w:hAnsi="宋体" w:cs="Arial" w:hint="eastAsia"/>
              </w:rPr>
              <w:t>6</w:t>
            </w:r>
          </w:p>
        </w:tc>
        <w:tc>
          <w:tcPr>
            <w:tcW w:w="2580" w:type="dxa"/>
          </w:tcPr>
          <w:p w14:paraId="0677076E" w14:textId="77777777" w:rsidR="0046184B" w:rsidRDefault="00000000">
            <w:pPr>
              <w:jc w:val="left"/>
              <w:rPr>
                <w:rFonts w:asciiTheme="minorEastAsia" w:hAnsiTheme="minorEastAsia" w:cs="Arial" w:hint="eastAsia"/>
              </w:rPr>
            </w:pPr>
            <w:r>
              <w:rPr>
                <w:rFonts w:ascii="宋体" w:hAnsi="宋体" w:cs="Calibri" w:hint="eastAsia"/>
                <w:color w:val="000000"/>
                <w:szCs w:val="21"/>
              </w:rPr>
              <w:t>北京虹点基金销售有限公司</w:t>
            </w:r>
          </w:p>
        </w:tc>
        <w:tc>
          <w:tcPr>
            <w:tcW w:w="5114" w:type="dxa"/>
          </w:tcPr>
          <w:p w14:paraId="1F64B917"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注册(办公)地址：北京市朝阳区工人体育场北路甲2号裙房2层222单元</w:t>
            </w:r>
          </w:p>
          <w:p w14:paraId="761D6EAF"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400-618-0707</w:t>
            </w:r>
          </w:p>
          <w:p w14:paraId="622C2CC7"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www.hongdianfund.com</w:t>
            </w:r>
          </w:p>
        </w:tc>
      </w:tr>
      <w:tr w:rsidR="0046184B" w14:paraId="0D703CF7" w14:textId="77777777">
        <w:trPr>
          <w:trHeight w:val="20"/>
        </w:trPr>
        <w:tc>
          <w:tcPr>
            <w:tcW w:w="811" w:type="dxa"/>
          </w:tcPr>
          <w:p w14:paraId="57474F5D" w14:textId="77777777" w:rsidR="0046184B" w:rsidRDefault="00000000">
            <w:pPr>
              <w:rPr>
                <w:rFonts w:ascii="宋体" w:hAnsi="宋体" w:cs="Arial" w:hint="eastAsia"/>
              </w:rPr>
            </w:pPr>
            <w:r>
              <w:rPr>
                <w:rFonts w:ascii="宋体" w:hAnsi="宋体" w:cs="Arial" w:hint="eastAsia"/>
              </w:rPr>
              <w:t>7</w:t>
            </w:r>
          </w:p>
        </w:tc>
        <w:tc>
          <w:tcPr>
            <w:tcW w:w="2580" w:type="dxa"/>
          </w:tcPr>
          <w:p w14:paraId="65BC8444" w14:textId="77777777" w:rsidR="0046184B" w:rsidRDefault="00000000">
            <w:pPr>
              <w:jc w:val="left"/>
              <w:rPr>
                <w:rFonts w:asciiTheme="minorEastAsia" w:hAnsiTheme="minorEastAsia" w:cs="Arial" w:hint="eastAsia"/>
              </w:rPr>
            </w:pPr>
            <w:r>
              <w:rPr>
                <w:rFonts w:ascii="宋体" w:hAnsi="宋体" w:cs="Calibri" w:hint="eastAsia"/>
                <w:color w:val="000000"/>
                <w:szCs w:val="21"/>
              </w:rPr>
              <w:t>北京</w:t>
            </w:r>
            <w:proofErr w:type="gramStart"/>
            <w:r>
              <w:rPr>
                <w:rFonts w:ascii="宋体" w:hAnsi="宋体" w:cs="Calibri" w:hint="eastAsia"/>
                <w:color w:val="000000"/>
                <w:szCs w:val="21"/>
              </w:rPr>
              <w:t>钱景基金</w:t>
            </w:r>
            <w:proofErr w:type="gramEnd"/>
            <w:r>
              <w:rPr>
                <w:rFonts w:ascii="宋体" w:hAnsi="宋体" w:cs="Calibri" w:hint="eastAsia"/>
                <w:color w:val="000000"/>
                <w:szCs w:val="21"/>
              </w:rPr>
              <w:t>销售有限公司</w:t>
            </w:r>
          </w:p>
        </w:tc>
        <w:tc>
          <w:tcPr>
            <w:tcW w:w="5114" w:type="dxa"/>
          </w:tcPr>
          <w:p w14:paraId="0C2B0A9C"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注册(办公)地址：北京市石景山区城通</w:t>
            </w:r>
            <w:proofErr w:type="gramStart"/>
            <w:r>
              <w:rPr>
                <w:rFonts w:ascii="宋体" w:hAnsi="宋体" w:cs="Calibri" w:hint="eastAsia"/>
                <w:color w:val="000000"/>
                <w:szCs w:val="21"/>
              </w:rPr>
              <w:t>街金融</w:t>
            </w:r>
            <w:proofErr w:type="gramEnd"/>
            <w:r>
              <w:rPr>
                <w:rFonts w:ascii="宋体" w:hAnsi="宋体" w:cs="Calibri" w:hint="eastAsia"/>
                <w:color w:val="000000"/>
                <w:szCs w:val="21"/>
              </w:rPr>
              <w:t>长安中心26号院2号楼17层</w:t>
            </w:r>
          </w:p>
          <w:p w14:paraId="6A42B758"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010-59422766</w:t>
            </w:r>
          </w:p>
          <w:p w14:paraId="1C809F69"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www.qianjing.com</w:t>
            </w:r>
          </w:p>
        </w:tc>
      </w:tr>
      <w:tr w:rsidR="0046184B" w14:paraId="7EB3BF16" w14:textId="77777777">
        <w:trPr>
          <w:trHeight w:val="20"/>
        </w:trPr>
        <w:tc>
          <w:tcPr>
            <w:tcW w:w="811" w:type="dxa"/>
          </w:tcPr>
          <w:p w14:paraId="25DF7D97" w14:textId="77777777" w:rsidR="0046184B" w:rsidRDefault="00000000">
            <w:pPr>
              <w:rPr>
                <w:rFonts w:ascii="宋体" w:hAnsi="宋体" w:cs="Arial" w:hint="eastAsia"/>
              </w:rPr>
            </w:pPr>
            <w:r>
              <w:rPr>
                <w:rFonts w:ascii="宋体" w:hAnsi="宋体" w:cs="Arial" w:hint="eastAsia"/>
              </w:rPr>
              <w:t>8</w:t>
            </w:r>
          </w:p>
        </w:tc>
        <w:tc>
          <w:tcPr>
            <w:tcW w:w="2580" w:type="dxa"/>
          </w:tcPr>
          <w:p w14:paraId="09E1C3A1" w14:textId="77777777" w:rsidR="0046184B" w:rsidRDefault="00000000">
            <w:pPr>
              <w:jc w:val="left"/>
              <w:rPr>
                <w:rFonts w:asciiTheme="minorEastAsia" w:hAnsiTheme="minorEastAsia" w:cs="Arial" w:hint="eastAsia"/>
              </w:rPr>
            </w:pPr>
            <w:r>
              <w:rPr>
                <w:rFonts w:ascii="宋体" w:hAnsi="宋体" w:cs="Calibri" w:hint="eastAsia"/>
                <w:color w:val="000000"/>
                <w:szCs w:val="21"/>
              </w:rPr>
              <w:t>蚂蚁（杭州）基金销售有</w:t>
            </w:r>
            <w:r>
              <w:rPr>
                <w:rFonts w:ascii="宋体" w:hAnsi="宋体" w:cs="Calibri" w:hint="eastAsia"/>
                <w:color w:val="000000"/>
                <w:szCs w:val="21"/>
              </w:rPr>
              <w:lastRenderedPageBreak/>
              <w:t>限公司</w:t>
            </w:r>
          </w:p>
        </w:tc>
        <w:tc>
          <w:tcPr>
            <w:tcW w:w="5114" w:type="dxa"/>
          </w:tcPr>
          <w:p w14:paraId="351AACB0"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lastRenderedPageBreak/>
              <w:t>注册(办公)地址：浙江省杭州市余杭区五常街道文</w:t>
            </w:r>
            <w:proofErr w:type="gramStart"/>
            <w:r>
              <w:rPr>
                <w:rFonts w:ascii="宋体" w:hAnsi="宋体" w:cs="Calibri" w:hint="eastAsia"/>
                <w:color w:val="000000"/>
                <w:szCs w:val="21"/>
              </w:rPr>
              <w:t>一</w:t>
            </w:r>
            <w:proofErr w:type="gramEnd"/>
            <w:r>
              <w:rPr>
                <w:rFonts w:ascii="宋体" w:hAnsi="宋体" w:cs="Calibri" w:hint="eastAsia"/>
                <w:color w:val="000000"/>
                <w:szCs w:val="21"/>
              </w:rPr>
              <w:lastRenderedPageBreak/>
              <w:t>西路969号3幢5层599室</w:t>
            </w:r>
          </w:p>
          <w:p w14:paraId="5B5FB46D"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95188</w:t>
            </w:r>
          </w:p>
          <w:p w14:paraId="0199A74C"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www.fund123.cn</w:t>
            </w:r>
          </w:p>
        </w:tc>
      </w:tr>
      <w:tr w:rsidR="0046184B" w14:paraId="3804650B" w14:textId="77777777">
        <w:trPr>
          <w:trHeight w:val="20"/>
        </w:trPr>
        <w:tc>
          <w:tcPr>
            <w:tcW w:w="811" w:type="dxa"/>
          </w:tcPr>
          <w:p w14:paraId="50B69CD6" w14:textId="77777777" w:rsidR="0046184B" w:rsidRDefault="00000000">
            <w:pPr>
              <w:rPr>
                <w:rFonts w:ascii="宋体" w:hAnsi="宋体" w:cs="Arial" w:hint="eastAsia"/>
              </w:rPr>
            </w:pPr>
            <w:r>
              <w:rPr>
                <w:rFonts w:ascii="宋体" w:hAnsi="宋体" w:cs="Arial" w:hint="eastAsia"/>
              </w:rPr>
              <w:lastRenderedPageBreak/>
              <w:t>9</w:t>
            </w:r>
          </w:p>
        </w:tc>
        <w:tc>
          <w:tcPr>
            <w:tcW w:w="2580" w:type="dxa"/>
          </w:tcPr>
          <w:p w14:paraId="08ABAE10" w14:textId="77777777" w:rsidR="0046184B" w:rsidRDefault="00000000">
            <w:pPr>
              <w:jc w:val="left"/>
              <w:rPr>
                <w:rFonts w:asciiTheme="minorEastAsia" w:hAnsiTheme="minorEastAsia" w:cs="Arial" w:hint="eastAsia"/>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114" w:type="dxa"/>
          </w:tcPr>
          <w:p w14:paraId="3D415A01"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注册(办公)地址：杭州市西湖区文二西路1号元茂大厦903室</w:t>
            </w:r>
          </w:p>
          <w:p w14:paraId="0F26A910"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952555</w:t>
            </w:r>
          </w:p>
          <w:p w14:paraId="59309657"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hyperlink r:id="rId14" w:history="1">
              <w:r>
                <w:rPr>
                  <w:rFonts w:ascii="宋体" w:hAnsi="宋体" w:cs="Calibri" w:hint="eastAsia"/>
                  <w:color w:val="000000"/>
                  <w:szCs w:val="21"/>
                </w:rPr>
                <w:t>www.5ifund.com</w:t>
              </w:r>
            </w:hyperlink>
          </w:p>
        </w:tc>
      </w:tr>
      <w:tr w:rsidR="0046184B" w14:paraId="3F8B33F1" w14:textId="77777777">
        <w:trPr>
          <w:trHeight w:val="20"/>
        </w:trPr>
        <w:tc>
          <w:tcPr>
            <w:tcW w:w="811" w:type="dxa"/>
          </w:tcPr>
          <w:p w14:paraId="1BA51DE1" w14:textId="77777777" w:rsidR="0046184B" w:rsidRDefault="00000000">
            <w:pPr>
              <w:rPr>
                <w:rFonts w:ascii="宋体" w:hAnsi="宋体" w:cs="Arial" w:hint="eastAsia"/>
              </w:rPr>
            </w:pPr>
            <w:r>
              <w:rPr>
                <w:rFonts w:ascii="宋体" w:hAnsi="宋体" w:cs="Arial" w:hint="eastAsia"/>
              </w:rPr>
              <w:t>1</w:t>
            </w:r>
            <w:r>
              <w:rPr>
                <w:rFonts w:ascii="宋体" w:hAnsi="宋体" w:cs="Arial"/>
              </w:rPr>
              <w:t>0</w:t>
            </w:r>
          </w:p>
        </w:tc>
        <w:tc>
          <w:tcPr>
            <w:tcW w:w="2580" w:type="dxa"/>
          </w:tcPr>
          <w:p w14:paraId="28781423" w14:textId="77777777" w:rsidR="0046184B" w:rsidRDefault="00000000">
            <w:pPr>
              <w:jc w:val="left"/>
              <w:rPr>
                <w:rFonts w:ascii="宋体" w:hAnsi="宋体" w:cs="Calibri" w:hint="eastAsia"/>
                <w:color w:val="000000"/>
                <w:szCs w:val="21"/>
              </w:rPr>
            </w:pPr>
            <w:r>
              <w:rPr>
                <w:rFonts w:ascii="宋体" w:hAnsi="宋体" w:cs="Calibri" w:hint="eastAsia"/>
                <w:color w:val="000000"/>
                <w:szCs w:val="21"/>
              </w:rPr>
              <w:t>上海陆金</w:t>
            </w:r>
            <w:proofErr w:type="gramStart"/>
            <w:r>
              <w:rPr>
                <w:rFonts w:ascii="宋体" w:hAnsi="宋体" w:cs="Calibri" w:hint="eastAsia"/>
                <w:color w:val="000000"/>
                <w:szCs w:val="21"/>
              </w:rPr>
              <w:t>所基金</w:t>
            </w:r>
            <w:proofErr w:type="gramEnd"/>
            <w:r>
              <w:rPr>
                <w:rFonts w:ascii="宋体" w:hAnsi="宋体" w:cs="Calibri" w:hint="eastAsia"/>
                <w:color w:val="000000"/>
                <w:szCs w:val="21"/>
              </w:rPr>
              <w:t>销售有限公司</w:t>
            </w:r>
          </w:p>
        </w:tc>
        <w:tc>
          <w:tcPr>
            <w:tcW w:w="5114" w:type="dxa"/>
          </w:tcPr>
          <w:p w14:paraId="21A93C90"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注册(办公)地址：中国（上海）自由贸易试验区源深路1</w:t>
            </w:r>
            <w:r>
              <w:rPr>
                <w:rFonts w:ascii="宋体" w:hAnsi="宋体" w:cs="Calibri"/>
                <w:color w:val="000000"/>
                <w:szCs w:val="21"/>
              </w:rPr>
              <w:t>088</w:t>
            </w:r>
            <w:r>
              <w:rPr>
                <w:rFonts w:ascii="宋体" w:hAnsi="宋体" w:cs="Calibri" w:hint="eastAsia"/>
                <w:color w:val="000000"/>
                <w:szCs w:val="21"/>
              </w:rPr>
              <w:t>号7层</w:t>
            </w:r>
          </w:p>
          <w:p w14:paraId="74851C7A"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4008219031</w:t>
            </w:r>
          </w:p>
          <w:p w14:paraId="31A26F0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www.lufunds.com</w:t>
            </w:r>
          </w:p>
        </w:tc>
      </w:tr>
      <w:tr w:rsidR="0046184B" w14:paraId="55EA4752" w14:textId="77777777">
        <w:trPr>
          <w:trHeight w:val="20"/>
        </w:trPr>
        <w:tc>
          <w:tcPr>
            <w:tcW w:w="811" w:type="dxa"/>
          </w:tcPr>
          <w:p w14:paraId="5A5485CE" w14:textId="77777777" w:rsidR="0046184B" w:rsidRDefault="00000000">
            <w:pPr>
              <w:rPr>
                <w:rFonts w:ascii="宋体" w:hAnsi="宋体" w:cs="Arial" w:hint="eastAsia"/>
              </w:rPr>
            </w:pPr>
            <w:r>
              <w:rPr>
                <w:rFonts w:ascii="宋体" w:hAnsi="宋体" w:cs="Arial" w:hint="eastAsia"/>
              </w:rPr>
              <w:t>1</w:t>
            </w:r>
            <w:r>
              <w:rPr>
                <w:rFonts w:ascii="宋体" w:hAnsi="宋体" w:cs="Arial"/>
              </w:rPr>
              <w:t>1</w:t>
            </w:r>
          </w:p>
        </w:tc>
        <w:tc>
          <w:tcPr>
            <w:tcW w:w="2580" w:type="dxa"/>
          </w:tcPr>
          <w:p w14:paraId="779E2732" w14:textId="77777777" w:rsidR="0046184B" w:rsidRDefault="00000000">
            <w:pPr>
              <w:jc w:val="left"/>
              <w:rPr>
                <w:rFonts w:asciiTheme="minorEastAsia" w:hAnsiTheme="minorEastAsia" w:cs="Arial" w:hint="eastAsia"/>
              </w:rPr>
            </w:pPr>
            <w:r>
              <w:rPr>
                <w:rFonts w:ascii="宋体" w:hAnsi="宋体" w:cs="Calibri" w:hint="eastAsia"/>
                <w:color w:val="000000"/>
                <w:szCs w:val="21"/>
              </w:rPr>
              <w:t>上海联泰资产管理有限公司</w:t>
            </w:r>
          </w:p>
        </w:tc>
        <w:tc>
          <w:tcPr>
            <w:tcW w:w="5114" w:type="dxa"/>
          </w:tcPr>
          <w:p w14:paraId="09529092"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注册(办公)地址：上海市虹口区北外滩</w:t>
            </w:r>
            <w:proofErr w:type="gramStart"/>
            <w:r>
              <w:rPr>
                <w:rFonts w:ascii="宋体" w:hAnsi="宋体" w:cs="Calibri" w:hint="eastAsia"/>
                <w:color w:val="000000"/>
                <w:szCs w:val="21"/>
              </w:rPr>
              <w:t>临潼路</w:t>
            </w:r>
            <w:proofErr w:type="gramEnd"/>
            <w:r>
              <w:rPr>
                <w:rFonts w:ascii="宋体" w:hAnsi="宋体" w:cs="Calibri" w:hint="eastAsia"/>
                <w:color w:val="000000"/>
                <w:szCs w:val="21"/>
              </w:rPr>
              <w:t>188号</w:t>
            </w:r>
          </w:p>
          <w:p w14:paraId="3F80D7A1"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400-118-1188</w:t>
            </w:r>
          </w:p>
          <w:p w14:paraId="4CDD03D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https://www.66liantai.com/</w:t>
            </w:r>
          </w:p>
        </w:tc>
      </w:tr>
      <w:tr w:rsidR="0046184B" w14:paraId="2E6381AE" w14:textId="77777777">
        <w:trPr>
          <w:trHeight w:val="20"/>
        </w:trPr>
        <w:tc>
          <w:tcPr>
            <w:tcW w:w="811" w:type="dxa"/>
          </w:tcPr>
          <w:p w14:paraId="17BEEF4E" w14:textId="77777777" w:rsidR="0046184B" w:rsidRDefault="00000000">
            <w:pPr>
              <w:rPr>
                <w:rFonts w:ascii="宋体" w:hAnsi="宋体" w:cs="Arial" w:hint="eastAsia"/>
              </w:rPr>
            </w:pPr>
            <w:r>
              <w:rPr>
                <w:rFonts w:ascii="宋体" w:hAnsi="宋体" w:cs="Arial" w:hint="eastAsia"/>
              </w:rPr>
              <w:t>12</w:t>
            </w:r>
          </w:p>
        </w:tc>
        <w:tc>
          <w:tcPr>
            <w:tcW w:w="2580" w:type="dxa"/>
          </w:tcPr>
          <w:p w14:paraId="12EF4700" w14:textId="77777777" w:rsidR="0046184B" w:rsidRDefault="00000000">
            <w:pPr>
              <w:jc w:val="left"/>
              <w:rPr>
                <w:rFonts w:asciiTheme="minorEastAsia" w:hAnsiTheme="minorEastAsia" w:cs="Arial" w:hint="eastAsia"/>
              </w:rPr>
            </w:pPr>
            <w:r>
              <w:rPr>
                <w:rFonts w:ascii="宋体" w:hAnsi="宋体" w:cs="Calibri" w:hint="eastAsia"/>
                <w:color w:val="000000"/>
                <w:szCs w:val="21"/>
              </w:rPr>
              <w:t>上海天天基金销售有限公司</w:t>
            </w:r>
          </w:p>
        </w:tc>
        <w:tc>
          <w:tcPr>
            <w:tcW w:w="5114" w:type="dxa"/>
          </w:tcPr>
          <w:p w14:paraId="00837F4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注册(办公)地址：上海市徐汇区宛平南路88号东方财富大厦</w:t>
            </w:r>
          </w:p>
          <w:p w14:paraId="4FB77E92"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95021</w:t>
            </w:r>
          </w:p>
          <w:p w14:paraId="4D7F7976"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fund.eastmoney.com</w:t>
            </w:r>
          </w:p>
        </w:tc>
      </w:tr>
      <w:tr w:rsidR="0046184B" w14:paraId="10022730" w14:textId="77777777">
        <w:trPr>
          <w:trHeight w:val="20"/>
        </w:trPr>
        <w:tc>
          <w:tcPr>
            <w:tcW w:w="811" w:type="dxa"/>
          </w:tcPr>
          <w:p w14:paraId="3A72B392" w14:textId="77777777" w:rsidR="0046184B" w:rsidRDefault="00000000">
            <w:pPr>
              <w:rPr>
                <w:rFonts w:ascii="宋体" w:hAnsi="宋体" w:cs="Arial" w:hint="eastAsia"/>
              </w:rPr>
            </w:pPr>
            <w:r>
              <w:rPr>
                <w:rFonts w:ascii="宋体" w:hAnsi="宋体" w:cs="Arial" w:hint="eastAsia"/>
              </w:rPr>
              <w:t>13</w:t>
            </w:r>
          </w:p>
        </w:tc>
        <w:tc>
          <w:tcPr>
            <w:tcW w:w="2580" w:type="dxa"/>
          </w:tcPr>
          <w:p w14:paraId="5D5FCD31" w14:textId="77777777" w:rsidR="0046184B" w:rsidRDefault="00000000">
            <w:pPr>
              <w:jc w:val="left"/>
              <w:rPr>
                <w:rFonts w:asciiTheme="minorEastAsia" w:hAnsiTheme="minorEastAsia" w:cs="Arial" w:hint="eastAsia"/>
              </w:rPr>
            </w:pPr>
            <w:r>
              <w:rPr>
                <w:rFonts w:ascii="宋体" w:hAnsi="宋体" w:cs="Calibri" w:hint="eastAsia"/>
                <w:color w:val="000000"/>
                <w:szCs w:val="21"/>
              </w:rPr>
              <w:t>珠海</w:t>
            </w:r>
            <w:proofErr w:type="gramStart"/>
            <w:r>
              <w:rPr>
                <w:rFonts w:ascii="宋体" w:hAnsi="宋体" w:cs="Calibri" w:hint="eastAsia"/>
                <w:color w:val="000000"/>
                <w:szCs w:val="21"/>
              </w:rPr>
              <w:t>盈米基金</w:t>
            </w:r>
            <w:proofErr w:type="gramEnd"/>
            <w:r>
              <w:rPr>
                <w:rFonts w:ascii="宋体" w:hAnsi="宋体" w:cs="Calibri" w:hint="eastAsia"/>
                <w:color w:val="000000"/>
                <w:szCs w:val="21"/>
              </w:rPr>
              <w:t>销售有限公司</w:t>
            </w:r>
          </w:p>
        </w:tc>
        <w:tc>
          <w:tcPr>
            <w:tcW w:w="5114" w:type="dxa"/>
          </w:tcPr>
          <w:p w14:paraId="3F4FB2E2"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注册(办公)地址：广州市海</w:t>
            </w:r>
            <w:proofErr w:type="gramStart"/>
            <w:r>
              <w:rPr>
                <w:rFonts w:ascii="宋体" w:hAnsi="宋体" w:cs="Calibri" w:hint="eastAsia"/>
                <w:color w:val="000000"/>
                <w:szCs w:val="21"/>
              </w:rPr>
              <w:t>珠区阅江</w:t>
            </w:r>
            <w:proofErr w:type="gramEnd"/>
            <w:r>
              <w:rPr>
                <w:rFonts w:ascii="宋体" w:hAnsi="宋体" w:cs="Calibri" w:hint="eastAsia"/>
                <w:color w:val="000000"/>
                <w:szCs w:val="21"/>
              </w:rPr>
              <w:t>中路688号保利国际广场北塔33楼、8楼</w:t>
            </w:r>
          </w:p>
          <w:p w14:paraId="6F8E5906"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020-89629066</w:t>
            </w:r>
          </w:p>
          <w:p w14:paraId="42FA1B9D"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www.yingmi.cn</w:t>
            </w:r>
          </w:p>
        </w:tc>
      </w:tr>
      <w:tr w:rsidR="0046184B" w14:paraId="1CE8A35B" w14:textId="77777777">
        <w:trPr>
          <w:trHeight w:val="20"/>
        </w:trPr>
        <w:tc>
          <w:tcPr>
            <w:tcW w:w="811" w:type="dxa"/>
          </w:tcPr>
          <w:p w14:paraId="3DA6050D" w14:textId="77777777" w:rsidR="0046184B" w:rsidRDefault="00000000">
            <w:pPr>
              <w:rPr>
                <w:rFonts w:ascii="宋体" w:hAnsi="宋体" w:cs="Arial" w:hint="eastAsia"/>
              </w:rPr>
            </w:pPr>
            <w:r>
              <w:rPr>
                <w:rFonts w:ascii="宋体" w:hAnsi="宋体" w:cs="Arial" w:hint="eastAsia"/>
              </w:rPr>
              <w:t>14</w:t>
            </w:r>
          </w:p>
        </w:tc>
        <w:tc>
          <w:tcPr>
            <w:tcW w:w="2580" w:type="dxa"/>
          </w:tcPr>
          <w:p w14:paraId="251C886F" w14:textId="77777777" w:rsidR="0046184B" w:rsidRDefault="00000000">
            <w:pPr>
              <w:jc w:val="left"/>
              <w:rPr>
                <w:rFonts w:asciiTheme="minorEastAsia" w:hAnsiTheme="minorEastAsia" w:cs="Arial" w:hint="eastAsia"/>
              </w:rPr>
            </w:pPr>
            <w:r>
              <w:rPr>
                <w:rFonts w:ascii="宋体" w:hAnsi="宋体" w:cs="Calibri" w:hint="eastAsia"/>
                <w:color w:val="000000"/>
                <w:szCs w:val="21"/>
              </w:rPr>
              <w:t>上海长</w:t>
            </w:r>
            <w:proofErr w:type="gramStart"/>
            <w:r>
              <w:rPr>
                <w:rFonts w:ascii="宋体" w:hAnsi="宋体" w:cs="Calibri" w:hint="eastAsia"/>
                <w:color w:val="000000"/>
                <w:szCs w:val="21"/>
              </w:rPr>
              <w:t>量基金</w:t>
            </w:r>
            <w:proofErr w:type="gramEnd"/>
            <w:r>
              <w:rPr>
                <w:rFonts w:ascii="宋体" w:hAnsi="宋体" w:cs="Calibri" w:hint="eastAsia"/>
                <w:color w:val="000000"/>
                <w:szCs w:val="21"/>
              </w:rPr>
              <w:t>销售有限公司</w:t>
            </w:r>
          </w:p>
        </w:tc>
        <w:tc>
          <w:tcPr>
            <w:tcW w:w="5114" w:type="dxa"/>
          </w:tcPr>
          <w:p w14:paraId="52AAD374"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注册(办公)地址：上海市浦东新区东方路1267号陆家嘴金融服务广场二期11层</w:t>
            </w:r>
          </w:p>
          <w:p w14:paraId="7E7EEDC4"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客服电话：400-820-2899</w:t>
            </w:r>
          </w:p>
          <w:p w14:paraId="6674763B"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公司网站： www.erichfund.com</w:t>
            </w:r>
          </w:p>
        </w:tc>
      </w:tr>
      <w:tr w:rsidR="0046184B" w14:paraId="04090F7B" w14:textId="77777777">
        <w:trPr>
          <w:trHeight w:val="20"/>
        </w:trPr>
        <w:tc>
          <w:tcPr>
            <w:tcW w:w="811" w:type="dxa"/>
          </w:tcPr>
          <w:p w14:paraId="23CF9F72" w14:textId="77777777" w:rsidR="0046184B" w:rsidRDefault="00000000">
            <w:pPr>
              <w:rPr>
                <w:rFonts w:ascii="宋体" w:hAnsi="宋体" w:cs="Arial" w:hint="eastAsia"/>
              </w:rPr>
            </w:pPr>
            <w:r>
              <w:rPr>
                <w:rFonts w:ascii="宋体" w:hAnsi="宋体" w:cs="Arial" w:hint="eastAsia"/>
              </w:rPr>
              <w:t>15</w:t>
            </w:r>
          </w:p>
        </w:tc>
        <w:tc>
          <w:tcPr>
            <w:tcW w:w="2580" w:type="dxa"/>
          </w:tcPr>
          <w:p w14:paraId="6F249388" w14:textId="77777777" w:rsidR="0046184B" w:rsidRDefault="00000000">
            <w:pPr>
              <w:jc w:val="left"/>
              <w:rPr>
                <w:rFonts w:ascii="宋体" w:hAnsi="宋体" w:cs="Calibri" w:hint="eastAsia"/>
                <w:color w:val="000000"/>
                <w:szCs w:val="21"/>
              </w:rPr>
            </w:pPr>
            <w:r>
              <w:rPr>
                <w:rFonts w:hint="eastAsia"/>
              </w:rPr>
              <w:t>民</w:t>
            </w:r>
            <w:proofErr w:type="gramStart"/>
            <w:r>
              <w:rPr>
                <w:rFonts w:hint="eastAsia"/>
              </w:rPr>
              <w:t>商基金</w:t>
            </w:r>
            <w:proofErr w:type="gramEnd"/>
            <w:r>
              <w:rPr>
                <w:rFonts w:hint="eastAsia"/>
              </w:rPr>
              <w:t>销售（上海）有限公司</w:t>
            </w:r>
          </w:p>
        </w:tc>
        <w:tc>
          <w:tcPr>
            <w:tcW w:w="5114" w:type="dxa"/>
          </w:tcPr>
          <w:p w14:paraId="693CAE4E"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w:t>
            </w:r>
            <w:r>
              <w:rPr>
                <w:rFonts w:ascii="宋体" w:hAnsi="宋体" w:cs="Calibri" w:hint="eastAsia"/>
                <w:color w:val="000000"/>
                <w:szCs w:val="21"/>
              </w:rPr>
              <w:t>办公</w:t>
            </w:r>
            <w:r>
              <w:rPr>
                <w:rFonts w:ascii="宋体" w:hAnsi="宋体" w:cs="Calibri"/>
                <w:color w:val="000000"/>
                <w:szCs w:val="21"/>
              </w:rPr>
              <w:t>)</w:t>
            </w:r>
            <w:r>
              <w:rPr>
                <w:rFonts w:ascii="宋体" w:hAnsi="宋体" w:cs="Calibri" w:hint="eastAsia"/>
                <w:color w:val="000000"/>
                <w:szCs w:val="21"/>
              </w:rPr>
              <w:t>地址：上海市浦东新区张扬路707号生命人寿大厦32楼</w:t>
            </w:r>
          </w:p>
          <w:p w14:paraId="57F7E7BC"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021-50206003</w:t>
            </w:r>
          </w:p>
          <w:p w14:paraId="5C820BBC"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www.msftec.com/</w:t>
            </w:r>
            <w:r>
              <w:rPr>
                <w:rFonts w:ascii="宋体" w:hAnsi="宋体" w:cs="Calibri" w:hint="eastAsia"/>
                <w:color w:val="000000"/>
                <w:szCs w:val="21"/>
              </w:rPr>
              <w:t xml:space="preserve"> </w:t>
            </w:r>
          </w:p>
        </w:tc>
      </w:tr>
      <w:tr w:rsidR="0046184B" w14:paraId="4D3F8DFA" w14:textId="77777777">
        <w:trPr>
          <w:trHeight w:val="20"/>
        </w:trPr>
        <w:tc>
          <w:tcPr>
            <w:tcW w:w="811" w:type="dxa"/>
          </w:tcPr>
          <w:p w14:paraId="6AA38F8A" w14:textId="77777777" w:rsidR="0046184B" w:rsidRDefault="00000000">
            <w:pPr>
              <w:rPr>
                <w:rFonts w:ascii="宋体" w:hAnsi="宋体" w:cs="Arial" w:hint="eastAsia"/>
              </w:rPr>
            </w:pPr>
            <w:r>
              <w:rPr>
                <w:rFonts w:ascii="宋体" w:hAnsi="宋体" w:cs="Arial" w:hint="eastAsia"/>
              </w:rPr>
              <w:t>16</w:t>
            </w:r>
          </w:p>
        </w:tc>
        <w:tc>
          <w:tcPr>
            <w:tcW w:w="2580" w:type="dxa"/>
          </w:tcPr>
          <w:p w14:paraId="1FC68145" w14:textId="77777777" w:rsidR="0046184B" w:rsidRDefault="00000000">
            <w:pPr>
              <w:jc w:val="left"/>
              <w:rPr>
                <w:rFonts w:asciiTheme="minorEastAsia" w:hAnsiTheme="minorEastAsia" w:cs="Arial" w:hint="eastAsia"/>
              </w:rPr>
            </w:pPr>
            <w:r>
              <w:rPr>
                <w:rFonts w:ascii="宋体" w:hAnsi="宋体" w:cs="Calibri" w:hint="eastAsia"/>
                <w:color w:val="000000"/>
                <w:szCs w:val="21"/>
              </w:rPr>
              <w:t>北京汇成基金销售有限公司</w:t>
            </w:r>
          </w:p>
        </w:tc>
        <w:tc>
          <w:tcPr>
            <w:tcW w:w="5114" w:type="dxa"/>
          </w:tcPr>
          <w:p w14:paraId="1D59E945"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注册(办公)地址：北京市西城区宣武门外大街甲1号</w:t>
            </w:r>
            <w:proofErr w:type="gramStart"/>
            <w:r>
              <w:rPr>
                <w:rFonts w:ascii="宋体" w:hAnsi="宋体" w:cs="Calibri" w:hint="eastAsia"/>
                <w:color w:val="000000"/>
                <w:szCs w:val="21"/>
              </w:rPr>
              <w:t>环球财讯中心</w:t>
            </w:r>
            <w:proofErr w:type="gramEnd"/>
            <w:r>
              <w:rPr>
                <w:rFonts w:ascii="宋体" w:hAnsi="宋体" w:cs="Calibri" w:hint="eastAsia"/>
                <w:color w:val="000000"/>
                <w:szCs w:val="21"/>
              </w:rPr>
              <w:t>D座401</w:t>
            </w:r>
            <w:r>
              <w:rPr>
                <w:rFonts w:ascii="宋体" w:hAnsi="宋体" w:cs="Calibri"/>
                <w:color w:val="000000"/>
                <w:szCs w:val="21"/>
              </w:rPr>
              <w:t xml:space="preserve"> </w:t>
            </w:r>
          </w:p>
          <w:p w14:paraId="1D56AE32"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400-055-5728</w:t>
            </w:r>
          </w:p>
          <w:p w14:paraId="21657B7F"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 xml:space="preserve"> www.hcjijin.com</w:t>
            </w:r>
          </w:p>
        </w:tc>
      </w:tr>
      <w:tr w:rsidR="0046184B" w14:paraId="2B774A7C" w14:textId="77777777">
        <w:trPr>
          <w:trHeight w:val="20"/>
        </w:trPr>
        <w:tc>
          <w:tcPr>
            <w:tcW w:w="811" w:type="dxa"/>
          </w:tcPr>
          <w:p w14:paraId="1A369DAB" w14:textId="77777777" w:rsidR="0046184B" w:rsidRDefault="00000000">
            <w:pPr>
              <w:rPr>
                <w:rFonts w:ascii="宋体" w:hAnsi="宋体" w:cs="Arial" w:hint="eastAsia"/>
              </w:rPr>
            </w:pPr>
            <w:r>
              <w:rPr>
                <w:rFonts w:ascii="宋体" w:hAnsi="宋体" w:cs="Arial" w:hint="eastAsia"/>
              </w:rPr>
              <w:t>17</w:t>
            </w:r>
          </w:p>
        </w:tc>
        <w:tc>
          <w:tcPr>
            <w:tcW w:w="2580" w:type="dxa"/>
          </w:tcPr>
          <w:p w14:paraId="3C4B6789" w14:textId="77777777" w:rsidR="0046184B" w:rsidRDefault="00000000">
            <w:pPr>
              <w:jc w:val="left"/>
              <w:rPr>
                <w:rFonts w:asciiTheme="minorEastAsia" w:hAnsiTheme="minorEastAsia" w:cs="Arial" w:hint="eastAsia"/>
              </w:rPr>
            </w:pPr>
            <w:r>
              <w:rPr>
                <w:rFonts w:ascii="宋体" w:hAnsi="宋体" w:cs="Calibri" w:hint="eastAsia"/>
                <w:color w:val="000000"/>
                <w:szCs w:val="21"/>
              </w:rPr>
              <w:t>深圳市新兰德证券投资咨询有限公司</w:t>
            </w:r>
          </w:p>
        </w:tc>
        <w:tc>
          <w:tcPr>
            <w:tcW w:w="5114" w:type="dxa"/>
          </w:tcPr>
          <w:p w14:paraId="33CFD860"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注册(办公)地址：深圳市福田区梅林</w:t>
            </w:r>
            <w:proofErr w:type="gramStart"/>
            <w:r>
              <w:rPr>
                <w:rFonts w:ascii="宋体" w:hAnsi="宋体" w:cs="Calibri" w:hint="eastAsia"/>
                <w:color w:val="000000"/>
                <w:szCs w:val="21"/>
              </w:rPr>
              <w:t>街道梅都社区</w:t>
            </w:r>
            <w:proofErr w:type="gramEnd"/>
            <w:r>
              <w:rPr>
                <w:rFonts w:ascii="宋体" w:hAnsi="宋体" w:cs="Calibri" w:hint="eastAsia"/>
                <w:color w:val="000000"/>
                <w:szCs w:val="21"/>
              </w:rPr>
              <w:t>中康路136号深圳新一代产业园2栋3401</w:t>
            </w:r>
          </w:p>
          <w:p w14:paraId="47AC9A0A"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客服电话：</w:t>
            </w:r>
            <w:r>
              <w:rPr>
                <w:rFonts w:ascii="宋体" w:hAnsi="宋体" w:cs="Calibri"/>
                <w:color w:val="000000"/>
                <w:szCs w:val="21"/>
              </w:rPr>
              <w:t>010</w:t>
            </w:r>
            <w:r>
              <w:rPr>
                <w:rFonts w:ascii="宋体" w:hAnsi="宋体" w:cs="Calibri" w:hint="eastAsia"/>
                <w:color w:val="000000"/>
                <w:szCs w:val="21"/>
              </w:rPr>
              <w:t>-</w:t>
            </w:r>
            <w:r>
              <w:rPr>
                <w:rFonts w:ascii="宋体" w:hAnsi="宋体" w:cs="Calibri"/>
                <w:color w:val="000000"/>
                <w:szCs w:val="21"/>
              </w:rPr>
              <w:t>83275199</w:t>
            </w:r>
            <w:r>
              <w:rPr>
                <w:rFonts w:ascii="宋体" w:hAnsi="宋体" w:cs="Calibri"/>
                <w:color w:val="000000"/>
                <w:szCs w:val="21"/>
              </w:rPr>
              <w:tab/>
            </w:r>
          </w:p>
          <w:p w14:paraId="439E5031"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公司网址：</w:t>
            </w:r>
            <w:r>
              <w:rPr>
                <w:rFonts w:ascii="宋体" w:hAnsi="宋体" w:cs="Calibri"/>
                <w:color w:val="000000"/>
                <w:szCs w:val="21"/>
              </w:rPr>
              <w:t>http://www.new-rand.cn/</w:t>
            </w:r>
          </w:p>
        </w:tc>
      </w:tr>
      <w:tr w:rsidR="0046184B" w14:paraId="5592437C" w14:textId="77777777">
        <w:trPr>
          <w:trHeight w:val="20"/>
        </w:trPr>
        <w:tc>
          <w:tcPr>
            <w:tcW w:w="811" w:type="dxa"/>
          </w:tcPr>
          <w:p w14:paraId="1A7132FE" w14:textId="77777777" w:rsidR="0046184B" w:rsidRDefault="00000000">
            <w:pPr>
              <w:rPr>
                <w:rFonts w:ascii="宋体" w:hAnsi="宋体" w:cs="Arial" w:hint="eastAsia"/>
              </w:rPr>
            </w:pPr>
            <w:r>
              <w:rPr>
                <w:rFonts w:ascii="宋体" w:hAnsi="宋体" w:cs="Arial" w:hint="eastAsia"/>
              </w:rPr>
              <w:t>18</w:t>
            </w:r>
          </w:p>
        </w:tc>
        <w:tc>
          <w:tcPr>
            <w:tcW w:w="2580" w:type="dxa"/>
          </w:tcPr>
          <w:p w14:paraId="03BDF9BE" w14:textId="77777777" w:rsidR="0046184B" w:rsidRDefault="00000000">
            <w:pPr>
              <w:jc w:val="left"/>
              <w:rPr>
                <w:rFonts w:asciiTheme="minorEastAsia" w:hAnsiTheme="minorEastAsia" w:cs="Arial" w:hint="eastAsia"/>
              </w:rPr>
            </w:pPr>
            <w:r>
              <w:rPr>
                <w:rFonts w:ascii="宋体" w:hAnsi="宋体" w:cs="Calibri" w:hint="eastAsia"/>
                <w:color w:val="000000"/>
                <w:szCs w:val="21"/>
              </w:rPr>
              <w:t>济安财富（北京）基金销售有限公司</w:t>
            </w:r>
          </w:p>
        </w:tc>
        <w:tc>
          <w:tcPr>
            <w:tcW w:w="5114" w:type="dxa"/>
          </w:tcPr>
          <w:p w14:paraId="2A229BBB"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注册(办公)地址：北京市朝阳区太阳宫中路16号院1号</w:t>
            </w:r>
            <w:proofErr w:type="gramStart"/>
            <w:r>
              <w:rPr>
                <w:rFonts w:ascii="宋体" w:hAnsi="宋体" w:cs="Calibri" w:hint="eastAsia"/>
                <w:color w:val="000000"/>
                <w:szCs w:val="21"/>
              </w:rPr>
              <w:t>楼冠捷大厦</w:t>
            </w:r>
            <w:proofErr w:type="gramEnd"/>
            <w:r>
              <w:rPr>
                <w:rFonts w:ascii="宋体" w:hAnsi="宋体" w:cs="Calibri" w:hint="eastAsia"/>
                <w:color w:val="000000"/>
                <w:szCs w:val="21"/>
              </w:rPr>
              <w:t>11层1105</w:t>
            </w:r>
          </w:p>
          <w:p w14:paraId="0CBD2722"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400-673-7010</w:t>
            </w:r>
          </w:p>
          <w:p w14:paraId="4F9300CB"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t>http://www.jianfortune.com/</w:t>
            </w:r>
          </w:p>
        </w:tc>
      </w:tr>
      <w:tr w:rsidR="0046184B" w14:paraId="184EAF92" w14:textId="77777777">
        <w:trPr>
          <w:trHeight w:val="20"/>
        </w:trPr>
        <w:tc>
          <w:tcPr>
            <w:tcW w:w="811" w:type="dxa"/>
          </w:tcPr>
          <w:p w14:paraId="6733E0C8" w14:textId="77777777" w:rsidR="0046184B" w:rsidRDefault="00000000">
            <w:pPr>
              <w:rPr>
                <w:rFonts w:ascii="宋体" w:hAnsi="宋体" w:cs="Arial" w:hint="eastAsia"/>
              </w:rPr>
            </w:pPr>
            <w:r>
              <w:rPr>
                <w:rFonts w:ascii="宋体" w:hAnsi="宋体" w:cs="Arial" w:hint="eastAsia"/>
              </w:rPr>
              <w:t>19</w:t>
            </w:r>
          </w:p>
        </w:tc>
        <w:tc>
          <w:tcPr>
            <w:tcW w:w="2580" w:type="dxa"/>
          </w:tcPr>
          <w:p w14:paraId="4C4358B5" w14:textId="77777777" w:rsidR="0046184B" w:rsidRDefault="00000000">
            <w:pPr>
              <w:jc w:val="left"/>
              <w:rPr>
                <w:rFonts w:ascii="宋体" w:hAnsi="宋体" w:cs="Calibri" w:hint="eastAsia"/>
                <w:color w:val="000000"/>
                <w:szCs w:val="21"/>
              </w:rPr>
            </w:pPr>
            <w:r>
              <w:rPr>
                <w:rFonts w:ascii="宋体" w:hAnsi="宋体" w:cs="Calibri" w:hint="eastAsia"/>
                <w:color w:val="000000"/>
                <w:szCs w:val="21"/>
              </w:rPr>
              <w:t>方德保险代理有限公司</w:t>
            </w:r>
          </w:p>
        </w:tc>
        <w:tc>
          <w:tcPr>
            <w:tcW w:w="5114" w:type="dxa"/>
          </w:tcPr>
          <w:p w14:paraId="4EAF01DA"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注册(办公)地址：北京市东城区崇文门外16号1幢8层802</w:t>
            </w:r>
          </w:p>
          <w:p w14:paraId="2AE6E9D4"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010-64068617</w:t>
            </w:r>
          </w:p>
          <w:p w14:paraId="77A5377D"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https://fdsure.com/</w:t>
            </w:r>
          </w:p>
        </w:tc>
      </w:tr>
      <w:tr w:rsidR="0046184B" w14:paraId="123B21F8" w14:textId="77777777">
        <w:trPr>
          <w:trHeight w:val="20"/>
        </w:trPr>
        <w:tc>
          <w:tcPr>
            <w:tcW w:w="811" w:type="dxa"/>
          </w:tcPr>
          <w:p w14:paraId="1DB242F1" w14:textId="77777777" w:rsidR="0046184B" w:rsidRDefault="00000000">
            <w:pPr>
              <w:rPr>
                <w:rFonts w:ascii="宋体" w:hAnsi="宋体" w:cs="Arial" w:hint="eastAsia"/>
              </w:rPr>
            </w:pPr>
            <w:r>
              <w:rPr>
                <w:rFonts w:ascii="宋体" w:hAnsi="宋体" w:cs="Arial" w:hint="eastAsia"/>
              </w:rPr>
              <w:t>20</w:t>
            </w:r>
          </w:p>
        </w:tc>
        <w:tc>
          <w:tcPr>
            <w:tcW w:w="2580" w:type="dxa"/>
          </w:tcPr>
          <w:p w14:paraId="5ABED54A" w14:textId="77777777" w:rsidR="0046184B" w:rsidRDefault="00000000">
            <w:pPr>
              <w:jc w:val="left"/>
              <w:rPr>
                <w:rFonts w:asciiTheme="minorEastAsia" w:hAnsiTheme="minorEastAsia" w:cs="Arial" w:hint="eastAsia"/>
              </w:rPr>
            </w:pPr>
            <w:r>
              <w:rPr>
                <w:rFonts w:ascii="宋体" w:hAnsi="宋体" w:cs="Calibri" w:hint="eastAsia"/>
                <w:color w:val="000000"/>
                <w:szCs w:val="21"/>
              </w:rPr>
              <w:t>大连</w:t>
            </w:r>
            <w:proofErr w:type="gramStart"/>
            <w:r>
              <w:rPr>
                <w:rFonts w:ascii="宋体" w:hAnsi="宋体" w:cs="Calibri" w:hint="eastAsia"/>
                <w:color w:val="000000"/>
                <w:szCs w:val="21"/>
              </w:rPr>
              <w:t>网金基金</w:t>
            </w:r>
            <w:proofErr w:type="gramEnd"/>
            <w:r>
              <w:rPr>
                <w:rFonts w:ascii="宋体" w:hAnsi="宋体" w:cs="Calibri" w:hint="eastAsia"/>
                <w:color w:val="000000"/>
                <w:szCs w:val="21"/>
              </w:rPr>
              <w:t>销售有限公司</w:t>
            </w:r>
          </w:p>
        </w:tc>
        <w:tc>
          <w:tcPr>
            <w:tcW w:w="5114" w:type="dxa"/>
          </w:tcPr>
          <w:p w14:paraId="66096B7F"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注册(办公)地址：辽宁省大连市沙河口区体坛路22号诺德大厦2层202室</w:t>
            </w:r>
          </w:p>
          <w:p w14:paraId="126DCB65"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4000-899-100</w:t>
            </w:r>
          </w:p>
          <w:p w14:paraId="19209685"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xml:space="preserve"> http://www.yibaijin.com/</w:t>
            </w:r>
          </w:p>
        </w:tc>
      </w:tr>
      <w:tr w:rsidR="0046184B" w14:paraId="6E5DDE04" w14:textId="77777777">
        <w:trPr>
          <w:trHeight w:val="20"/>
        </w:trPr>
        <w:tc>
          <w:tcPr>
            <w:tcW w:w="811" w:type="dxa"/>
          </w:tcPr>
          <w:p w14:paraId="0192DCAC" w14:textId="77777777" w:rsidR="0046184B" w:rsidRDefault="00000000">
            <w:pPr>
              <w:rPr>
                <w:rFonts w:ascii="宋体" w:hAnsi="宋体" w:cs="Arial" w:hint="eastAsia"/>
              </w:rPr>
            </w:pPr>
            <w:r>
              <w:rPr>
                <w:rFonts w:ascii="宋体" w:hAnsi="宋体" w:cs="Arial" w:hint="eastAsia"/>
              </w:rPr>
              <w:lastRenderedPageBreak/>
              <w:t>21</w:t>
            </w:r>
          </w:p>
        </w:tc>
        <w:tc>
          <w:tcPr>
            <w:tcW w:w="2580" w:type="dxa"/>
          </w:tcPr>
          <w:p w14:paraId="7A286116" w14:textId="77777777" w:rsidR="0046184B" w:rsidRDefault="00000000">
            <w:pPr>
              <w:jc w:val="left"/>
              <w:rPr>
                <w:rFonts w:asciiTheme="minorEastAsia" w:hAnsiTheme="minorEastAsia" w:cs="Arial" w:hint="eastAsia"/>
              </w:rPr>
            </w:pPr>
            <w:r>
              <w:rPr>
                <w:rFonts w:ascii="宋体" w:hAnsi="宋体" w:cs="Calibri" w:hint="eastAsia"/>
                <w:color w:val="000000"/>
                <w:szCs w:val="21"/>
              </w:rPr>
              <w:t>深圳</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销售股份有限公司</w:t>
            </w:r>
          </w:p>
        </w:tc>
        <w:tc>
          <w:tcPr>
            <w:tcW w:w="5114" w:type="dxa"/>
          </w:tcPr>
          <w:p w14:paraId="7A218871"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注册（办公）地址：深圳市罗湖区梨园路Halo广场4楼</w:t>
            </w:r>
          </w:p>
          <w:p w14:paraId="737C61B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4006-788-887</w:t>
            </w:r>
          </w:p>
          <w:p w14:paraId="05BE9842"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proofErr w:type="gramStart"/>
            <w:r>
              <w:rPr>
                <w:rFonts w:ascii="宋体" w:hAnsi="宋体" w:cs="Calibri" w:hint="eastAsia"/>
                <w:color w:val="000000"/>
                <w:szCs w:val="21"/>
              </w:rPr>
              <w:t>众禄基金</w:t>
            </w:r>
            <w:proofErr w:type="gramEnd"/>
            <w:r>
              <w:rPr>
                <w:rFonts w:ascii="宋体" w:hAnsi="宋体" w:cs="Calibri" w:hint="eastAsia"/>
                <w:color w:val="000000"/>
                <w:szCs w:val="21"/>
              </w:rPr>
              <w:t>网</w:t>
            </w:r>
            <w:r>
              <w:rPr>
                <w:rFonts w:ascii="宋体" w:hAnsi="宋体" w:cs="Calibri"/>
                <w:color w:val="000000"/>
                <w:szCs w:val="21"/>
              </w:rPr>
              <w:t xml:space="preserve"> </w:t>
            </w:r>
            <w:hyperlink r:id="rId15" w:history="1">
              <w:r>
                <w:rPr>
                  <w:rFonts w:ascii="宋体" w:hAnsi="宋体" w:cs="Calibri"/>
                  <w:color w:val="000000"/>
                  <w:szCs w:val="21"/>
                </w:rPr>
                <w:t>www.zlfund.cn</w:t>
              </w:r>
            </w:hyperlink>
          </w:p>
          <w:p w14:paraId="7BE3D48B"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基金</w:t>
            </w:r>
            <w:proofErr w:type="gramStart"/>
            <w:r>
              <w:rPr>
                <w:rFonts w:ascii="宋体" w:hAnsi="宋体" w:cs="Calibri" w:hint="eastAsia"/>
                <w:color w:val="000000"/>
                <w:szCs w:val="21"/>
              </w:rPr>
              <w:t>买卖网</w:t>
            </w:r>
            <w:proofErr w:type="gramEnd"/>
            <w:r>
              <w:rPr>
                <w:rFonts w:ascii="宋体" w:hAnsi="宋体" w:cs="Calibri"/>
                <w:color w:val="000000"/>
                <w:szCs w:val="21"/>
              </w:rPr>
              <w:t xml:space="preserve"> </w:t>
            </w:r>
            <w:hyperlink r:id="rId16" w:history="1">
              <w:r>
                <w:rPr>
                  <w:rFonts w:ascii="宋体" w:hAnsi="宋体" w:cs="Calibri"/>
                  <w:color w:val="000000"/>
                  <w:szCs w:val="21"/>
                </w:rPr>
                <w:t>www.jjmmw.com</w:t>
              </w:r>
            </w:hyperlink>
          </w:p>
        </w:tc>
      </w:tr>
      <w:tr w:rsidR="0046184B" w14:paraId="263C49E1" w14:textId="77777777">
        <w:trPr>
          <w:trHeight w:val="20"/>
        </w:trPr>
        <w:tc>
          <w:tcPr>
            <w:tcW w:w="811" w:type="dxa"/>
          </w:tcPr>
          <w:p w14:paraId="221B33AB" w14:textId="77777777" w:rsidR="0046184B" w:rsidRDefault="00000000">
            <w:pPr>
              <w:rPr>
                <w:rFonts w:ascii="宋体" w:hAnsi="宋体" w:cs="Arial" w:hint="eastAsia"/>
              </w:rPr>
            </w:pPr>
            <w:r>
              <w:rPr>
                <w:rFonts w:ascii="宋体" w:hAnsi="宋体" w:cs="Arial" w:hint="eastAsia"/>
              </w:rPr>
              <w:t>22</w:t>
            </w:r>
          </w:p>
        </w:tc>
        <w:tc>
          <w:tcPr>
            <w:tcW w:w="2580" w:type="dxa"/>
          </w:tcPr>
          <w:p w14:paraId="0899F679" w14:textId="77777777" w:rsidR="0046184B" w:rsidRDefault="00000000">
            <w:pPr>
              <w:jc w:val="left"/>
              <w:rPr>
                <w:rFonts w:asciiTheme="minorEastAsia" w:hAnsiTheme="minorEastAsia" w:cs="Arial" w:hint="eastAsia"/>
              </w:rPr>
            </w:pPr>
            <w:r>
              <w:rPr>
                <w:rFonts w:ascii="宋体" w:hAnsi="宋体" w:cs="Calibri" w:hint="eastAsia"/>
                <w:color w:val="000000"/>
                <w:szCs w:val="21"/>
              </w:rPr>
              <w:t>北京雪球基金销售有限公司</w:t>
            </w:r>
            <w:r>
              <w:rPr>
                <w:rFonts w:ascii="宋体" w:hAnsi="宋体" w:cs="Calibri" w:hint="eastAsia"/>
                <w:color w:val="000000"/>
                <w:szCs w:val="21"/>
              </w:rPr>
              <w:tab/>
            </w:r>
          </w:p>
        </w:tc>
        <w:tc>
          <w:tcPr>
            <w:tcW w:w="5114" w:type="dxa"/>
          </w:tcPr>
          <w:p w14:paraId="15914126"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注册（办公）地址：北京市朝阳区创远路34号院6号楼15层1501室</w:t>
            </w:r>
          </w:p>
          <w:p w14:paraId="007D0355"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400-159-9288</w:t>
            </w:r>
          </w:p>
          <w:p w14:paraId="56F59404"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hyperlink r:id="rId17" w:history="1">
              <w:r>
                <w:rPr>
                  <w:rFonts w:ascii="宋体" w:hAnsi="宋体" w:cs="Calibri"/>
                  <w:color w:val="000000"/>
                  <w:szCs w:val="21"/>
                </w:rPr>
                <w:t>http://danjuanapp.com/</w:t>
              </w:r>
            </w:hyperlink>
          </w:p>
        </w:tc>
      </w:tr>
      <w:tr w:rsidR="0046184B" w14:paraId="5A6921F7" w14:textId="77777777">
        <w:trPr>
          <w:trHeight w:val="20"/>
        </w:trPr>
        <w:tc>
          <w:tcPr>
            <w:tcW w:w="811" w:type="dxa"/>
          </w:tcPr>
          <w:p w14:paraId="71EAF54E" w14:textId="77777777" w:rsidR="0046184B" w:rsidRDefault="00000000">
            <w:pPr>
              <w:rPr>
                <w:rFonts w:ascii="宋体" w:hAnsi="宋体" w:cs="Arial" w:hint="eastAsia"/>
              </w:rPr>
            </w:pPr>
            <w:r>
              <w:rPr>
                <w:rFonts w:ascii="宋体" w:hAnsi="宋体" w:cs="Arial" w:hint="eastAsia"/>
              </w:rPr>
              <w:t>23</w:t>
            </w:r>
          </w:p>
        </w:tc>
        <w:tc>
          <w:tcPr>
            <w:tcW w:w="2580" w:type="dxa"/>
          </w:tcPr>
          <w:p w14:paraId="5DD1B6DB" w14:textId="77777777" w:rsidR="0046184B" w:rsidRDefault="00000000">
            <w:pPr>
              <w:jc w:val="left"/>
              <w:rPr>
                <w:rFonts w:asciiTheme="minorEastAsia" w:hAnsiTheme="minorEastAsia" w:cs="Arial" w:hint="eastAsia"/>
              </w:rPr>
            </w:pPr>
            <w:r>
              <w:rPr>
                <w:rFonts w:ascii="宋体" w:hAnsi="宋体" w:cs="Calibri" w:hint="eastAsia"/>
                <w:color w:val="000000"/>
                <w:szCs w:val="21"/>
              </w:rPr>
              <w:t>上海挖财基金销售有限公司</w:t>
            </w:r>
          </w:p>
        </w:tc>
        <w:tc>
          <w:tcPr>
            <w:tcW w:w="5114" w:type="dxa"/>
          </w:tcPr>
          <w:p w14:paraId="5160E3C6"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注册(办公)地址：上海市浦东</w:t>
            </w:r>
            <w:proofErr w:type="gramStart"/>
            <w:r>
              <w:rPr>
                <w:rFonts w:ascii="宋体" w:hAnsi="宋体" w:cs="Calibri" w:hint="eastAsia"/>
                <w:color w:val="000000"/>
                <w:szCs w:val="21"/>
              </w:rPr>
              <w:t>新区杨</w:t>
            </w:r>
            <w:proofErr w:type="gramEnd"/>
            <w:r>
              <w:rPr>
                <w:rFonts w:ascii="宋体" w:hAnsi="宋体" w:cs="Calibri" w:hint="eastAsia"/>
                <w:color w:val="000000"/>
                <w:szCs w:val="21"/>
              </w:rPr>
              <w:t>高南路759号2号楼18层03单元</w:t>
            </w:r>
          </w:p>
          <w:p w14:paraId="0D0EF235"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021-50810673</w:t>
            </w:r>
          </w:p>
          <w:p w14:paraId="116E957A"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 </w:t>
            </w:r>
            <w:hyperlink r:id="rId18" w:history="1">
              <w:r>
                <w:rPr>
                  <w:rFonts w:ascii="宋体" w:hAnsi="宋体" w:cs="Calibri"/>
                  <w:color w:val="000000"/>
                  <w:szCs w:val="21"/>
                </w:rPr>
                <w:t>www.wacaijijin.com</w:t>
              </w:r>
            </w:hyperlink>
          </w:p>
        </w:tc>
      </w:tr>
      <w:tr w:rsidR="0046184B" w14:paraId="1A1062D4" w14:textId="77777777">
        <w:trPr>
          <w:trHeight w:val="20"/>
        </w:trPr>
        <w:tc>
          <w:tcPr>
            <w:tcW w:w="811" w:type="dxa"/>
          </w:tcPr>
          <w:p w14:paraId="0E48E6DC" w14:textId="77777777" w:rsidR="0046184B" w:rsidRDefault="00000000">
            <w:pPr>
              <w:rPr>
                <w:rFonts w:ascii="宋体" w:hAnsi="宋体" w:cs="Arial" w:hint="eastAsia"/>
              </w:rPr>
            </w:pPr>
            <w:r>
              <w:rPr>
                <w:rFonts w:ascii="宋体" w:hAnsi="宋体" w:cs="Arial" w:hint="eastAsia"/>
              </w:rPr>
              <w:t>24</w:t>
            </w:r>
          </w:p>
        </w:tc>
        <w:tc>
          <w:tcPr>
            <w:tcW w:w="2580" w:type="dxa"/>
          </w:tcPr>
          <w:p w14:paraId="1DCD4F81" w14:textId="77777777" w:rsidR="0046184B" w:rsidRDefault="00000000">
            <w:pPr>
              <w:jc w:val="left"/>
              <w:rPr>
                <w:rFonts w:asciiTheme="minorEastAsia" w:hAnsiTheme="minorEastAsia" w:cs="Arial" w:hint="eastAsia"/>
              </w:rPr>
            </w:pPr>
            <w:r>
              <w:rPr>
                <w:rFonts w:ascii="宋体" w:hAnsi="宋体" w:cs="Calibri" w:hint="eastAsia"/>
                <w:color w:val="000000"/>
                <w:szCs w:val="21"/>
              </w:rPr>
              <w:t>诺亚正</w:t>
            </w:r>
            <w:proofErr w:type="gramStart"/>
            <w:r>
              <w:rPr>
                <w:rFonts w:ascii="宋体" w:hAnsi="宋体" w:cs="Calibri" w:hint="eastAsia"/>
                <w:color w:val="000000"/>
                <w:szCs w:val="21"/>
              </w:rPr>
              <w:t>行基金</w:t>
            </w:r>
            <w:proofErr w:type="gramEnd"/>
            <w:r>
              <w:rPr>
                <w:rFonts w:ascii="宋体" w:hAnsi="宋体" w:cs="Calibri" w:hint="eastAsia"/>
                <w:color w:val="000000"/>
                <w:szCs w:val="21"/>
              </w:rPr>
              <w:t>销售有限公司</w:t>
            </w:r>
          </w:p>
        </w:tc>
        <w:tc>
          <w:tcPr>
            <w:tcW w:w="5114" w:type="dxa"/>
          </w:tcPr>
          <w:p w14:paraId="686FC993"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w:t>
            </w:r>
            <w:proofErr w:type="gramStart"/>
            <w:r>
              <w:rPr>
                <w:rFonts w:ascii="宋体" w:hAnsi="宋体" w:cs="Calibri" w:hint="eastAsia"/>
                <w:color w:val="000000"/>
                <w:szCs w:val="21"/>
              </w:rPr>
              <w:t>闵行区申滨南路</w:t>
            </w:r>
            <w:proofErr w:type="gramEnd"/>
            <w:r>
              <w:rPr>
                <w:rFonts w:ascii="宋体" w:hAnsi="宋体" w:cs="Calibri" w:hint="eastAsia"/>
                <w:color w:val="000000"/>
                <w:szCs w:val="21"/>
              </w:rPr>
              <w:t>1226号诺亚财富中心</w:t>
            </w:r>
          </w:p>
          <w:p w14:paraId="2394F1B5"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400-821-5399</w:t>
            </w:r>
          </w:p>
          <w:p w14:paraId="24097669"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网址：www.noah-fund.com</w:t>
            </w:r>
          </w:p>
        </w:tc>
      </w:tr>
      <w:tr w:rsidR="0046184B" w14:paraId="4C7834EB" w14:textId="77777777">
        <w:trPr>
          <w:trHeight w:val="20"/>
        </w:trPr>
        <w:tc>
          <w:tcPr>
            <w:tcW w:w="811" w:type="dxa"/>
          </w:tcPr>
          <w:p w14:paraId="01AC19D7" w14:textId="77777777" w:rsidR="0046184B" w:rsidRDefault="00000000">
            <w:pPr>
              <w:rPr>
                <w:rFonts w:ascii="宋体" w:hAnsi="宋体" w:cs="Arial" w:hint="eastAsia"/>
              </w:rPr>
            </w:pPr>
            <w:r>
              <w:rPr>
                <w:rFonts w:ascii="宋体" w:hAnsi="宋体" w:cs="Arial" w:hint="eastAsia"/>
              </w:rPr>
              <w:t>25</w:t>
            </w:r>
          </w:p>
        </w:tc>
        <w:tc>
          <w:tcPr>
            <w:tcW w:w="2580" w:type="dxa"/>
          </w:tcPr>
          <w:p w14:paraId="4267F0C6" w14:textId="77777777" w:rsidR="0046184B" w:rsidRDefault="00000000">
            <w:pPr>
              <w:jc w:val="left"/>
              <w:rPr>
                <w:rFonts w:asciiTheme="minorEastAsia" w:hAnsiTheme="minorEastAsia" w:cs="Arial" w:hint="eastAsia"/>
              </w:rPr>
            </w:pPr>
            <w:r>
              <w:rPr>
                <w:rFonts w:ascii="宋体" w:hAnsi="宋体" w:cs="Calibri" w:hint="eastAsia"/>
                <w:color w:val="000000"/>
                <w:szCs w:val="21"/>
              </w:rPr>
              <w:t>上海</w:t>
            </w:r>
            <w:proofErr w:type="gramStart"/>
            <w:r>
              <w:rPr>
                <w:rFonts w:ascii="宋体" w:hAnsi="宋体" w:cs="Calibri" w:hint="eastAsia"/>
                <w:color w:val="000000"/>
                <w:szCs w:val="21"/>
              </w:rPr>
              <w:t>凯</w:t>
            </w:r>
            <w:proofErr w:type="gramEnd"/>
            <w:r>
              <w:rPr>
                <w:rFonts w:ascii="宋体" w:hAnsi="宋体" w:cs="Calibri" w:hint="eastAsia"/>
                <w:color w:val="000000"/>
                <w:szCs w:val="21"/>
              </w:rPr>
              <w:t>石财富基金销售有限公司</w:t>
            </w:r>
          </w:p>
        </w:tc>
        <w:tc>
          <w:tcPr>
            <w:tcW w:w="5114" w:type="dxa"/>
          </w:tcPr>
          <w:p w14:paraId="288CA118"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注册（办公）地址：上海市黄浦区延安东路1号</w:t>
            </w:r>
            <w:proofErr w:type="gramStart"/>
            <w:r>
              <w:rPr>
                <w:rFonts w:ascii="宋体" w:hAnsi="宋体" w:cs="Calibri" w:hint="eastAsia"/>
                <w:color w:val="000000"/>
                <w:szCs w:val="21"/>
              </w:rPr>
              <w:t>凯</w:t>
            </w:r>
            <w:proofErr w:type="gramEnd"/>
            <w:r>
              <w:rPr>
                <w:rFonts w:ascii="宋体" w:hAnsi="宋体" w:cs="Calibri" w:hint="eastAsia"/>
                <w:color w:val="000000"/>
                <w:szCs w:val="21"/>
              </w:rPr>
              <w:t>石大厦</w:t>
            </w:r>
          </w:p>
          <w:p w14:paraId="360CD2F0"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w:t>
            </w:r>
            <w:r>
              <w:rPr>
                <w:rFonts w:ascii="宋体" w:hAnsi="宋体" w:cs="Calibri" w:hint="eastAsia"/>
                <w:color w:val="000000"/>
                <w:szCs w:val="21"/>
              </w:rPr>
              <w:t>6433389</w:t>
            </w:r>
          </w:p>
          <w:p w14:paraId="25050407"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hyperlink r:id="rId19" w:history="1">
              <w:r>
                <w:rPr>
                  <w:rFonts w:ascii="宋体" w:hAnsi="宋体" w:cs="Calibri" w:hint="eastAsia"/>
                  <w:color w:val="000000"/>
                </w:rPr>
                <w:t>www.vstonewealth.com</w:t>
              </w:r>
            </w:hyperlink>
          </w:p>
        </w:tc>
      </w:tr>
      <w:tr w:rsidR="0046184B" w14:paraId="15663A0E" w14:textId="77777777">
        <w:trPr>
          <w:trHeight w:val="20"/>
        </w:trPr>
        <w:tc>
          <w:tcPr>
            <w:tcW w:w="811" w:type="dxa"/>
          </w:tcPr>
          <w:p w14:paraId="3A92F3F0" w14:textId="77777777" w:rsidR="0046184B" w:rsidRDefault="00000000">
            <w:pPr>
              <w:rPr>
                <w:rFonts w:ascii="宋体" w:hAnsi="宋体" w:cs="Arial" w:hint="eastAsia"/>
              </w:rPr>
            </w:pPr>
            <w:r>
              <w:rPr>
                <w:rFonts w:ascii="宋体" w:hAnsi="宋体" w:cs="Arial" w:hint="eastAsia"/>
              </w:rPr>
              <w:t>26</w:t>
            </w:r>
          </w:p>
        </w:tc>
        <w:tc>
          <w:tcPr>
            <w:tcW w:w="2580" w:type="dxa"/>
          </w:tcPr>
          <w:p w14:paraId="32A50C7D" w14:textId="77777777" w:rsidR="0046184B" w:rsidRDefault="00000000">
            <w:pPr>
              <w:jc w:val="left"/>
            </w:pPr>
            <w:r>
              <w:rPr>
                <w:rFonts w:ascii="宋体" w:hAnsi="宋体" w:cs="Calibri" w:hint="eastAsia"/>
                <w:color w:val="000000"/>
                <w:szCs w:val="21"/>
              </w:rPr>
              <w:t>深圳前海</w:t>
            </w:r>
            <w:proofErr w:type="gramStart"/>
            <w:r>
              <w:rPr>
                <w:rFonts w:ascii="宋体" w:hAnsi="宋体" w:cs="Calibri" w:hint="eastAsia"/>
                <w:color w:val="000000"/>
                <w:szCs w:val="21"/>
              </w:rPr>
              <w:t>财厚基金</w:t>
            </w:r>
            <w:proofErr w:type="gramEnd"/>
            <w:r>
              <w:rPr>
                <w:rFonts w:ascii="宋体" w:hAnsi="宋体" w:cs="Calibri" w:hint="eastAsia"/>
                <w:color w:val="000000"/>
                <w:szCs w:val="21"/>
              </w:rPr>
              <w:t>销售有限公司</w:t>
            </w:r>
          </w:p>
        </w:tc>
        <w:tc>
          <w:tcPr>
            <w:tcW w:w="5114" w:type="dxa"/>
          </w:tcPr>
          <w:p w14:paraId="00DCEA23"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注册（办公）地址：深圳市前海深港合作区南山街道</w:t>
            </w:r>
            <w:proofErr w:type="gramStart"/>
            <w:r>
              <w:rPr>
                <w:rFonts w:ascii="宋体" w:hAnsi="宋体" w:cs="Calibri" w:hint="eastAsia"/>
                <w:color w:val="000000"/>
                <w:szCs w:val="21"/>
              </w:rPr>
              <w:t>自贸西街</w:t>
            </w:r>
            <w:proofErr w:type="gramEnd"/>
            <w:r>
              <w:rPr>
                <w:rFonts w:ascii="宋体" w:hAnsi="宋体" w:cs="Calibri" w:hint="eastAsia"/>
                <w:color w:val="000000"/>
                <w:szCs w:val="21"/>
              </w:rPr>
              <w:t>18号前海香缤大厦1105号-B016</w:t>
            </w:r>
          </w:p>
          <w:p w14:paraId="360EE235"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客户服务电话：400-128-6800</w:t>
            </w:r>
          </w:p>
          <w:p w14:paraId="7408EC82" w14:textId="77777777" w:rsidR="0046184B" w:rsidRDefault="00000000">
            <w:pPr>
              <w:pStyle w:val="a6"/>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www.caiho.cn</w:t>
            </w:r>
          </w:p>
        </w:tc>
      </w:tr>
      <w:tr w:rsidR="0046184B" w14:paraId="28A09D35" w14:textId="77777777">
        <w:trPr>
          <w:trHeight w:val="20"/>
        </w:trPr>
        <w:tc>
          <w:tcPr>
            <w:tcW w:w="811" w:type="dxa"/>
          </w:tcPr>
          <w:p w14:paraId="0DCDE442" w14:textId="77777777" w:rsidR="0046184B" w:rsidRDefault="00000000">
            <w:pPr>
              <w:rPr>
                <w:rFonts w:ascii="宋体" w:hAnsi="宋体" w:cs="Arial" w:hint="eastAsia"/>
              </w:rPr>
            </w:pPr>
            <w:r>
              <w:rPr>
                <w:rFonts w:ascii="宋体" w:hAnsi="宋体" w:cs="Arial" w:hint="eastAsia"/>
              </w:rPr>
              <w:t>27</w:t>
            </w:r>
          </w:p>
        </w:tc>
        <w:tc>
          <w:tcPr>
            <w:tcW w:w="2580" w:type="dxa"/>
          </w:tcPr>
          <w:p w14:paraId="2EBA8228" w14:textId="77777777" w:rsidR="0046184B" w:rsidRDefault="00000000">
            <w:pPr>
              <w:jc w:val="left"/>
              <w:rPr>
                <w:rFonts w:asciiTheme="minorEastAsia" w:hAnsiTheme="minorEastAsia" w:cs="Arial" w:hint="eastAsia"/>
              </w:rPr>
            </w:pPr>
            <w:proofErr w:type="gramStart"/>
            <w:r>
              <w:rPr>
                <w:rFonts w:hint="eastAsia"/>
              </w:rPr>
              <w:t>泰信财富</w:t>
            </w:r>
            <w:proofErr w:type="gramEnd"/>
            <w:r>
              <w:rPr>
                <w:rFonts w:hint="eastAsia"/>
              </w:rPr>
              <w:t>基金销售有限公司</w:t>
            </w:r>
          </w:p>
        </w:tc>
        <w:tc>
          <w:tcPr>
            <w:tcW w:w="5114" w:type="dxa"/>
          </w:tcPr>
          <w:p w14:paraId="44200BA0" w14:textId="77777777" w:rsidR="0046184B" w:rsidRDefault="00000000">
            <w:pPr>
              <w:pStyle w:val="a6"/>
            </w:pPr>
            <w:r>
              <w:rPr>
                <w:rFonts w:ascii="宋体" w:hAnsi="宋体" w:cs="Calibri" w:hint="eastAsia"/>
                <w:color w:val="000000"/>
                <w:szCs w:val="21"/>
              </w:rPr>
              <w:t>注册（办公）地址：</w:t>
            </w:r>
            <w:r>
              <w:rPr>
                <w:rFonts w:hint="eastAsia"/>
              </w:rPr>
              <w:t>北京市朝阳区建国</w:t>
            </w:r>
            <w:proofErr w:type="gramStart"/>
            <w:r>
              <w:rPr>
                <w:rFonts w:hint="eastAsia"/>
              </w:rPr>
              <w:t>路乙</w:t>
            </w:r>
            <w:r>
              <w:rPr>
                <w:rFonts w:hint="eastAsia"/>
              </w:rPr>
              <w:t>118</w:t>
            </w:r>
            <w:r>
              <w:rPr>
                <w:rFonts w:hint="eastAsia"/>
              </w:rPr>
              <w:t>号京汇</w:t>
            </w:r>
            <w:proofErr w:type="gramEnd"/>
            <w:r>
              <w:rPr>
                <w:rFonts w:hint="eastAsia"/>
              </w:rPr>
              <w:t>大厦</w:t>
            </w:r>
            <w:r>
              <w:rPr>
                <w:rFonts w:hint="eastAsia"/>
              </w:rPr>
              <w:t>1206</w:t>
            </w:r>
          </w:p>
          <w:p w14:paraId="1C6AE3D3" w14:textId="77777777" w:rsidR="0046184B" w:rsidRDefault="00000000">
            <w:pPr>
              <w:pStyle w:val="a6"/>
            </w:pPr>
            <w:r>
              <w:t>客户服务电话：</w:t>
            </w:r>
            <w:r>
              <w:t xml:space="preserve">400-004-8821 </w:t>
            </w:r>
          </w:p>
          <w:p w14:paraId="4BB2E24E" w14:textId="77777777" w:rsidR="0046184B" w:rsidRDefault="00000000">
            <w:pPr>
              <w:snapToGrid w:val="0"/>
              <w:rPr>
                <w:rFonts w:ascii="宋体" w:hAnsi="宋体" w:cs="Calibri" w:hint="eastAsia"/>
                <w:color w:val="000000"/>
                <w:szCs w:val="21"/>
              </w:rPr>
            </w:pPr>
            <w:r>
              <w:t>网址：</w:t>
            </w:r>
            <w:hyperlink r:id="rId20" w:history="1">
              <w:r>
                <w:rPr>
                  <w:rStyle w:val="afc"/>
                </w:rPr>
                <w:t>www.taixincf.com</w:t>
              </w:r>
            </w:hyperlink>
          </w:p>
        </w:tc>
      </w:tr>
      <w:tr w:rsidR="0046184B" w14:paraId="19BED247" w14:textId="77777777">
        <w:trPr>
          <w:trHeight w:val="20"/>
        </w:trPr>
        <w:tc>
          <w:tcPr>
            <w:tcW w:w="811" w:type="dxa"/>
          </w:tcPr>
          <w:p w14:paraId="34BBD00C" w14:textId="77777777" w:rsidR="0046184B" w:rsidRDefault="00000000">
            <w:pPr>
              <w:rPr>
                <w:rFonts w:ascii="宋体" w:hAnsi="宋体" w:cs="Arial" w:hint="eastAsia"/>
              </w:rPr>
            </w:pPr>
            <w:r>
              <w:rPr>
                <w:rFonts w:ascii="宋体" w:hAnsi="宋体" w:cs="Arial" w:hint="eastAsia"/>
              </w:rPr>
              <w:t>28</w:t>
            </w:r>
          </w:p>
        </w:tc>
        <w:tc>
          <w:tcPr>
            <w:tcW w:w="2580" w:type="dxa"/>
          </w:tcPr>
          <w:p w14:paraId="24293560" w14:textId="77777777" w:rsidR="0046184B" w:rsidRDefault="00000000">
            <w:pPr>
              <w:jc w:val="left"/>
              <w:rPr>
                <w:rFonts w:asciiTheme="minorEastAsia" w:hAnsiTheme="minorEastAsia" w:cs="Arial" w:hint="eastAsia"/>
              </w:rPr>
            </w:pPr>
            <w:r>
              <w:rPr>
                <w:rFonts w:ascii="宋体" w:hAnsi="宋体" w:cs="Calibri" w:hint="eastAsia"/>
                <w:color w:val="000000"/>
                <w:szCs w:val="21"/>
              </w:rPr>
              <w:t>上海利得基金销售有限公司</w:t>
            </w:r>
          </w:p>
        </w:tc>
        <w:tc>
          <w:tcPr>
            <w:tcW w:w="5114" w:type="dxa"/>
          </w:tcPr>
          <w:p w14:paraId="5BF1759F"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注册（办公）地址：上海市虹口区东大名路1098号浦江国际金融广场53楼</w:t>
            </w:r>
          </w:p>
          <w:p w14:paraId="593A351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400-032-5885</w:t>
            </w:r>
          </w:p>
          <w:p w14:paraId="2914B05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www.leadfund.com.cn</w:t>
            </w:r>
          </w:p>
        </w:tc>
      </w:tr>
      <w:tr w:rsidR="0046184B" w14:paraId="44101BB0" w14:textId="77777777">
        <w:trPr>
          <w:trHeight w:val="20"/>
        </w:trPr>
        <w:tc>
          <w:tcPr>
            <w:tcW w:w="811" w:type="dxa"/>
          </w:tcPr>
          <w:p w14:paraId="4895B640" w14:textId="77777777" w:rsidR="0046184B" w:rsidRDefault="00000000">
            <w:pPr>
              <w:rPr>
                <w:rFonts w:ascii="宋体" w:hAnsi="宋体" w:cs="Arial" w:hint="eastAsia"/>
              </w:rPr>
            </w:pPr>
            <w:r>
              <w:rPr>
                <w:rFonts w:ascii="宋体" w:hAnsi="宋体" w:cs="Arial" w:hint="eastAsia"/>
              </w:rPr>
              <w:t>29</w:t>
            </w:r>
          </w:p>
        </w:tc>
        <w:tc>
          <w:tcPr>
            <w:tcW w:w="2580" w:type="dxa"/>
          </w:tcPr>
          <w:p w14:paraId="327D8187" w14:textId="77777777" w:rsidR="0046184B" w:rsidRDefault="00000000">
            <w:pPr>
              <w:jc w:val="left"/>
              <w:rPr>
                <w:rFonts w:asciiTheme="minorEastAsia" w:hAnsiTheme="minorEastAsia" w:cs="Arial" w:hint="eastAsia"/>
              </w:rPr>
            </w:pPr>
            <w:r>
              <w:rPr>
                <w:rFonts w:ascii="宋体" w:hAnsi="宋体" w:cs="Calibri" w:hint="eastAsia"/>
                <w:color w:val="000000"/>
                <w:szCs w:val="21"/>
              </w:rPr>
              <w:t>南京苏宁基金销售有限公司</w:t>
            </w:r>
          </w:p>
        </w:tc>
        <w:tc>
          <w:tcPr>
            <w:tcW w:w="5114" w:type="dxa"/>
          </w:tcPr>
          <w:p w14:paraId="13DEEE70"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 :南京市玄武区苏宁大道1-</w:t>
            </w:r>
            <w:r>
              <w:rPr>
                <w:rFonts w:ascii="宋体" w:hAnsi="宋体" w:cs="Calibri"/>
                <w:color w:val="000000"/>
                <w:szCs w:val="21"/>
              </w:rPr>
              <w:t>5</w:t>
            </w:r>
            <w:r>
              <w:rPr>
                <w:rFonts w:ascii="宋体" w:hAnsi="宋体" w:cs="Calibri" w:hint="eastAsia"/>
                <w:color w:val="000000"/>
                <w:szCs w:val="21"/>
              </w:rPr>
              <w:t>号</w:t>
            </w:r>
          </w:p>
          <w:p w14:paraId="6A6E02B8"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95177</w:t>
            </w:r>
          </w:p>
          <w:p w14:paraId="196B4A5A"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hyperlink r:id="rId21" w:history="1">
              <w:r>
                <w:rPr>
                  <w:color w:val="000000"/>
                </w:rPr>
                <w:t>www.snjijin</w:t>
              </w:r>
            </w:hyperlink>
            <w:r>
              <w:rPr>
                <w:rFonts w:ascii="宋体" w:hAnsi="宋体" w:cs="Calibri" w:hint="eastAsia"/>
                <w:color w:val="000000"/>
                <w:szCs w:val="21"/>
              </w:rPr>
              <w:t>.com</w:t>
            </w:r>
          </w:p>
        </w:tc>
      </w:tr>
      <w:tr w:rsidR="0046184B" w14:paraId="704FE23B" w14:textId="77777777">
        <w:trPr>
          <w:trHeight w:val="20"/>
        </w:trPr>
        <w:tc>
          <w:tcPr>
            <w:tcW w:w="811" w:type="dxa"/>
          </w:tcPr>
          <w:p w14:paraId="3903033C" w14:textId="77777777" w:rsidR="0046184B" w:rsidRDefault="00000000">
            <w:pPr>
              <w:rPr>
                <w:rFonts w:ascii="宋体" w:hAnsi="宋体" w:cs="Arial" w:hint="eastAsia"/>
              </w:rPr>
            </w:pPr>
            <w:r>
              <w:rPr>
                <w:rFonts w:ascii="宋体" w:hAnsi="宋体" w:cs="Arial" w:hint="eastAsia"/>
              </w:rPr>
              <w:t>30</w:t>
            </w:r>
          </w:p>
        </w:tc>
        <w:tc>
          <w:tcPr>
            <w:tcW w:w="2580" w:type="dxa"/>
          </w:tcPr>
          <w:p w14:paraId="439FD589" w14:textId="77777777" w:rsidR="0046184B" w:rsidRDefault="00000000">
            <w:pPr>
              <w:jc w:val="left"/>
              <w:rPr>
                <w:rFonts w:ascii="宋体" w:hAnsi="宋体" w:cs="Calibri" w:hint="eastAsia"/>
                <w:color w:val="000000"/>
                <w:szCs w:val="21"/>
              </w:rPr>
            </w:pPr>
            <w:r>
              <w:rPr>
                <w:rFonts w:ascii="宋体" w:hAnsi="宋体" w:cs="Calibri" w:hint="eastAsia"/>
                <w:color w:val="000000"/>
                <w:szCs w:val="21"/>
              </w:rPr>
              <w:t>喜鹊财富基金销售有限公司</w:t>
            </w:r>
          </w:p>
        </w:tc>
        <w:tc>
          <w:tcPr>
            <w:tcW w:w="5114" w:type="dxa"/>
          </w:tcPr>
          <w:p w14:paraId="65CFC035"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西藏拉萨市柳梧新区柳梧大厦1513室</w:t>
            </w:r>
          </w:p>
          <w:p w14:paraId="6E0DB07B"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客户服务电话：400-699-7719</w:t>
            </w:r>
          </w:p>
          <w:p w14:paraId="1E3848DC"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网址：www.xiquefund.com</w:t>
            </w:r>
          </w:p>
        </w:tc>
      </w:tr>
      <w:tr w:rsidR="0046184B" w14:paraId="29FBDF71" w14:textId="77777777">
        <w:trPr>
          <w:trHeight w:val="20"/>
        </w:trPr>
        <w:tc>
          <w:tcPr>
            <w:tcW w:w="811" w:type="dxa"/>
          </w:tcPr>
          <w:p w14:paraId="43A6E81F" w14:textId="77777777" w:rsidR="0046184B" w:rsidRDefault="00000000">
            <w:pPr>
              <w:rPr>
                <w:rFonts w:ascii="宋体" w:hAnsi="宋体" w:cs="Arial" w:hint="eastAsia"/>
              </w:rPr>
            </w:pPr>
            <w:r>
              <w:rPr>
                <w:rFonts w:ascii="宋体" w:hAnsi="宋体" w:cs="Arial" w:hint="eastAsia"/>
              </w:rPr>
              <w:t>31</w:t>
            </w:r>
          </w:p>
        </w:tc>
        <w:tc>
          <w:tcPr>
            <w:tcW w:w="2580" w:type="dxa"/>
          </w:tcPr>
          <w:p w14:paraId="7523BC4F" w14:textId="77777777" w:rsidR="0046184B" w:rsidRDefault="00000000">
            <w:pPr>
              <w:jc w:val="left"/>
              <w:rPr>
                <w:rFonts w:ascii="宋体" w:hAnsi="宋体" w:cs="Calibri" w:hint="eastAsia"/>
                <w:color w:val="000000"/>
                <w:szCs w:val="21"/>
              </w:rPr>
            </w:pPr>
            <w:proofErr w:type="gramStart"/>
            <w:r>
              <w:rPr>
                <w:rFonts w:ascii="宋体" w:hAnsi="宋体" w:cs="Calibri" w:hint="eastAsia"/>
                <w:color w:val="000000"/>
                <w:szCs w:val="21"/>
              </w:rPr>
              <w:t>和耕传承</w:t>
            </w:r>
            <w:proofErr w:type="gramEnd"/>
            <w:r>
              <w:rPr>
                <w:rFonts w:ascii="宋体" w:hAnsi="宋体" w:cs="Calibri" w:hint="eastAsia"/>
                <w:color w:val="000000"/>
                <w:szCs w:val="21"/>
              </w:rPr>
              <w:t>基金销售有限公司</w:t>
            </w:r>
          </w:p>
        </w:tc>
        <w:tc>
          <w:tcPr>
            <w:tcW w:w="5114" w:type="dxa"/>
          </w:tcPr>
          <w:p w14:paraId="76FC14BD" w14:textId="77777777" w:rsidR="0046184B" w:rsidRDefault="00000000">
            <w:pPr>
              <w:rPr>
                <w:rFonts w:ascii="宋体" w:hAnsi="宋体" w:cs="Calibri" w:hint="eastAsia"/>
                <w:color w:val="000000"/>
                <w:szCs w:val="21"/>
              </w:rPr>
            </w:pPr>
            <w:r>
              <w:rPr>
                <w:rFonts w:ascii="宋体" w:hAnsi="宋体" w:cs="Calibri" w:hint="eastAsia"/>
                <w:color w:val="000000"/>
                <w:szCs w:val="21"/>
              </w:rPr>
              <w:t>注册（办公）地址：河南自贸试验区郑州片区（郑东）东风南路东康宁街北6号楼5楼503</w:t>
            </w:r>
          </w:p>
          <w:p w14:paraId="3FB4822F" w14:textId="77777777" w:rsidR="0046184B" w:rsidRDefault="00000000">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4000-555-671</w:t>
            </w:r>
          </w:p>
          <w:p w14:paraId="0AF311BB"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https://www.hgccpb.com/</w:t>
            </w:r>
          </w:p>
        </w:tc>
      </w:tr>
      <w:tr w:rsidR="0046184B" w14:paraId="1AA50A23" w14:textId="77777777">
        <w:trPr>
          <w:trHeight w:val="20"/>
        </w:trPr>
        <w:tc>
          <w:tcPr>
            <w:tcW w:w="811" w:type="dxa"/>
          </w:tcPr>
          <w:p w14:paraId="3EB7C7D8" w14:textId="77777777" w:rsidR="0046184B" w:rsidRDefault="00000000">
            <w:pPr>
              <w:rPr>
                <w:rFonts w:ascii="宋体" w:hAnsi="宋体" w:cs="Arial" w:hint="eastAsia"/>
              </w:rPr>
            </w:pPr>
            <w:r>
              <w:rPr>
                <w:rFonts w:ascii="宋体" w:hAnsi="宋体" w:cs="Arial" w:hint="eastAsia"/>
              </w:rPr>
              <w:t>32</w:t>
            </w:r>
          </w:p>
        </w:tc>
        <w:tc>
          <w:tcPr>
            <w:tcW w:w="2580" w:type="dxa"/>
          </w:tcPr>
          <w:p w14:paraId="2B7A827C" w14:textId="77777777" w:rsidR="0046184B" w:rsidRDefault="00000000">
            <w:pPr>
              <w:jc w:val="left"/>
              <w:rPr>
                <w:rFonts w:asciiTheme="minorEastAsia" w:hAnsiTheme="minorEastAsia" w:cs="Arial" w:hint="eastAsia"/>
              </w:rPr>
            </w:pPr>
            <w:r>
              <w:rPr>
                <w:rFonts w:ascii="宋体" w:hAnsi="宋体" w:cs="Calibri" w:hint="eastAsia"/>
                <w:color w:val="000000"/>
                <w:szCs w:val="21"/>
              </w:rPr>
              <w:t>中证金牛（北京）投资咨询有限公司</w:t>
            </w:r>
          </w:p>
        </w:tc>
        <w:tc>
          <w:tcPr>
            <w:tcW w:w="5114" w:type="dxa"/>
          </w:tcPr>
          <w:p w14:paraId="15ECA0CC"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w:t>
            </w:r>
            <w:r>
              <w:rPr>
                <w:rFonts w:hint="eastAsia"/>
              </w:rPr>
              <w:t xml:space="preserve"> </w:t>
            </w:r>
            <w:r>
              <w:rPr>
                <w:rFonts w:ascii="宋体" w:hAnsi="宋体" w:cs="Calibri" w:hint="eastAsia"/>
                <w:color w:val="000000"/>
                <w:szCs w:val="21"/>
              </w:rPr>
              <w:t>北京市丰台区丽泽金融商务</w:t>
            </w:r>
            <w:proofErr w:type="gramStart"/>
            <w:r>
              <w:rPr>
                <w:rFonts w:ascii="宋体" w:hAnsi="宋体" w:cs="Calibri" w:hint="eastAsia"/>
                <w:color w:val="000000"/>
                <w:szCs w:val="21"/>
              </w:rPr>
              <w:t>区铭丰</w:t>
            </w:r>
            <w:proofErr w:type="gramEnd"/>
            <w:r>
              <w:rPr>
                <w:rFonts w:ascii="宋体" w:hAnsi="宋体" w:cs="Calibri" w:hint="eastAsia"/>
                <w:color w:val="000000"/>
                <w:szCs w:val="21"/>
              </w:rPr>
              <w:t>大厦4层401</w:t>
            </w:r>
          </w:p>
          <w:p w14:paraId="31E16C1B"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客户服务电话：4008-909-998</w:t>
            </w:r>
          </w:p>
          <w:p w14:paraId="2FFD11EA"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网址：www.jnlc.com</w:t>
            </w:r>
          </w:p>
        </w:tc>
      </w:tr>
      <w:tr w:rsidR="0046184B" w14:paraId="3D3A502C" w14:textId="77777777">
        <w:trPr>
          <w:trHeight w:val="20"/>
        </w:trPr>
        <w:tc>
          <w:tcPr>
            <w:tcW w:w="811" w:type="dxa"/>
          </w:tcPr>
          <w:p w14:paraId="4882A92C" w14:textId="77777777" w:rsidR="0046184B" w:rsidRDefault="00000000">
            <w:pPr>
              <w:rPr>
                <w:rFonts w:ascii="宋体" w:hAnsi="宋体" w:cs="Arial" w:hint="eastAsia"/>
              </w:rPr>
            </w:pPr>
            <w:r>
              <w:rPr>
                <w:rFonts w:ascii="宋体" w:hAnsi="宋体" w:cs="Arial" w:hint="eastAsia"/>
              </w:rPr>
              <w:t>33</w:t>
            </w:r>
          </w:p>
        </w:tc>
        <w:tc>
          <w:tcPr>
            <w:tcW w:w="2580" w:type="dxa"/>
          </w:tcPr>
          <w:p w14:paraId="57A0C943" w14:textId="77777777" w:rsidR="0046184B" w:rsidRDefault="00000000">
            <w:pPr>
              <w:jc w:val="left"/>
              <w:rPr>
                <w:rFonts w:asciiTheme="minorEastAsia" w:hAnsiTheme="minorEastAsia" w:cs="Arial" w:hint="eastAsia"/>
              </w:rPr>
            </w:pPr>
            <w:r>
              <w:rPr>
                <w:rFonts w:ascii="宋体" w:hAnsi="宋体" w:cs="Calibri" w:hint="eastAsia"/>
                <w:color w:val="000000"/>
                <w:szCs w:val="21"/>
              </w:rPr>
              <w:t>江苏汇林保大基金销售有</w:t>
            </w:r>
            <w:r>
              <w:rPr>
                <w:rFonts w:ascii="宋体" w:hAnsi="宋体" w:cs="Calibri" w:hint="eastAsia"/>
                <w:color w:val="000000"/>
                <w:szCs w:val="21"/>
              </w:rPr>
              <w:lastRenderedPageBreak/>
              <w:t>限公司</w:t>
            </w:r>
          </w:p>
        </w:tc>
        <w:tc>
          <w:tcPr>
            <w:tcW w:w="5114" w:type="dxa"/>
          </w:tcPr>
          <w:p w14:paraId="4E55E5BB"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lastRenderedPageBreak/>
              <w:t>注册（办公）地址</w:t>
            </w:r>
            <w:r>
              <w:rPr>
                <w:rFonts w:ascii="宋体" w:hAnsi="宋体" w:cs="Calibri"/>
                <w:color w:val="000000"/>
                <w:szCs w:val="21"/>
              </w:rPr>
              <w:t>:</w:t>
            </w:r>
            <w:r>
              <w:rPr>
                <w:rFonts w:ascii="宋体" w:hAnsi="宋体" w:cs="Calibri" w:hint="eastAsia"/>
                <w:color w:val="000000"/>
                <w:szCs w:val="21"/>
              </w:rPr>
              <w:t>南京市高淳区经济开发区古檀大道</w:t>
            </w:r>
            <w:r>
              <w:rPr>
                <w:rFonts w:ascii="宋体" w:hAnsi="宋体" w:cs="Calibri" w:hint="eastAsia"/>
                <w:color w:val="000000"/>
                <w:szCs w:val="21"/>
              </w:rPr>
              <w:lastRenderedPageBreak/>
              <w:t>47号</w:t>
            </w:r>
          </w:p>
          <w:p w14:paraId="505B2155"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025-66046166</w:t>
            </w:r>
          </w:p>
          <w:p w14:paraId="531A9105"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网址：www.huilinbd.com</w:t>
            </w:r>
          </w:p>
        </w:tc>
      </w:tr>
      <w:tr w:rsidR="0046184B" w14:paraId="43B6D08D" w14:textId="77777777">
        <w:trPr>
          <w:trHeight w:val="20"/>
        </w:trPr>
        <w:tc>
          <w:tcPr>
            <w:tcW w:w="811" w:type="dxa"/>
          </w:tcPr>
          <w:p w14:paraId="01227C48" w14:textId="77777777" w:rsidR="0046184B" w:rsidRDefault="00000000">
            <w:pPr>
              <w:rPr>
                <w:rFonts w:ascii="宋体" w:hAnsi="宋体" w:cs="Arial" w:hint="eastAsia"/>
              </w:rPr>
            </w:pPr>
            <w:r>
              <w:rPr>
                <w:rFonts w:ascii="宋体" w:hAnsi="宋体" w:cs="Arial" w:hint="eastAsia"/>
              </w:rPr>
              <w:lastRenderedPageBreak/>
              <w:t>34</w:t>
            </w:r>
          </w:p>
        </w:tc>
        <w:tc>
          <w:tcPr>
            <w:tcW w:w="2580" w:type="dxa"/>
          </w:tcPr>
          <w:p w14:paraId="230696E5" w14:textId="77777777" w:rsidR="0046184B" w:rsidRDefault="00000000">
            <w:pPr>
              <w:jc w:val="left"/>
              <w:rPr>
                <w:rFonts w:asciiTheme="minorEastAsia" w:hAnsiTheme="minorEastAsia" w:cs="Arial" w:hint="eastAsia"/>
              </w:rPr>
            </w:pPr>
            <w:proofErr w:type="gramStart"/>
            <w:r>
              <w:rPr>
                <w:rFonts w:ascii="宋体" w:hAnsi="宋体" w:cs="Calibri" w:hint="eastAsia"/>
                <w:color w:val="000000"/>
                <w:szCs w:val="21"/>
              </w:rPr>
              <w:t>玄元保险</w:t>
            </w:r>
            <w:proofErr w:type="gramEnd"/>
            <w:r>
              <w:rPr>
                <w:rFonts w:ascii="宋体" w:hAnsi="宋体" w:cs="Calibri" w:hint="eastAsia"/>
                <w:color w:val="000000"/>
                <w:szCs w:val="21"/>
              </w:rPr>
              <w:t>代理有限公司</w:t>
            </w:r>
          </w:p>
        </w:tc>
        <w:tc>
          <w:tcPr>
            <w:tcW w:w="5114" w:type="dxa"/>
          </w:tcPr>
          <w:p w14:paraId="4ED7A6A2"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中国（上海）自由贸易试验区张杨路7</w:t>
            </w:r>
            <w:r>
              <w:rPr>
                <w:rFonts w:ascii="宋体" w:hAnsi="宋体" w:cs="Calibri"/>
                <w:color w:val="000000"/>
                <w:szCs w:val="21"/>
              </w:rPr>
              <w:t>07</w:t>
            </w:r>
            <w:r>
              <w:rPr>
                <w:rFonts w:ascii="宋体" w:hAnsi="宋体" w:cs="Calibri" w:hint="eastAsia"/>
                <w:color w:val="000000"/>
                <w:szCs w:val="21"/>
              </w:rPr>
              <w:t>号1</w:t>
            </w:r>
            <w:r>
              <w:rPr>
                <w:rFonts w:ascii="宋体" w:hAnsi="宋体" w:cs="Calibri"/>
                <w:color w:val="000000"/>
                <w:szCs w:val="21"/>
              </w:rPr>
              <w:t>105</w:t>
            </w:r>
            <w:r>
              <w:rPr>
                <w:rFonts w:ascii="宋体" w:hAnsi="宋体" w:cs="Calibri" w:hint="eastAsia"/>
                <w:color w:val="000000"/>
                <w:szCs w:val="21"/>
              </w:rPr>
              <w:t>室</w:t>
            </w:r>
          </w:p>
          <w:p w14:paraId="42207938"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4000808208</w:t>
            </w:r>
          </w:p>
          <w:p w14:paraId="72D72BC3"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www.licaimofang.cn</w:t>
            </w:r>
          </w:p>
        </w:tc>
      </w:tr>
      <w:tr w:rsidR="0046184B" w14:paraId="0E3944DC" w14:textId="77777777">
        <w:trPr>
          <w:trHeight w:val="20"/>
        </w:trPr>
        <w:tc>
          <w:tcPr>
            <w:tcW w:w="811" w:type="dxa"/>
          </w:tcPr>
          <w:p w14:paraId="576B7CAD" w14:textId="77777777" w:rsidR="0046184B" w:rsidRDefault="00000000">
            <w:pPr>
              <w:rPr>
                <w:rFonts w:ascii="宋体" w:hAnsi="宋体" w:cs="Arial" w:hint="eastAsia"/>
              </w:rPr>
            </w:pPr>
            <w:r>
              <w:rPr>
                <w:rFonts w:ascii="宋体" w:hAnsi="宋体" w:cs="Arial" w:hint="eastAsia"/>
              </w:rPr>
              <w:t>35</w:t>
            </w:r>
          </w:p>
        </w:tc>
        <w:tc>
          <w:tcPr>
            <w:tcW w:w="2580" w:type="dxa"/>
          </w:tcPr>
          <w:p w14:paraId="519ACF50" w14:textId="77777777" w:rsidR="0046184B" w:rsidRDefault="00000000">
            <w:pPr>
              <w:jc w:val="left"/>
              <w:rPr>
                <w:rFonts w:asciiTheme="minorEastAsia" w:hAnsiTheme="minorEastAsia" w:cs="Arial" w:hint="eastAsia"/>
              </w:rPr>
            </w:pPr>
            <w:proofErr w:type="gramStart"/>
            <w:r>
              <w:rPr>
                <w:rFonts w:ascii="宋体" w:hAnsi="宋体" w:cs="Calibri" w:hint="eastAsia"/>
                <w:color w:val="000000"/>
                <w:szCs w:val="21"/>
              </w:rPr>
              <w:t>宜信普</w:t>
            </w:r>
            <w:proofErr w:type="gramEnd"/>
            <w:r>
              <w:rPr>
                <w:rFonts w:ascii="宋体" w:hAnsi="宋体" w:cs="Calibri" w:hint="eastAsia"/>
                <w:color w:val="000000"/>
                <w:szCs w:val="21"/>
              </w:rPr>
              <w:t>泽（北京）基金销售有限公司</w:t>
            </w:r>
          </w:p>
        </w:tc>
        <w:tc>
          <w:tcPr>
            <w:tcW w:w="5114" w:type="dxa"/>
          </w:tcPr>
          <w:p w14:paraId="3B10216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北京市朝阳区建国路118号招商局大厦24F</w:t>
            </w:r>
          </w:p>
          <w:p w14:paraId="74DF4BFB"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客户服务电话：400</w:t>
            </w:r>
            <w:r>
              <w:rPr>
                <w:rFonts w:ascii="宋体" w:hAnsi="宋体" w:cs="Calibri"/>
                <w:color w:val="000000"/>
                <w:szCs w:val="21"/>
              </w:rPr>
              <w:t>6099200</w:t>
            </w:r>
          </w:p>
          <w:p w14:paraId="3572BFEA"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http://www.yixinfund.com/</w:t>
            </w:r>
          </w:p>
        </w:tc>
      </w:tr>
      <w:tr w:rsidR="0046184B" w14:paraId="4AAEDFE7" w14:textId="77777777">
        <w:trPr>
          <w:trHeight w:val="20"/>
        </w:trPr>
        <w:tc>
          <w:tcPr>
            <w:tcW w:w="811" w:type="dxa"/>
          </w:tcPr>
          <w:p w14:paraId="46135F06" w14:textId="77777777" w:rsidR="0046184B" w:rsidRDefault="00000000">
            <w:pPr>
              <w:rPr>
                <w:rFonts w:ascii="宋体" w:hAnsi="宋体" w:cs="Arial" w:hint="eastAsia"/>
              </w:rPr>
            </w:pPr>
            <w:r>
              <w:rPr>
                <w:rFonts w:ascii="宋体" w:hAnsi="宋体" w:cs="Arial" w:hint="eastAsia"/>
              </w:rPr>
              <w:t>36</w:t>
            </w:r>
          </w:p>
        </w:tc>
        <w:tc>
          <w:tcPr>
            <w:tcW w:w="2580" w:type="dxa"/>
          </w:tcPr>
          <w:p w14:paraId="70313E5F" w14:textId="77777777" w:rsidR="0046184B" w:rsidRDefault="00000000">
            <w:pPr>
              <w:jc w:val="left"/>
              <w:rPr>
                <w:rFonts w:asciiTheme="minorEastAsia" w:hAnsiTheme="minorEastAsia" w:cs="Arial" w:hint="eastAsia"/>
              </w:rPr>
            </w:pPr>
            <w:r>
              <w:rPr>
                <w:rFonts w:ascii="宋体" w:hAnsi="宋体" w:cs="Calibri" w:hint="eastAsia"/>
                <w:color w:val="000000"/>
                <w:szCs w:val="21"/>
              </w:rPr>
              <w:t>北京新</w:t>
            </w:r>
            <w:proofErr w:type="gramStart"/>
            <w:r>
              <w:rPr>
                <w:rFonts w:ascii="宋体" w:hAnsi="宋体" w:cs="Calibri" w:hint="eastAsia"/>
                <w:color w:val="000000"/>
                <w:szCs w:val="21"/>
              </w:rPr>
              <w:t>浪仓石基金</w:t>
            </w:r>
            <w:proofErr w:type="gramEnd"/>
            <w:r>
              <w:rPr>
                <w:rFonts w:ascii="宋体" w:hAnsi="宋体" w:cs="Calibri" w:hint="eastAsia"/>
                <w:color w:val="000000"/>
                <w:szCs w:val="21"/>
              </w:rPr>
              <w:t>销售有限公司</w:t>
            </w:r>
          </w:p>
        </w:tc>
        <w:tc>
          <w:tcPr>
            <w:tcW w:w="5114" w:type="dxa"/>
          </w:tcPr>
          <w:p w14:paraId="2C32B082" w14:textId="77777777" w:rsidR="0046184B" w:rsidRDefault="00000000">
            <w:pPr>
              <w:rPr>
                <w:rFonts w:ascii="宋体" w:hAnsi="宋体" w:cs="Calibri" w:hint="eastAsia"/>
                <w:color w:val="000000"/>
                <w:szCs w:val="21"/>
              </w:rPr>
            </w:pPr>
            <w:r>
              <w:rPr>
                <w:rFonts w:ascii="宋体" w:hAnsi="宋体" w:cs="Calibri" w:hint="eastAsia"/>
                <w:color w:val="000000"/>
                <w:szCs w:val="21"/>
              </w:rPr>
              <w:t>注册（办公）地址：北京市海淀区东北旺西路中关村软件园二期（西扩）N-1、N-2地块新浪总部科研楼5层518室</w:t>
            </w:r>
          </w:p>
          <w:p w14:paraId="2FAA3794" w14:textId="77777777" w:rsidR="0046184B" w:rsidRDefault="00000000">
            <w:pPr>
              <w:rPr>
                <w:rFonts w:ascii="宋体" w:hAnsi="宋体" w:cs="Calibri" w:hint="eastAsia"/>
                <w:color w:val="000000"/>
                <w:szCs w:val="21"/>
              </w:rPr>
            </w:pPr>
            <w:r>
              <w:rPr>
                <w:rFonts w:ascii="宋体" w:hAnsi="宋体" w:cs="Calibri" w:hint="eastAsia"/>
                <w:color w:val="000000"/>
                <w:szCs w:val="21"/>
              </w:rPr>
              <w:t>客户服务电话：010-62675369</w:t>
            </w:r>
          </w:p>
          <w:p w14:paraId="30230621"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网址：www.xincai.com</w:t>
            </w:r>
          </w:p>
        </w:tc>
      </w:tr>
      <w:tr w:rsidR="0046184B" w14:paraId="02FDF883" w14:textId="77777777">
        <w:trPr>
          <w:trHeight w:val="20"/>
        </w:trPr>
        <w:tc>
          <w:tcPr>
            <w:tcW w:w="811" w:type="dxa"/>
          </w:tcPr>
          <w:p w14:paraId="31D0786F" w14:textId="77777777" w:rsidR="0046184B" w:rsidRDefault="00000000">
            <w:pPr>
              <w:rPr>
                <w:rFonts w:ascii="宋体" w:hAnsi="宋体" w:cs="Arial" w:hint="eastAsia"/>
              </w:rPr>
            </w:pPr>
            <w:r>
              <w:rPr>
                <w:rFonts w:ascii="宋体" w:hAnsi="宋体" w:cs="Arial" w:hint="eastAsia"/>
              </w:rPr>
              <w:t>37</w:t>
            </w:r>
          </w:p>
        </w:tc>
        <w:tc>
          <w:tcPr>
            <w:tcW w:w="2580" w:type="dxa"/>
          </w:tcPr>
          <w:p w14:paraId="25A91A29" w14:textId="77777777" w:rsidR="0046184B" w:rsidRDefault="00000000">
            <w:pPr>
              <w:jc w:val="left"/>
              <w:rPr>
                <w:rFonts w:asciiTheme="minorEastAsia" w:hAnsiTheme="minorEastAsia" w:cs="Arial" w:hint="eastAsia"/>
              </w:rPr>
            </w:pPr>
            <w:r>
              <w:rPr>
                <w:rFonts w:ascii="宋体" w:hAnsi="宋体" w:cs="Calibri" w:hint="eastAsia"/>
                <w:color w:val="000000"/>
                <w:szCs w:val="21"/>
              </w:rPr>
              <w:t>华瑞保险销售有限公司</w:t>
            </w:r>
          </w:p>
        </w:tc>
        <w:tc>
          <w:tcPr>
            <w:tcW w:w="5114" w:type="dxa"/>
          </w:tcPr>
          <w:p w14:paraId="635D5695" w14:textId="77777777" w:rsidR="0046184B" w:rsidRDefault="00000000">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 xml:space="preserve">: </w:t>
            </w:r>
            <w:r>
              <w:rPr>
                <w:rFonts w:ascii="宋体" w:hAnsi="宋体" w:cs="Calibri" w:hint="eastAsia"/>
                <w:color w:val="000000"/>
                <w:szCs w:val="21"/>
              </w:rPr>
              <w:t>上海市嘉定区南翔</w:t>
            </w:r>
            <w:proofErr w:type="gramStart"/>
            <w:r>
              <w:rPr>
                <w:rFonts w:ascii="宋体" w:hAnsi="宋体" w:cs="Calibri" w:hint="eastAsia"/>
                <w:color w:val="000000"/>
                <w:szCs w:val="21"/>
              </w:rPr>
              <w:t>镇众仁路</w:t>
            </w:r>
            <w:proofErr w:type="gramEnd"/>
            <w:r>
              <w:rPr>
                <w:rFonts w:ascii="宋体" w:hAnsi="宋体" w:cs="Calibri" w:hint="eastAsia"/>
                <w:color w:val="000000"/>
                <w:szCs w:val="21"/>
              </w:rPr>
              <w:t>399号</w:t>
            </w:r>
            <w:proofErr w:type="gramStart"/>
            <w:r>
              <w:rPr>
                <w:rFonts w:ascii="宋体" w:hAnsi="宋体" w:cs="Calibri" w:hint="eastAsia"/>
                <w:color w:val="000000"/>
                <w:szCs w:val="21"/>
              </w:rPr>
              <w:t>运通星财富</w:t>
            </w:r>
            <w:proofErr w:type="gramEnd"/>
            <w:r>
              <w:rPr>
                <w:rFonts w:ascii="宋体" w:hAnsi="宋体" w:cs="Calibri" w:hint="eastAsia"/>
                <w:color w:val="000000"/>
                <w:szCs w:val="21"/>
              </w:rPr>
              <w:t>广场1号楼B座13、14层</w:t>
            </w:r>
          </w:p>
          <w:p w14:paraId="0ECF7B1B" w14:textId="77777777" w:rsidR="0046184B" w:rsidRDefault="00000000">
            <w:pPr>
              <w:rPr>
                <w:rFonts w:ascii="宋体" w:hAnsi="宋体" w:cs="Calibri" w:hint="eastAsia"/>
                <w:color w:val="000000"/>
                <w:szCs w:val="21"/>
              </w:rPr>
            </w:pPr>
            <w:r>
              <w:rPr>
                <w:rFonts w:ascii="宋体" w:hAnsi="宋体" w:cs="Calibri" w:hint="eastAsia"/>
                <w:color w:val="000000"/>
                <w:szCs w:val="21"/>
              </w:rPr>
              <w:t>客户服务电话：952303</w:t>
            </w:r>
          </w:p>
          <w:p w14:paraId="48B280A4"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w:t>
            </w:r>
            <w:r>
              <w:rPr>
                <w:rFonts w:ascii="宋体" w:hAnsi="宋体" w:cs="Calibri"/>
                <w:color w:val="000000"/>
                <w:szCs w:val="21"/>
              </w:rPr>
              <w:t>ww.huaruisales.com</w:t>
            </w:r>
          </w:p>
        </w:tc>
      </w:tr>
      <w:tr w:rsidR="0046184B" w14:paraId="00A06CE2" w14:textId="77777777">
        <w:trPr>
          <w:trHeight w:val="20"/>
        </w:trPr>
        <w:tc>
          <w:tcPr>
            <w:tcW w:w="811" w:type="dxa"/>
          </w:tcPr>
          <w:p w14:paraId="64336067" w14:textId="77777777" w:rsidR="0046184B" w:rsidRDefault="00000000">
            <w:pPr>
              <w:rPr>
                <w:rFonts w:ascii="宋体" w:hAnsi="宋体" w:cs="Arial" w:hint="eastAsia"/>
              </w:rPr>
            </w:pPr>
            <w:r>
              <w:rPr>
                <w:rFonts w:ascii="宋体" w:hAnsi="宋体" w:cs="Arial" w:hint="eastAsia"/>
              </w:rPr>
              <w:t>38</w:t>
            </w:r>
          </w:p>
        </w:tc>
        <w:tc>
          <w:tcPr>
            <w:tcW w:w="2580" w:type="dxa"/>
          </w:tcPr>
          <w:p w14:paraId="22062CB5" w14:textId="77777777" w:rsidR="0046184B" w:rsidRDefault="00000000">
            <w:pPr>
              <w:jc w:val="left"/>
              <w:rPr>
                <w:rFonts w:asciiTheme="minorEastAsia" w:hAnsiTheme="minorEastAsia" w:cs="Arial" w:hint="eastAsia"/>
              </w:rPr>
            </w:pPr>
            <w:r>
              <w:rPr>
                <w:rFonts w:ascii="宋体" w:hAnsi="宋体" w:cs="Calibri" w:hint="eastAsia"/>
                <w:color w:val="000000"/>
                <w:szCs w:val="21"/>
              </w:rPr>
              <w:t>财</w:t>
            </w:r>
            <w:proofErr w:type="gramStart"/>
            <w:r>
              <w:rPr>
                <w:rFonts w:ascii="宋体" w:hAnsi="宋体" w:cs="Calibri" w:hint="eastAsia"/>
                <w:color w:val="000000"/>
                <w:szCs w:val="21"/>
              </w:rPr>
              <w:t>咨</w:t>
            </w:r>
            <w:proofErr w:type="gramEnd"/>
            <w:r>
              <w:rPr>
                <w:rFonts w:ascii="宋体" w:hAnsi="宋体" w:cs="Calibri" w:hint="eastAsia"/>
                <w:color w:val="000000"/>
                <w:szCs w:val="21"/>
              </w:rPr>
              <w:t>道信息技术有限公司</w:t>
            </w:r>
          </w:p>
        </w:tc>
        <w:tc>
          <w:tcPr>
            <w:tcW w:w="5114" w:type="dxa"/>
          </w:tcPr>
          <w:p w14:paraId="61EDEBB3" w14:textId="77777777" w:rsidR="0046184B" w:rsidRDefault="00000000">
            <w:pPr>
              <w:widowControl/>
              <w:jc w:val="left"/>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:辽宁省沈阳市</w:t>
            </w:r>
            <w:proofErr w:type="gramStart"/>
            <w:r>
              <w:rPr>
                <w:rFonts w:ascii="宋体" w:hAnsi="宋体" w:cs="Calibri"/>
                <w:color w:val="000000"/>
                <w:szCs w:val="21"/>
              </w:rPr>
              <w:t>浑</w:t>
            </w:r>
            <w:proofErr w:type="gramEnd"/>
            <w:r>
              <w:rPr>
                <w:rFonts w:ascii="宋体" w:hAnsi="宋体" w:cs="Calibri"/>
                <w:color w:val="000000"/>
                <w:szCs w:val="21"/>
              </w:rPr>
              <w:t>南区白塔二南街18-2号B座601</w:t>
            </w:r>
          </w:p>
          <w:p w14:paraId="7F782AF5" w14:textId="77777777" w:rsidR="0046184B" w:rsidRDefault="00000000">
            <w:pPr>
              <w:widowControl/>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400-003-5811</w:t>
            </w:r>
          </w:p>
          <w:p w14:paraId="4014FFA6"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www.caizidao.com.cn/</w:t>
            </w:r>
          </w:p>
        </w:tc>
      </w:tr>
      <w:tr w:rsidR="0046184B" w14:paraId="6187B379" w14:textId="77777777">
        <w:trPr>
          <w:trHeight w:val="20"/>
        </w:trPr>
        <w:tc>
          <w:tcPr>
            <w:tcW w:w="811" w:type="dxa"/>
          </w:tcPr>
          <w:p w14:paraId="257DCAF5" w14:textId="77777777" w:rsidR="0046184B" w:rsidRDefault="00000000">
            <w:pPr>
              <w:rPr>
                <w:rFonts w:ascii="宋体" w:hAnsi="宋体" w:cs="Arial" w:hint="eastAsia"/>
              </w:rPr>
            </w:pPr>
            <w:r>
              <w:rPr>
                <w:rFonts w:ascii="宋体" w:hAnsi="宋体" w:cs="Arial" w:hint="eastAsia"/>
              </w:rPr>
              <w:t>39</w:t>
            </w:r>
          </w:p>
        </w:tc>
        <w:tc>
          <w:tcPr>
            <w:tcW w:w="2580" w:type="dxa"/>
          </w:tcPr>
          <w:p w14:paraId="65DFDCF7" w14:textId="77777777" w:rsidR="0046184B" w:rsidRDefault="00000000">
            <w:pPr>
              <w:jc w:val="left"/>
              <w:rPr>
                <w:rFonts w:asciiTheme="minorEastAsia" w:hAnsiTheme="minorEastAsia" w:cs="Arial" w:hint="eastAsia"/>
              </w:rPr>
            </w:pPr>
            <w:r>
              <w:rPr>
                <w:rFonts w:ascii="宋体" w:hAnsi="宋体" w:cs="Calibri" w:hint="eastAsia"/>
                <w:color w:val="000000"/>
                <w:szCs w:val="21"/>
              </w:rPr>
              <w:t>北京度小满基金销售有限公司</w:t>
            </w:r>
          </w:p>
        </w:tc>
        <w:tc>
          <w:tcPr>
            <w:tcW w:w="5114" w:type="dxa"/>
          </w:tcPr>
          <w:p w14:paraId="582CCB67" w14:textId="77777777" w:rsidR="0046184B" w:rsidRDefault="00000000">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北京市海淀区西北旺东路10号院西区4号楼1层103室</w:t>
            </w:r>
          </w:p>
          <w:p w14:paraId="49842481" w14:textId="77777777" w:rsidR="0046184B" w:rsidRDefault="00000000">
            <w:pPr>
              <w:widowControl/>
              <w:jc w:val="left"/>
              <w:rPr>
                <w:rFonts w:ascii="宋体" w:hAnsi="宋体" w:cs="Calibri" w:hint="eastAsia"/>
                <w:color w:val="000000"/>
                <w:szCs w:val="21"/>
              </w:rPr>
            </w:pPr>
            <w:r>
              <w:rPr>
                <w:rFonts w:ascii="宋体" w:hAnsi="宋体" w:cs="Calibri" w:hint="eastAsia"/>
                <w:color w:val="000000"/>
                <w:szCs w:val="21"/>
              </w:rPr>
              <w:t>客服电话：9</w:t>
            </w:r>
            <w:r>
              <w:rPr>
                <w:rFonts w:ascii="宋体" w:hAnsi="宋体" w:cs="Calibri"/>
                <w:color w:val="000000"/>
                <w:szCs w:val="21"/>
              </w:rPr>
              <w:t>5055</w:t>
            </w:r>
          </w:p>
          <w:p w14:paraId="6D794CE4"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网站：www.duxiaoman.com</w:t>
            </w:r>
          </w:p>
        </w:tc>
      </w:tr>
      <w:tr w:rsidR="0046184B" w14:paraId="5F989586" w14:textId="77777777">
        <w:trPr>
          <w:trHeight w:val="20"/>
        </w:trPr>
        <w:tc>
          <w:tcPr>
            <w:tcW w:w="811" w:type="dxa"/>
          </w:tcPr>
          <w:p w14:paraId="2DFD117C" w14:textId="77777777" w:rsidR="0046184B" w:rsidRDefault="00000000">
            <w:pPr>
              <w:rPr>
                <w:rFonts w:ascii="宋体" w:hAnsi="宋体" w:cs="Arial" w:hint="eastAsia"/>
              </w:rPr>
            </w:pPr>
            <w:r>
              <w:rPr>
                <w:rFonts w:ascii="宋体" w:hAnsi="宋体" w:cs="Arial"/>
              </w:rPr>
              <w:t>4</w:t>
            </w:r>
            <w:r>
              <w:rPr>
                <w:rFonts w:ascii="宋体" w:hAnsi="宋体" w:cs="Arial" w:hint="eastAsia"/>
              </w:rPr>
              <w:t>0</w:t>
            </w:r>
          </w:p>
        </w:tc>
        <w:tc>
          <w:tcPr>
            <w:tcW w:w="2580" w:type="dxa"/>
          </w:tcPr>
          <w:p w14:paraId="6094846F" w14:textId="77777777" w:rsidR="0046184B" w:rsidRDefault="00000000">
            <w:pPr>
              <w:jc w:val="left"/>
              <w:rPr>
                <w:rFonts w:asciiTheme="minorEastAsia" w:hAnsiTheme="minorEastAsia" w:cs="Arial" w:hint="eastAsia"/>
              </w:rPr>
            </w:pPr>
            <w:r>
              <w:rPr>
                <w:rFonts w:ascii="宋体" w:hAnsi="宋体" w:cs="Calibri" w:hint="eastAsia"/>
                <w:color w:val="000000"/>
                <w:szCs w:val="21"/>
              </w:rPr>
              <w:t>通华财富（上海）基金销售有限公司</w:t>
            </w:r>
          </w:p>
        </w:tc>
        <w:tc>
          <w:tcPr>
            <w:tcW w:w="5114" w:type="dxa"/>
          </w:tcPr>
          <w:p w14:paraId="3CA96D9E" w14:textId="77777777" w:rsidR="0046184B" w:rsidRDefault="00000000">
            <w:pPr>
              <w:rPr>
                <w:rFonts w:ascii="宋体" w:hAnsi="宋体" w:cs="Calibri" w:hint="eastAsia"/>
                <w:color w:val="000000"/>
                <w:szCs w:val="21"/>
              </w:rPr>
            </w:pPr>
            <w:r>
              <w:rPr>
                <w:rFonts w:ascii="宋体" w:hAnsi="宋体" w:cs="Calibri" w:hint="eastAsia"/>
                <w:color w:val="000000"/>
                <w:szCs w:val="21"/>
              </w:rPr>
              <w:t>注册（办公）地址</w:t>
            </w:r>
            <w:r>
              <w:rPr>
                <w:rFonts w:ascii="宋体" w:hAnsi="宋体" w:cs="Calibri"/>
                <w:color w:val="000000"/>
                <w:szCs w:val="21"/>
              </w:rPr>
              <w:t>:</w:t>
            </w:r>
            <w:r>
              <w:rPr>
                <w:rFonts w:ascii="宋体" w:hAnsi="宋体" w:cs="Calibri" w:hint="eastAsia"/>
                <w:color w:val="000000"/>
                <w:szCs w:val="21"/>
              </w:rPr>
              <w:t>上海市浦东新区</w:t>
            </w:r>
            <w:proofErr w:type="gramStart"/>
            <w:r>
              <w:rPr>
                <w:rFonts w:ascii="宋体" w:hAnsi="宋体" w:cs="Calibri" w:hint="eastAsia"/>
                <w:color w:val="000000"/>
                <w:szCs w:val="21"/>
              </w:rPr>
              <w:t>金沪路55号</w:t>
            </w:r>
            <w:proofErr w:type="gramEnd"/>
            <w:r>
              <w:rPr>
                <w:rFonts w:ascii="宋体" w:hAnsi="宋体" w:cs="Calibri" w:hint="eastAsia"/>
                <w:color w:val="000000"/>
                <w:szCs w:val="21"/>
              </w:rPr>
              <w:t>通华科技大厦10层</w:t>
            </w:r>
          </w:p>
          <w:p w14:paraId="4ADF1154" w14:textId="77777777" w:rsidR="0046184B" w:rsidRDefault="00000000">
            <w:pPr>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400-101-9301</w:t>
            </w:r>
          </w:p>
          <w:p w14:paraId="6AA88F91"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www.tonghuafund.com</w:t>
            </w:r>
          </w:p>
        </w:tc>
      </w:tr>
      <w:tr w:rsidR="0046184B" w14:paraId="7DBB37B9" w14:textId="77777777">
        <w:trPr>
          <w:trHeight w:val="20"/>
        </w:trPr>
        <w:tc>
          <w:tcPr>
            <w:tcW w:w="811" w:type="dxa"/>
          </w:tcPr>
          <w:p w14:paraId="7BAD2C70" w14:textId="77777777" w:rsidR="0046184B" w:rsidRDefault="00000000">
            <w:pPr>
              <w:rPr>
                <w:rFonts w:ascii="宋体" w:hAnsi="宋体" w:cs="Arial" w:hint="eastAsia"/>
              </w:rPr>
            </w:pPr>
            <w:r>
              <w:rPr>
                <w:rFonts w:ascii="宋体" w:hAnsi="宋体" w:cs="Arial" w:hint="eastAsia"/>
              </w:rPr>
              <w:t>41</w:t>
            </w:r>
          </w:p>
        </w:tc>
        <w:tc>
          <w:tcPr>
            <w:tcW w:w="2580" w:type="dxa"/>
          </w:tcPr>
          <w:p w14:paraId="3D8EC112" w14:textId="77777777" w:rsidR="0046184B" w:rsidRDefault="00000000">
            <w:pPr>
              <w:pStyle w:val="aff1"/>
              <w:widowControl/>
              <w:ind w:firstLineChars="0" w:firstLine="0"/>
            </w:pPr>
            <w:r>
              <w:t>上海万得基金销售有限公司</w:t>
            </w:r>
            <w:r>
              <w:t xml:space="preserve"> </w:t>
            </w:r>
          </w:p>
          <w:p w14:paraId="28919719" w14:textId="77777777" w:rsidR="0046184B" w:rsidRDefault="0046184B">
            <w:pPr>
              <w:jc w:val="left"/>
              <w:rPr>
                <w:rFonts w:asciiTheme="minorEastAsia" w:hAnsiTheme="minorEastAsia" w:cs="Arial" w:hint="eastAsia"/>
              </w:rPr>
            </w:pPr>
          </w:p>
        </w:tc>
        <w:tc>
          <w:tcPr>
            <w:tcW w:w="5114" w:type="dxa"/>
          </w:tcPr>
          <w:p w14:paraId="745E5F76" w14:textId="77777777" w:rsidR="0046184B" w:rsidRDefault="00000000">
            <w:pPr>
              <w:pStyle w:val="aff1"/>
              <w:widowControl/>
              <w:ind w:firstLineChars="0" w:firstLine="0"/>
            </w:pPr>
            <w:r>
              <w:t>注册</w:t>
            </w:r>
            <w:r>
              <w:rPr>
                <w:rFonts w:cs="Calibri" w:hint="eastAsia"/>
              </w:rPr>
              <w:t>（办公）</w:t>
            </w:r>
            <w:r>
              <w:t>地址：</w:t>
            </w:r>
            <w:r>
              <w:rPr>
                <w:rFonts w:hint="eastAsia"/>
              </w:rPr>
              <w:t>中国（上海）浦东新区浦明路</w:t>
            </w:r>
            <w:r>
              <w:rPr>
                <w:rFonts w:hint="eastAsia"/>
              </w:rPr>
              <w:t>1500</w:t>
            </w:r>
            <w:r>
              <w:rPr>
                <w:rFonts w:hint="eastAsia"/>
              </w:rPr>
              <w:t>号万得大厦</w:t>
            </w:r>
            <w:r>
              <w:rPr>
                <w:rFonts w:hint="eastAsia"/>
              </w:rPr>
              <w:t>11</w:t>
            </w:r>
            <w:r>
              <w:rPr>
                <w:rFonts w:hint="eastAsia"/>
              </w:rPr>
              <w:t>楼</w:t>
            </w:r>
          </w:p>
          <w:p w14:paraId="638139B6" w14:textId="77777777" w:rsidR="0046184B" w:rsidRDefault="00000000">
            <w:pPr>
              <w:pStyle w:val="aff1"/>
              <w:widowControl/>
              <w:ind w:firstLineChars="0" w:firstLine="0"/>
            </w:pPr>
            <w:r>
              <w:t>客户服务电话：</w:t>
            </w:r>
            <w:r>
              <w:t xml:space="preserve">400-799-1888 </w:t>
            </w:r>
          </w:p>
          <w:p w14:paraId="6F8FE118" w14:textId="77777777" w:rsidR="0046184B" w:rsidRDefault="00000000">
            <w:pPr>
              <w:snapToGrid w:val="0"/>
              <w:rPr>
                <w:rFonts w:ascii="宋体" w:hAnsi="宋体" w:cs="Calibri" w:hint="eastAsia"/>
                <w:color w:val="000000"/>
                <w:szCs w:val="21"/>
              </w:rPr>
            </w:pPr>
            <w:r>
              <w:t>网址：</w:t>
            </w:r>
            <w:r>
              <w:t>www.520fund.com.cn</w:t>
            </w:r>
          </w:p>
        </w:tc>
      </w:tr>
      <w:tr w:rsidR="0046184B" w14:paraId="612978CE" w14:textId="77777777">
        <w:trPr>
          <w:trHeight w:val="20"/>
        </w:trPr>
        <w:tc>
          <w:tcPr>
            <w:tcW w:w="811" w:type="dxa"/>
          </w:tcPr>
          <w:p w14:paraId="1255A487" w14:textId="77777777" w:rsidR="0046184B" w:rsidRDefault="00000000">
            <w:pPr>
              <w:rPr>
                <w:rFonts w:ascii="宋体" w:hAnsi="宋体" w:cs="Arial" w:hint="eastAsia"/>
              </w:rPr>
            </w:pPr>
            <w:r>
              <w:rPr>
                <w:rFonts w:ascii="宋体" w:hAnsi="宋体" w:cs="Arial" w:hint="eastAsia"/>
              </w:rPr>
              <w:t>42</w:t>
            </w:r>
          </w:p>
        </w:tc>
        <w:tc>
          <w:tcPr>
            <w:tcW w:w="2580" w:type="dxa"/>
          </w:tcPr>
          <w:p w14:paraId="7A958D4E" w14:textId="77777777" w:rsidR="0046184B" w:rsidRDefault="00000000">
            <w:pPr>
              <w:pStyle w:val="aff1"/>
              <w:widowControl/>
              <w:ind w:firstLineChars="0" w:firstLine="0"/>
            </w:pPr>
            <w:r>
              <w:t>泛华</w:t>
            </w:r>
            <w:proofErr w:type="gramStart"/>
            <w:r>
              <w:t>普益基金</w:t>
            </w:r>
            <w:proofErr w:type="gramEnd"/>
            <w:r>
              <w:t>销售有限公司</w:t>
            </w:r>
            <w:r>
              <w:t xml:space="preserve"> </w:t>
            </w:r>
          </w:p>
          <w:p w14:paraId="565AE75D" w14:textId="77777777" w:rsidR="0046184B" w:rsidRDefault="0046184B">
            <w:pPr>
              <w:jc w:val="left"/>
              <w:rPr>
                <w:rFonts w:asciiTheme="minorEastAsia" w:hAnsiTheme="minorEastAsia" w:cs="Arial" w:hint="eastAsia"/>
              </w:rPr>
            </w:pPr>
          </w:p>
        </w:tc>
        <w:tc>
          <w:tcPr>
            <w:tcW w:w="5114" w:type="dxa"/>
          </w:tcPr>
          <w:p w14:paraId="786AC8B4" w14:textId="77777777" w:rsidR="0046184B" w:rsidRDefault="00000000">
            <w:pPr>
              <w:pStyle w:val="aff1"/>
              <w:widowControl/>
              <w:ind w:firstLineChars="0" w:firstLine="0"/>
            </w:pPr>
            <w:r>
              <w:t>注册</w:t>
            </w:r>
            <w:r>
              <w:rPr>
                <w:rFonts w:cs="Calibri" w:hint="eastAsia"/>
              </w:rPr>
              <w:t>（办公）</w:t>
            </w:r>
            <w:r>
              <w:t>地址：成都市成华区建设路</w:t>
            </w:r>
            <w:r>
              <w:t>9</w:t>
            </w:r>
            <w:r>
              <w:t>号高地中心</w:t>
            </w:r>
            <w:r>
              <w:t xml:space="preserve">1101 </w:t>
            </w:r>
            <w:r>
              <w:t>室</w:t>
            </w:r>
          </w:p>
          <w:p w14:paraId="33A28D23" w14:textId="77777777" w:rsidR="0046184B" w:rsidRDefault="00000000">
            <w:pPr>
              <w:pStyle w:val="aff1"/>
              <w:widowControl/>
              <w:ind w:firstLineChars="0" w:firstLine="0"/>
            </w:pPr>
            <w:r>
              <w:t>客户服务电话：</w:t>
            </w:r>
            <w:r>
              <w:t xml:space="preserve">400-080-3388 </w:t>
            </w:r>
          </w:p>
          <w:p w14:paraId="7E0D5958" w14:textId="77777777" w:rsidR="0046184B" w:rsidRDefault="00000000">
            <w:pPr>
              <w:snapToGrid w:val="0"/>
              <w:rPr>
                <w:rFonts w:ascii="宋体" w:hAnsi="宋体" w:cs="Calibri" w:hint="eastAsia"/>
                <w:color w:val="000000"/>
                <w:szCs w:val="21"/>
              </w:rPr>
            </w:pPr>
            <w:r>
              <w:t>网址：</w:t>
            </w:r>
            <w:hyperlink r:id="rId22" w:history="1">
              <w:r>
                <w:rPr>
                  <w:rStyle w:val="afc"/>
                </w:rPr>
                <w:t>www.puyifund.com</w:t>
              </w:r>
            </w:hyperlink>
          </w:p>
        </w:tc>
      </w:tr>
      <w:tr w:rsidR="0046184B" w14:paraId="5CCC0A37" w14:textId="77777777">
        <w:trPr>
          <w:trHeight w:val="20"/>
        </w:trPr>
        <w:tc>
          <w:tcPr>
            <w:tcW w:w="811" w:type="dxa"/>
          </w:tcPr>
          <w:p w14:paraId="0F0C7026" w14:textId="77777777" w:rsidR="0046184B" w:rsidRDefault="00000000">
            <w:pPr>
              <w:rPr>
                <w:rFonts w:ascii="宋体" w:hAnsi="宋体" w:cs="Arial" w:hint="eastAsia"/>
              </w:rPr>
            </w:pPr>
            <w:r>
              <w:rPr>
                <w:rFonts w:ascii="宋体" w:hAnsi="宋体" w:cs="Arial" w:hint="eastAsia"/>
              </w:rPr>
              <w:t>43</w:t>
            </w:r>
          </w:p>
        </w:tc>
        <w:tc>
          <w:tcPr>
            <w:tcW w:w="2580" w:type="dxa"/>
          </w:tcPr>
          <w:p w14:paraId="6B371833" w14:textId="77777777" w:rsidR="0046184B" w:rsidRDefault="00000000">
            <w:pPr>
              <w:pStyle w:val="a6"/>
            </w:pPr>
            <w:proofErr w:type="gramStart"/>
            <w:r>
              <w:rPr>
                <w:rFonts w:hint="eastAsia"/>
              </w:rPr>
              <w:t>腾安基金</w:t>
            </w:r>
            <w:proofErr w:type="gramEnd"/>
            <w:r>
              <w:rPr>
                <w:rFonts w:hint="eastAsia"/>
              </w:rPr>
              <w:t>销售（深圳）有限公司</w:t>
            </w:r>
          </w:p>
          <w:p w14:paraId="3BA857C9" w14:textId="77777777" w:rsidR="0046184B" w:rsidRDefault="0046184B">
            <w:pPr>
              <w:jc w:val="left"/>
              <w:rPr>
                <w:rFonts w:asciiTheme="minorEastAsia" w:hAnsiTheme="minorEastAsia" w:cs="Arial" w:hint="eastAsia"/>
              </w:rPr>
            </w:pPr>
          </w:p>
        </w:tc>
        <w:tc>
          <w:tcPr>
            <w:tcW w:w="5114" w:type="dxa"/>
          </w:tcPr>
          <w:p w14:paraId="443C8C37" w14:textId="77777777" w:rsidR="0046184B" w:rsidRDefault="00000000">
            <w:pPr>
              <w:pStyle w:val="a6"/>
            </w:pPr>
            <w:r>
              <w:t>注册</w:t>
            </w:r>
            <w:r>
              <w:rPr>
                <w:rFonts w:ascii="宋体" w:hAnsi="宋体" w:cs="Calibri" w:hint="eastAsia"/>
                <w:color w:val="000000"/>
                <w:szCs w:val="21"/>
              </w:rPr>
              <w:t>（办公）</w:t>
            </w:r>
            <w:r>
              <w:t>地址：</w:t>
            </w:r>
            <w:r>
              <w:rPr>
                <w:rFonts w:hint="eastAsia"/>
              </w:rPr>
              <w:t>深圳市南山区海天二路</w:t>
            </w:r>
            <w:proofErr w:type="gramStart"/>
            <w:r>
              <w:rPr>
                <w:rFonts w:hint="eastAsia"/>
              </w:rPr>
              <w:t>33</w:t>
            </w:r>
            <w:r>
              <w:rPr>
                <w:rFonts w:hint="eastAsia"/>
              </w:rPr>
              <w:t>号腾讯滨海</w:t>
            </w:r>
            <w:proofErr w:type="gramEnd"/>
            <w:r>
              <w:rPr>
                <w:rFonts w:hint="eastAsia"/>
              </w:rPr>
              <w:t>大厦</w:t>
            </w:r>
            <w:r>
              <w:rPr>
                <w:rFonts w:hint="eastAsia"/>
              </w:rPr>
              <w:t>15</w:t>
            </w:r>
            <w:r>
              <w:rPr>
                <w:rFonts w:hint="eastAsia"/>
              </w:rPr>
              <w:t>楼</w:t>
            </w:r>
          </w:p>
          <w:p w14:paraId="61DBFDC9" w14:textId="77777777" w:rsidR="0046184B" w:rsidRDefault="00000000">
            <w:pPr>
              <w:pStyle w:val="a6"/>
            </w:pPr>
            <w:r>
              <w:t>客服电话：</w:t>
            </w:r>
            <w:r>
              <w:t>4000-890-555</w:t>
            </w:r>
          </w:p>
          <w:p w14:paraId="4FA3DFC3" w14:textId="77777777" w:rsidR="0046184B" w:rsidRDefault="00000000">
            <w:pPr>
              <w:snapToGrid w:val="0"/>
              <w:rPr>
                <w:rFonts w:ascii="宋体" w:hAnsi="宋体" w:cs="Calibri" w:hint="eastAsia"/>
                <w:color w:val="000000"/>
                <w:szCs w:val="21"/>
              </w:rPr>
            </w:pPr>
            <w:r>
              <w:t>公司网站：</w:t>
            </w:r>
            <w:hyperlink r:id="rId23" w:history="1">
              <w:r>
                <w:rPr>
                  <w:rStyle w:val="afc"/>
                </w:rPr>
                <w:t>www.txfund.com</w:t>
              </w:r>
            </w:hyperlink>
          </w:p>
        </w:tc>
      </w:tr>
      <w:tr w:rsidR="0046184B" w14:paraId="4A004D72" w14:textId="77777777">
        <w:trPr>
          <w:trHeight w:val="20"/>
        </w:trPr>
        <w:tc>
          <w:tcPr>
            <w:tcW w:w="811" w:type="dxa"/>
          </w:tcPr>
          <w:p w14:paraId="1AB0B9AC" w14:textId="77777777" w:rsidR="0046184B" w:rsidRDefault="00000000">
            <w:pPr>
              <w:rPr>
                <w:rFonts w:ascii="宋体" w:hAnsi="宋体" w:cs="Arial" w:hint="eastAsia"/>
              </w:rPr>
            </w:pPr>
            <w:r>
              <w:rPr>
                <w:rFonts w:ascii="宋体" w:hAnsi="宋体" w:cs="Arial" w:hint="eastAsia"/>
              </w:rPr>
              <w:t>44</w:t>
            </w:r>
          </w:p>
        </w:tc>
        <w:tc>
          <w:tcPr>
            <w:tcW w:w="2580" w:type="dxa"/>
          </w:tcPr>
          <w:p w14:paraId="08CFBF39" w14:textId="77777777" w:rsidR="0046184B" w:rsidRDefault="00000000">
            <w:pPr>
              <w:pStyle w:val="aff1"/>
              <w:widowControl/>
              <w:ind w:firstLineChars="0" w:firstLine="0"/>
            </w:pPr>
            <w:proofErr w:type="gramStart"/>
            <w:r>
              <w:rPr>
                <w:rFonts w:hint="eastAsia"/>
              </w:rPr>
              <w:t>众惠基金</w:t>
            </w:r>
            <w:proofErr w:type="gramEnd"/>
            <w:r>
              <w:rPr>
                <w:rFonts w:hint="eastAsia"/>
              </w:rPr>
              <w:t>销售有限公司</w:t>
            </w:r>
          </w:p>
          <w:p w14:paraId="24E7A8FA" w14:textId="77777777" w:rsidR="0046184B" w:rsidRDefault="0046184B">
            <w:pPr>
              <w:jc w:val="left"/>
              <w:rPr>
                <w:rFonts w:asciiTheme="minorEastAsia" w:hAnsiTheme="minorEastAsia" w:cs="Arial" w:hint="eastAsia"/>
              </w:rPr>
            </w:pPr>
          </w:p>
        </w:tc>
        <w:tc>
          <w:tcPr>
            <w:tcW w:w="5114" w:type="dxa"/>
          </w:tcPr>
          <w:p w14:paraId="664A4C4B" w14:textId="77777777" w:rsidR="0046184B" w:rsidRDefault="00000000">
            <w:pPr>
              <w:pStyle w:val="aff1"/>
              <w:widowControl/>
              <w:ind w:firstLineChars="0" w:firstLine="0"/>
            </w:pPr>
            <w:r>
              <w:t>注册</w:t>
            </w:r>
            <w:r>
              <w:rPr>
                <w:rFonts w:cs="Calibri" w:hint="eastAsia"/>
              </w:rPr>
              <w:t>（办公）</w:t>
            </w:r>
            <w:r>
              <w:t>地址：</w:t>
            </w:r>
            <w:r>
              <w:rPr>
                <w:rFonts w:hint="eastAsia"/>
              </w:rPr>
              <w:t>贵州省贵阳市观山湖区长岭北路贵阳国际金融中心二期商务区第</w:t>
            </w:r>
            <w:r>
              <w:rPr>
                <w:rFonts w:hint="eastAsia"/>
              </w:rPr>
              <w:t>C4</w:t>
            </w:r>
            <w:r>
              <w:rPr>
                <w:rFonts w:hint="eastAsia"/>
              </w:rPr>
              <w:t>栋</w:t>
            </w:r>
            <w:r>
              <w:rPr>
                <w:rFonts w:hint="eastAsia"/>
              </w:rPr>
              <w:t>30</w:t>
            </w:r>
            <w:r>
              <w:rPr>
                <w:rFonts w:hint="eastAsia"/>
              </w:rPr>
              <w:t>层</w:t>
            </w:r>
          </w:p>
          <w:p w14:paraId="4B5DD268" w14:textId="77777777" w:rsidR="0046184B" w:rsidRDefault="00000000">
            <w:pPr>
              <w:pStyle w:val="aff1"/>
              <w:widowControl/>
              <w:ind w:firstLineChars="0" w:firstLine="0"/>
            </w:pPr>
            <w:r>
              <w:rPr>
                <w:rFonts w:hint="eastAsia"/>
              </w:rPr>
              <w:lastRenderedPageBreak/>
              <w:t>客服电话：</w:t>
            </w:r>
            <w:r>
              <w:rPr>
                <w:rFonts w:hint="eastAsia"/>
              </w:rPr>
              <w:t>400-839-1818</w:t>
            </w:r>
          </w:p>
          <w:p w14:paraId="695DAE9B" w14:textId="77777777" w:rsidR="0046184B" w:rsidRDefault="00000000">
            <w:pPr>
              <w:snapToGrid w:val="0"/>
              <w:rPr>
                <w:rFonts w:ascii="宋体" w:hAnsi="宋体" w:cs="Calibri" w:hint="eastAsia"/>
                <w:color w:val="000000"/>
                <w:szCs w:val="21"/>
              </w:rPr>
            </w:pPr>
            <w:r>
              <w:rPr>
                <w:rFonts w:hint="eastAsia"/>
              </w:rPr>
              <w:t>公司网站：</w:t>
            </w:r>
            <w:r>
              <w:rPr>
                <w:rFonts w:hint="eastAsia"/>
              </w:rPr>
              <w:t>www.hyzhfund.com</w:t>
            </w:r>
          </w:p>
        </w:tc>
      </w:tr>
      <w:tr w:rsidR="0046184B" w14:paraId="00D01F09" w14:textId="77777777">
        <w:trPr>
          <w:trHeight w:val="20"/>
        </w:trPr>
        <w:tc>
          <w:tcPr>
            <w:tcW w:w="811" w:type="dxa"/>
          </w:tcPr>
          <w:p w14:paraId="08A7DFCA" w14:textId="77777777" w:rsidR="0046184B" w:rsidRDefault="00000000">
            <w:pPr>
              <w:rPr>
                <w:rFonts w:ascii="宋体" w:hAnsi="宋体" w:cs="Arial" w:hint="eastAsia"/>
              </w:rPr>
            </w:pPr>
            <w:r>
              <w:rPr>
                <w:rFonts w:ascii="宋体" w:hAnsi="宋体" w:cs="Arial" w:hint="eastAsia"/>
              </w:rPr>
              <w:lastRenderedPageBreak/>
              <w:t>45</w:t>
            </w:r>
          </w:p>
        </w:tc>
        <w:tc>
          <w:tcPr>
            <w:tcW w:w="2580" w:type="dxa"/>
          </w:tcPr>
          <w:p w14:paraId="2B4105E7" w14:textId="77777777" w:rsidR="0046184B" w:rsidRDefault="00000000">
            <w:pPr>
              <w:pStyle w:val="a6"/>
            </w:pPr>
            <w:r>
              <w:t>北京中</w:t>
            </w:r>
            <w:proofErr w:type="gramStart"/>
            <w:r>
              <w:t>植基金</w:t>
            </w:r>
            <w:proofErr w:type="gramEnd"/>
            <w:r>
              <w:t>销售有限公司</w:t>
            </w:r>
          </w:p>
          <w:p w14:paraId="788C2743" w14:textId="77777777" w:rsidR="0046184B" w:rsidRDefault="0046184B">
            <w:pPr>
              <w:jc w:val="left"/>
              <w:rPr>
                <w:rFonts w:asciiTheme="minorEastAsia" w:hAnsiTheme="minorEastAsia" w:cs="Arial" w:hint="eastAsia"/>
              </w:rPr>
            </w:pPr>
          </w:p>
        </w:tc>
        <w:tc>
          <w:tcPr>
            <w:tcW w:w="5114" w:type="dxa"/>
          </w:tcPr>
          <w:p w14:paraId="33CB25F5" w14:textId="77777777" w:rsidR="0046184B" w:rsidRDefault="00000000">
            <w:pPr>
              <w:pStyle w:val="a6"/>
            </w:pPr>
            <w:r>
              <w:t>注册（办公）地址：</w:t>
            </w:r>
            <w:r>
              <w:rPr>
                <w:rFonts w:hint="eastAsia"/>
              </w:rPr>
              <w:t>北京市朝阳区建国路</w:t>
            </w:r>
            <w:r>
              <w:rPr>
                <w:rFonts w:hint="eastAsia"/>
              </w:rPr>
              <w:t>91</w:t>
            </w:r>
            <w:r>
              <w:rPr>
                <w:rFonts w:hint="eastAsia"/>
              </w:rPr>
              <w:t>号金地中心</w:t>
            </w:r>
            <w:r>
              <w:rPr>
                <w:rFonts w:hint="eastAsia"/>
              </w:rPr>
              <w:t>B</w:t>
            </w:r>
            <w:r>
              <w:rPr>
                <w:rFonts w:hint="eastAsia"/>
              </w:rPr>
              <w:t>座</w:t>
            </w:r>
            <w:r>
              <w:rPr>
                <w:rFonts w:hint="eastAsia"/>
              </w:rPr>
              <w:t>21</w:t>
            </w:r>
            <w:r>
              <w:rPr>
                <w:rFonts w:hint="eastAsia"/>
              </w:rPr>
              <w:t>、</w:t>
            </w:r>
            <w:r>
              <w:rPr>
                <w:rFonts w:hint="eastAsia"/>
              </w:rPr>
              <w:t>29</w:t>
            </w:r>
            <w:r>
              <w:rPr>
                <w:rFonts w:hint="eastAsia"/>
              </w:rPr>
              <w:t>层</w:t>
            </w:r>
          </w:p>
          <w:p w14:paraId="137C0225" w14:textId="77777777" w:rsidR="0046184B" w:rsidRDefault="00000000">
            <w:pPr>
              <w:pStyle w:val="a6"/>
            </w:pPr>
            <w:r>
              <w:t>客户服务电话：</w:t>
            </w:r>
            <w:r>
              <w:t>400-8180-888</w:t>
            </w:r>
          </w:p>
          <w:p w14:paraId="176B0CA0" w14:textId="77777777" w:rsidR="0046184B" w:rsidRDefault="00000000">
            <w:pPr>
              <w:snapToGrid w:val="0"/>
              <w:rPr>
                <w:rFonts w:ascii="宋体" w:hAnsi="宋体" w:cs="Calibri" w:hint="eastAsia"/>
                <w:color w:val="000000"/>
                <w:szCs w:val="21"/>
              </w:rPr>
            </w:pPr>
            <w:r>
              <w:rPr>
                <w:rFonts w:hint="eastAsia"/>
              </w:rPr>
              <w:t>公司网站：</w:t>
            </w:r>
            <w:r>
              <w:t>https://www.zzfund.com</w:t>
            </w:r>
          </w:p>
        </w:tc>
      </w:tr>
      <w:tr w:rsidR="0046184B" w14:paraId="69E7B4B4" w14:textId="77777777">
        <w:trPr>
          <w:trHeight w:val="20"/>
        </w:trPr>
        <w:tc>
          <w:tcPr>
            <w:tcW w:w="811" w:type="dxa"/>
          </w:tcPr>
          <w:p w14:paraId="4B4345A1" w14:textId="77777777" w:rsidR="0046184B" w:rsidRDefault="00000000">
            <w:pPr>
              <w:rPr>
                <w:rFonts w:ascii="宋体" w:hAnsi="宋体" w:cs="Arial" w:hint="eastAsia"/>
              </w:rPr>
            </w:pPr>
            <w:r>
              <w:rPr>
                <w:rFonts w:ascii="宋体" w:hAnsi="宋体" w:cs="Arial" w:hint="eastAsia"/>
              </w:rPr>
              <w:t>46</w:t>
            </w:r>
          </w:p>
        </w:tc>
        <w:tc>
          <w:tcPr>
            <w:tcW w:w="2580" w:type="dxa"/>
          </w:tcPr>
          <w:p w14:paraId="6ED31584" w14:textId="77777777" w:rsidR="0046184B" w:rsidRDefault="00000000">
            <w:pPr>
              <w:pStyle w:val="a6"/>
            </w:pPr>
            <w:r>
              <w:t>北京</w:t>
            </w:r>
            <w:proofErr w:type="gramStart"/>
            <w:r>
              <w:t>创金启富基金</w:t>
            </w:r>
            <w:proofErr w:type="gramEnd"/>
            <w:r>
              <w:t>销售有限公司</w:t>
            </w:r>
          </w:p>
          <w:p w14:paraId="32ED6110" w14:textId="77777777" w:rsidR="0046184B" w:rsidRDefault="0046184B">
            <w:pPr>
              <w:jc w:val="left"/>
              <w:rPr>
                <w:rFonts w:asciiTheme="minorEastAsia" w:hAnsiTheme="minorEastAsia" w:cs="Arial" w:hint="eastAsia"/>
              </w:rPr>
            </w:pPr>
          </w:p>
        </w:tc>
        <w:tc>
          <w:tcPr>
            <w:tcW w:w="5114" w:type="dxa"/>
          </w:tcPr>
          <w:p w14:paraId="57B1833E" w14:textId="77777777" w:rsidR="0046184B" w:rsidRDefault="00000000">
            <w:pPr>
              <w:pStyle w:val="a6"/>
            </w:pPr>
            <w:r>
              <w:t>注册</w:t>
            </w:r>
            <w:r>
              <w:rPr>
                <w:rFonts w:ascii="宋体" w:hAnsi="宋体" w:cs="Calibri" w:hint="eastAsia"/>
                <w:color w:val="000000"/>
                <w:szCs w:val="21"/>
              </w:rPr>
              <w:t>（办公）</w:t>
            </w:r>
            <w:r>
              <w:t>地址：</w:t>
            </w:r>
            <w:r>
              <w:rPr>
                <w:rFonts w:hint="eastAsia"/>
              </w:rPr>
              <w:t>北京市西城区白纸坊东街</w:t>
            </w:r>
            <w:r>
              <w:rPr>
                <w:rFonts w:hint="eastAsia"/>
              </w:rPr>
              <w:t>2</w:t>
            </w:r>
            <w:r>
              <w:rPr>
                <w:rFonts w:hint="eastAsia"/>
              </w:rPr>
              <w:t>号经济日报社</w:t>
            </w:r>
            <w:r>
              <w:rPr>
                <w:rFonts w:hint="eastAsia"/>
              </w:rPr>
              <w:t>A</w:t>
            </w:r>
            <w:proofErr w:type="gramStart"/>
            <w:r>
              <w:rPr>
                <w:rFonts w:hint="eastAsia"/>
              </w:rPr>
              <w:t>座综合</w:t>
            </w:r>
            <w:proofErr w:type="gramEnd"/>
            <w:r>
              <w:rPr>
                <w:rFonts w:hint="eastAsia"/>
              </w:rPr>
              <w:t>楼</w:t>
            </w:r>
            <w:r>
              <w:rPr>
                <w:rFonts w:hint="eastAsia"/>
              </w:rPr>
              <w:t>712</w:t>
            </w:r>
            <w:r>
              <w:rPr>
                <w:rFonts w:hint="eastAsia"/>
              </w:rPr>
              <w:t>室</w:t>
            </w:r>
          </w:p>
          <w:p w14:paraId="5004D8F5" w14:textId="77777777" w:rsidR="0046184B" w:rsidRDefault="00000000">
            <w:pPr>
              <w:pStyle w:val="a6"/>
            </w:pPr>
            <w:r>
              <w:t>客服电话：</w:t>
            </w:r>
            <w:r>
              <w:t xml:space="preserve">010-66154828 </w:t>
            </w:r>
          </w:p>
          <w:p w14:paraId="65041D5F" w14:textId="77777777" w:rsidR="0046184B" w:rsidRDefault="00000000">
            <w:pPr>
              <w:snapToGrid w:val="0"/>
              <w:rPr>
                <w:rFonts w:ascii="宋体" w:hAnsi="宋体" w:cs="Calibri" w:hint="eastAsia"/>
                <w:color w:val="000000"/>
                <w:szCs w:val="21"/>
              </w:rPr>
            </w:pPr>
            <w:r>
              <w:t>公司网站：</w:t>
            </w:r>
            <w:r>
              <w:t>https://www.5irich.com/</w:t>
            </w:r>
          </w:p>
        </w:tc>
      </w:tr>
      <w:tr w:rsidR="0046184B" w14:paraId="38D2379D" w14:textId="77777777">
        <w:trPr>
          <w:trHeight w:val="20"/>
        </w:trPr>
        <w:tc>
          <w:tcPr>
            <w:tcW w:w="811" w:type="dxa"/>
          </w:tcPr>
          <w:p w14:paraId="790C4C82" w14:textId="77777777" w:rsidR="0046184B" w:rsidRDefault="00000000">
            <w:pPr>
              <w:rPr>
                <w:rFonts w:ascii="宋体" w:hAnsi="宋体" w:cs="Arial" w:hint="eastAsia"/>
              </w:rPr>
            </w:pPr>
            <w:r>
              <w:rPr>
                <w:rFonts w:ascii="宋体" w:hAnsi="宋体" w:cs="Arial" w:hint="eastAsia"/>
              </w:rPr>
              <w:t>47</w:t>
            </w:r>
          </w:p>
        </w:tc>
        <w:tc>
          <w:tcPr>
            <w:tcW w:w="2580" w:type="dxa"/>
          </w:tcPr>
          <w:p w14:paraId="67DFFF60" w14:textId="77777777" w:rsidR="0046184B" w:rsidRDefault="00000000">
            <w:pPr>
              <w:pStyle w:val="a6"/>
            </w:pPr>
            <w:r>
              <w:rPr>
                <w:rFonts w:hint="eastAsia"/>
              </w:rPr>
              <w:t>和讯信息科技有限公司</w:t>
            </w:r>
          </w:p>
          <w:p w14:paraId="1754F24D" w14:textId="77777777" w:rsidR="0046184B" w:rsidRDefault="0046184B">
            <w:pPr>
              <w:jc w:val="left"/>
              <w:rPr>
                <w:rFonts w:asciiTheme="minorEastAsia" w:hAnsiTheme="minorEastAsia" w:cs="Arial" w:hint="eastAsia"/>
              </w:rPr>
            </w:pPr>
          </w:p>
        </w:tc>
        <w:tc>
          <w:tcPr>
            <w:tcW w:w="5114" w:type="dxa"/>
          </w:tcPr>
          <w:p w14:paraId="30E02115" w14:textId="77777777" w:rsidR="0046184B" w:rsidRDefault="00000000">
            <w:pPr>
              <w:pStyle w:val="a6"/>
            </w:pPr>
            <w:r>
              <w:t>注册</w:t>
            </w:r>
            <w:r>
              <w:rPr>
                <w:rFonts w:ascii="宋体" w:hAnsi="宋体" w:cs="Calibri" w:hint="eastAsia"/>
                <w:color w:val="000000"/>
                <w:szCs w:val="21"/>
              </w:rPr>
              <w:t>（办公）</w:t>
            </w:r>
            <w:r>
              <w:t>地址：</w:t>
            </w:r>
            <w:r>
              <w:rPr>
                <w:rFonts w:hint="eastAsia"/>
              </w:rPr>
              <w:t>北京市朝外大街</w:t>
            </w:r>
            <w:proofErr w:type="gramStart"/>
            <w:r>
              <w:rPr>
                <w:rFonts w:hint="eastAsia"/>
              </w:rPr>
              <w:t>22</w:t>
            </w:r>
            <w:r>
              <w:rPr>
                <w:rFonts w:hint="eastAsia"/>
              </w:rPr>
              <w:t>号泛利大厦</w:t>
            </w:r>
            <w:proofErr w:type="gramEnd"/>
            <w:r>
              <w:rPr>
                <w:rFonts w:hint="eastAsia"/>
              </w:rPr>
              <w:t>10</w:t>
            </w:r>
            <w:r>
              <w:rPr>
                <w:rFonts w:hint="eastAsia"/>
              </w:rPr>
              <w:t>层</w:t>
            </w:r>
          </w:p>
          <w:p w14:paraId="2161E372" w14:textId="77777777" w:rsidR="0046184B" w:rsidRDefault="00000000">
            <w:pPr>
              <w:pStyle w:val="a6"/>
            </w:pPr>
            <w:r>
              <w:rPr>
                <w:rFonts w:hint="eastAsia"/>
              </w:rPr>
              <w:t>客服电话：</w:t>
            </w:r>
            <w:r>
              <w:rPr>
                <w:rFonts w:hint="eastAsia"/>
              </w:rPr>
              <w:t>400-920-0022</w:t>
            </w:r>
          </w:p>
          <w:p w14:paraId="435F4476" w14:textId="77777777" w:rsidR="0046184B" w:rsidRDefault="00000000">
            <w:pPr>
              <w:snapToGrid w:val="0"/>
              <w:rPr>
                <w:rFonts w:ascii="宋体" w:hAnsi="宋体" w:cs="Calibri" w:hint="eastAsia"/>
                <w:color w:val="000000"/>
                <w:szCs w:val="21"/>
              </w:rPr>
            </w:pPr>
            <w:r>
              <w:rPr>
                <w:rFonts w:hint="eastAsia"/>
              </w:rPr>
              <w:t>公司网站：</w:t>
            </w:r>
            <w:hyperlink r:id="rId24" w:history="1">
              <w:r>
                <w:rPr>
                  <w:rStyle w:val="afc"/>
                  <w:rFonts w:hint="eastAsia"/>
                </w:rPr>
                <w:t>www.licaike.com</w:t>
              </w:r>
            </w:hyperlink>
          </w:p>
        </w:tc>
      </w:tr>
      <w:tr w:rsidR="0046184B" w14:paraId="21804BA0" w14:textId="77777777">
        <w:trPr>
          <w:trHeight w:val="20"/>
        </w:trPr>
        <w:tc>
          <w:tcPr>
            <w:tcW w:w="811" w:type="dxa"/>
          </w:tcPr>
          <w:p w14:paraId="73AC4638" w14:textId="77777777" w:rsidR="0046184B" w:rsidRDefault="00000000">
            <w:pPr>
              <w:rPr>
                <w:rFonts w:ascii="宋体" w:hAnsi="宋体" w:cs="Arial" w:hint="eastAsia"/>
              </w:rPr>
            </w:pPr>
            <w:r>
              <w:rPr>
                <w:rFonts w:ascii="宋体" w:hAnsi="宋体" w:cs="Arial" w:hint="eastAsia"/>
              </w:rPr>
              <w:t>48</w:t>
            </w:r>
          </w:p>
        </w:tc>
        <w:tc>
          <w:tcPr>
            <w:tcW w:w="2580" w:type="dxa"/>
          </w:tcPr>
          <w:p w14:paraId="330EB76C" w14:textId="77777777" w:rsidR="0046184B" w:rsidRDefault="00000000">
            <w:pPr>
              <w:jc w:val="left"/>
              <w:rPr>
                <w:rFonts w:asciiTheme="minorEastAsia" w:hAnsiTheme="minorEastAsia" w:cs="Arial" w:hint="eastAsia"/>
              </w:rPr>
            </w:pPr>
            <w:r>
              <w:t>上海</w:t>
            </w:r>
            <w:proofErr w:type="gramStart"/>
            <w:r>
              <w:t>陆享基金</w:t>
            </w:r>
            <w:proofErr w:type="gramEnd"/>
            <w:r>
              <w:t>销售有限公司</w:t>
            </w:r>
          </w:p>
        </w:tc>
        <w:tc>
          <w:tcPr>
            <w:tcW w:w="5114" w:type="dxa"/>
          </w:tcPr>
          <w:p w14:paraId="569F856C" w14:textId="77777777" w:rsidR="0046184B" w:rsidRDefault="00000000">
            <w:pPr>
              <w:snapToGrid w:val="0"/>
              <w:rPr>
                <w:rFonts w:ascii="宋体" w:hAnsi="宋体" w:cs="Calibri" w:hint="eastAsia"/>
                <w:color w:val="000000"/>
                <w:szCs w:val="21"/>
              </w:rPr>
            </w:pPr>
            <w:r>
              <w:t>注册</w:t>
            </w:r>
            <w:r>
              <w:rPr>
                <w:rFonts w:ascii="宋体" w:hAnsi="宋体" w:cs="Calibri" w:hint="eastAsia"/>
                <w:color w:val="000000"/>
                <w:szCs w:val="21"/>
              </w:rPr>
              <w:t>（办公）地址：</w:t>
            </w:r>
            <w:r>
              <w:rPr>
                <w:rFonts w:hint="eastAsia"/>
              </w:rPr>
              <w:t>中国（上海）自由贸易试验区世纪大道</w:t>
            </w:r>
            <w:r>
              <w:rPr>
                <w:rFonts w:hint="eastAsia"/>
              </w:rPr>
              <w:t>1196</w:t>
            </w:r>
            <w:r>
              <w:rPr>
                <w:rFonts w:hint="eastAsia"/>
              </w:rPr>
              <w:t>号世纪汇广场二座</w:t>
            </w:r>
            <w:r>
              <w:rPr>
                <w:rFonts w:hint="eastAsia"/>
              </w:rPr>
              <w:t>16</w:t>
            </w:r>
            <w:r>
              <w:rPr>
                <w:rFonts w:hint="eastAsia"/>
              </w:rPr>
              <w:t>层</w:t>
            </w:r>
          </w:p>
          <w:p w14:paraId="40CE5C3F"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客服电话：400-168-1235</w:t>
            </w:r>
          </w:p>
          <w:p w14:paraId="47B5B8D3"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公司网站：</w:t>
            </w:r>
            <w:r>
              <w:rPr>
                <w:rFonts w:ascii="宋体" w:hAnsi="宋体" w:cs="Calibri"/>
                <w:color w:val="000000"/>
                <w:szCs w:val="21"/>
              </w:rPr>
              <w:t>www.luxxfund.com</w:t>
            </w:r>
          </w:p>
        </w:tc>
      </w:tr>
      <w:tr w:rsidR="0046184B" w14:paraId="2BF27A83" w14:textId="77777777">
        <w:trPr>
          <w:trHeight w:val="20"/>
        </w:trPr>
        <w:tc>
          <w:tcPr>
            <w:tcW w:w="811" w:type="dxa"/>
          </w:tcPr>
          <w:p w14:paraId="51E1EBDA" w14:textId="77777777" w:rsidR="0046184B" w:rsidRDefault="00000000">
            <w:pPr>
              <w:rPr>
                <w:rFonts w:ascii="宋体" w:hAnsi="宋体" w:cs="Arial" w:hint="eastAsia"/>
              </w:rPr>
            </w:pPr>
            <w:r>
              <w:rPr>
                <w:rFonts w:ascii="宋体" w:hAnsi="宋体" w:cs="Arial" w:hint="eastAsia"/>
              </w:rPr>
              <w:t>49</w:t>
            </w:r>
          </w:p>
        </w:tc>
        <w:tc>
          <w:tcPr>
            <w:tcW w:w="2580" w:type="dxa"/>
          </w:tcPr>
          <w:p w14:paraId="6321E2E9" w14:textId="77777777" w:rsidR="0046184B" w:rsidRDefault="00000000">
            <w:pPr>
              <w:jc w:val="left"/>
              <w:rPr>
                <w:rFonts w:ascii="宋体" w:hAnsi="宋体" w:cs="Calibri" w:hint="eastAsia"/>
                <w:color w:val="000000"/>
                <w:szCs w:val="21"/>
              </w:rPr>
            </w:pPr>
            <w:r>
              <w:rPr>
                <w:rFonts w:ascii="宋体" w:hAnsi="宋体" w:cs="Calibri" w:hint="eastAsia"/>
                <w:color w:val="000000"/>
                <w:szCs w:val="21"/>
              </w:rPr>
              <w:t>中国人寿股份有限公司</w:t>
            </w:r>
          </w:p>
        </w:tc>
        <w:tc>
          <w:tcPr>
            <w:tcW w:w="5114" w:type="dxa"/>
          </w:tcPr>
          <w:p w14:paraId="260AE0E2" w14:textId="77777777" w:rsidR="0046184B" w:rsidRDefault="00000000">
            <w:pPr>
              <w:rPr>
                <w:rFonts w:ascii="宋体" w:hAnsi="宋体" w:cs="Calibri" w:hint="eastAsia"/>
                <w:color w:val="000000"/>
                <w:szCs w:val="21"/>
              </w:rPr>
            </w:pPr>
            <w:r>
              <w:rPr>
                <w:rFonts w:ascii="宋体" w:hAnsi="宋体" w:cs="Calibri" w:hint="eastAsia"/>
                <w:color w:val="000000"/>
                <w:szCs w:val="21"/>
              </w:rPr>
              <w:t>注册地址：中国北京市西城区金融大街16号</w:t>
            </w:r>
          </w:p>
          <w:p w14:paraId="0A620895" w14:textId="77777777" w:rsidR="0046184B" w:rsidRDefault="00000000">
            <w:pPr>
              <w:rPr>
                <w:rFonts w:ascii="宋体" w:hAnsi="宋体" w:cs="Calibri" w:hint="eastAsia"/>
                <w:color w:val="000000"/>
                <w:szCs w:val="21"/>
              </w:rPr>
            </w:pPr>
            <w:r>
              <w:rPr>
                <w:rFonts w:ascii="宋体" w:hAnsi="宋体" w:cs="Calibri" w:hint="eastAsia"/>
                <w:color w:val="000000"/>
                <w:szCs w:val="21"/>
              </w:rPr>
              <w:t>客户服务电话：95519</w:t>
            </w:r>
          </w:p>
          <w:p w14:paraId="6DF004BB"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网址：www.e-chinalife.com</w:t>
            </w:r>
          </w:p>
        </w:tc>
      </w:tr>
      <w:tr w:rsidR="0046184B" w14:paraId="6E0B2C2E" w14:textId="77777777">
        <w:trPr>
          <w:trHeight w:val="20"/>
        </w:trPr>
        <w:tc>
          <w:tcPr>
            <w:tcW w:w="811" w:type="dxa"/>
          </w:tcPr>
          <w:p w14:paraId="1052C1BE" w14:textId="77777777" w:rsidR="0046184B" w:rsidRDefault="00000000">
            <w:pPr>
              <w:rPr>
                <w:rFonts w:ascii="宋体" w:hAnsi="宋体" w:cs="Arial" w:hint="eastAsia"/>
              </w:rPr>
            </w:pPr>
            <w:r>
              <w:rPr>
                <w:rFonts w:ascii="宋体" w:hAnsi="宋体" w:cs="Arial" w:hint="eastAsia"/>
              </w:rPr>
              <w:t>50</w:t>
            </w:r>
          </w:p>
        </w:tc>
        <w:tc>
          <w:tcPr>
            <w:tcW w:w="2580" w:type="dxa"/>
          </w:tcPr>
          <w:p w14:paraId="51DF5ACF" w14:textId="77777777" w:rsidR="0046184B" w:rsidRDefault="00000000">
            <w:pPr>
              <w:jc w:val="left"/>
              <w:rPr>
                <w:rFonts w:asciiTheme="minorEastAsia" w:hAnsiTheme="minorEastAsia" w:cs="Arial" w:hint="eastAsia"/>
              </w:rPr>
            </w:pPr>
            <w:r>
              <w:rPr>
                <w:rFonts w:ascii="宋体" w:hAnsi="宋体" w:cs="Calibri" w:hint="eastAsia"/>
                <w:color w:val="000000"/>
                <w:szCs w:val="21"/>
              </w:rPr>
              <w:t>阳光人寿保险股份有限公司</w:t>
            </w:r>
          </w:p>
        </w:tc>
        <w:tc>
          <w:tcPr>
            <w:tcW w:w="5114" w:type="dxa"/>
          </w:tcPr>
          <w:p w14:paraId="00AB874D"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 xml:space="preserve">地址: </w:t>
            </w:r>
            <w:r>
              <w:rPr>
                <w:rFonts w:ascii="宋体" w:hAnsi="宋体" w:cs="Calibri" w:hint="eastAsia"/>
                <w:color w:val="000000"/>
                <w:szCs w:val="21"/>
              </w:rPr>
              <w:t>海南省三亚市迎宾路360-1号三亚阳光金融广场16层</w:t>
            </w:r>
          </w:p>
          <w:p w14:paraId="4F724F1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办公地址</w:t>
            </w:r>
            <w:r>
              <w:rPr>
                <w:rFonts w:ascii="宋体" w:hAnsi="宋体" w:cs="Calibri"/>
                <w:color w:val="000000"/>
                <w:szCs w:val="21"/>
              </w:rPr>
              <w:t>：</w:t>
            </w:r>
            <w:r>
              <w:rPr>
                <w:rFonts w:ascii="宋体" w:hAnsi="宋体" w:cs="Calibri" w:hint="eastAsia"/>
                <w:color w:val="000000"/>
                <w:szCs w:val="21"/>
              </w:rPr>
              <w:t xml:space="preserve"> 北京市朝阳区朝阳门外大街乙12号院1号昆泰国际大厦12层</w:t>
            </w:r>
          </w:p>
          <w:p w14:paraId="6F5209F0"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客户服务电话：95510</w:t>
            </w:r>
          </w:p>
          <w:p w14:paraId="395431E7"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网址：fund.sinosig.com</w:t>
            </w:r>
          </w:p>
        </w:tc>
      </w:tr>
      <w:tr w:rsidR="0046184B" w14:paraId="3E3FDB44" w14:textId="77777777">
        <w:trPr>
          <w:trHeight w:val="20"/>
        </w:trPr>
        <w:tc>
          <w:tcPr>
            <w:tcW w:w="811" w:type="dxa"/>
          </w:tcPr>
          <w:p w14:paraId="3DAAC291" w14:textId="77777777" w:rsidR="0046184B" w:rsidRDefault="00000000">
            <w:pPr>
              <w:rPr>
                <w:rFonts w:ascii="宋体" w:hAnsi="宋体" w:cs="Arial" w:hint="eastAsia"/>
              </w:rPr>
            </w:pPr>
            <w:r>
              <w:rPr>
                <w:rFonts w:ascii="宋体" w:hAnsi="宋体" w:cs="Arial" w:hint="eastAsia"/>
              </w:rPr>
              <w:t>51</w:t>
            </w:r>
          </w:p>
        </w:tc>
        <w:tc>
          <w:tcPr>
            <w:tcW w:w="2580" w:type="dxa"/>
          </w:tcPr>
          <w:p w14:paraId="5AF71735" w14:textId="77777777" w:rsidR="0046184B" w:rsidRDefault="00000000">
            <w:pPr>
              <w:jc w:val="left"/>
              <w:rPr>
                <w:rFonts w:asciiTheme="minorEastAsia" w:hAnsiTheme="minorEastAsia" w:cs="Arial" w:hint="eastAsia"/>
              </w:rPr>
            </w:pPr>
            <w:r>
              <w:rPr>
                <w:rFonts w:ascii="宋体" w:hAnsi="宋体" w:cs="Calibri" w:hint="eastAsia"/>
                <w:color w:val="000000"/>
                <w:szCs w:val="21"/>
              </w:rPr>
              <w:t>金元证券股份有限公司</w:t>
            </w:r>
          </w:p>
        </w:tc>
        <w:tc>
          <w:tcPr>
            <w:tcW w:w="5114" w:type="dxa"/>
          </w:tcPr>
          <w:p w14:paraId="5442209F"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深圳市深南大道4001号时代金融中心大厦17楼</w:t>
            </w:r>
          </w:p>
          <w:p w14:paraId="07EA61D6" w14:textId="77777777" w:rsidR="0046184B" w:rsidRDefault="00000000">
            <w:pPr>
              <w:snapToGrid w:val="0"/>
            </w:pPr>
            <w:r>
              <w:rPr>
                <w:rFonts w:ascii="宋体" w:hAnsi="宋体" w:cs="Calibri" w:hint="eastAsia"/>
                <w:color w:val="000000"/>
                <w:szCs w:val="21"/>
              </w:rPr>
              <w:t>客户服务电话</w:t>
            </w:r>
            <w:r>
              <w:t>：</w:t>
            </w:r>
            <w:r>
              <w:t>95372</w:t>
            </w:r>
          </w:p>
          <w:p w14:paraId="45B7FBB3"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网址：www.jyzq.cn</w:t>
            </w:r>
          </w:p>
        </w:tc>
      </w:tr>
      <w:tr w:rsidR="0046184B" w14:paraId="6C66BF8F" w14:textId="77777777">
        <w:trPr>
          <w:trHeight w:val="20"/>
        </w:trPr>
        <w:tc>
          <w:tcPr>
            <w:tcW w:w="811" w:type="dxa"/>
          </w:tcPr>
          <w:p w14:paraId="32CBA65B" w14:textId="77777777" w:rsidR="0046184B" w:rsidRDefault="00000000">
            <w:pPr>
              <w:rPr>
                <w:rFonts w:ascii="宋体" w:hAnsi="宋体" w:cs="Arial" w:hint="eastAsia"/>
              </w:rPr>
            </w:pPr>
            <w:r>
              <w:rPr>
                <w:rFonts w:ascii="宋体" w:hAnsi="宋体" w:cs="Arial" w:hint="eastAsia"/>
              </w:rPr>
              <w:t>52</w:t>
            </w:r>
          </w:p>
        </w:tc>
        <w:tc>
          <w:tcPr>
            <w:tcW w:w="2580" w:type="dxa"/>
          </w:tcPr>
          <w:p w14:paraId="49B9C50E" w14:textId="77777777" w:rsidR="0046184B" w:rsidRDefault="00000000">
            <w:pPr>
              <w:jc w:val="left"/>
              <w:rPr>
                <w:rFonts w:asciiTheme="minorEastAsia" w:hAnsiTheme="minorEastAsia" w:cs="Arial" w:hint="eastAsia"/>
              </w:rPr>
            </w:pPr>
            <w:r>
              <w:rPr>
                <w:rFonts w:ascii="宋体" w:hAnsi="宋体" w:cs="Calibri" w:hint="eastAsia"/>
                <w:color w:val="000000"/>
                <w:szCs w:val="21"/>
              </w:rPr>
              <w:t>深圳市前海排</w:t>
            </w:r>
            <w:proofErr w:type="gramStart"/>
            <w:r>
              <w:rPr>
                <w:rFonts w:ascii="宋体" w:hAnsi="宋体" w:cs="Calibri" w:hint="eastAsia"/>
                <w:color w:val="000000"/>
                <w:szCs w:val="21"/>
              </w:rPr>
              <w:t>排</w:t>
            </w:r>
            <w:proofErr w:type="gramEnd"/>
            <w:r>
              <w:rPr>
                <w:rFonts w:ascii="宋体" w:hAnsi="宋体" w:cs="Calibri" w:hint="eastAsia"/>
                <w:color w:val="000000"/>
                <w:szCs w:val="21"/>
              </w:rPr>
              <w:t>网基金销售有限责任公司</w:t>
            </w:r>
          </w:p>
        </w:tc>
        <w:tc>
          <w:tcPr>
            <w:tcW w:w="5114" w:type="dxa"/>
          </w:tcPr>
          <w:p w14:paraId="76C97550" w14:textId="77777777" w:rsidR="0046184B" w:rsidRDefault="00000000">
            <w:pPr>
              <w:rPr>
                <w:rFonts w:ascii="宋体" w:hAnsi="宋体" w:cs="Calibri" w:hint="eastAsia"/>
                <w:color w:val="000000"/>
                <w:szCs w:val="21"/>
              </w:rPr>
            </w:pPr>
            <w:r>
              <w:t>注册</w:t>
            </w:r>
            <w:r>
              <w:rPr>
                <w:rFonts w:ascii="宋体" w:hAnsi="宋体" w:cs="Calibri" w:hint="eastAsia"/>
                <w:color w:val="000000"/>
                <w:szCs w:val="21"/>
              </w:rPr>
              <w:t>（办公）地址：深圳市前海深港合作区前湾一路1号A栋201室（入驻深圳市前海商务秘书有限公司）</w:t>
            </w:r>
          </w:p>
          <w:p w14:paraId="29A665FD" w14:textId="77777777" w:rsidR="0046184B" w:rsidRDefault="00000000">
            <w:r>
              <w:t>客服电话：</w:t>
            </w:r>
            <w:r>
              <w:t xml:space="preserve">400-666-7388 </w:t>
            </w:r>
          </w:p>
          <w:p w14:paraId="6FA37259" w14:textId="77777777" w:rsidR="0046184B" w:rsidRDefault="00000000">
            <w:pPr>
              <w:snapToGrid w:val="0"/>
              <w:rPr>
                <w:rFonts w:ascii="宋体" w:hAnsi="宋体" w:cs="Calibri" w:hint="eastAsia"/>
                <w:color w:val="000000"/>
                <w:szCs w:val="21"/>
              </w:rPr>
            </w:pPr>
            <w:r>
              <w:t>公司网站：</w:t>
            </w:r>
            <w:r>
              <w:t>www.ppwfund.com</w:t>
            </w:r>
          </w:p>
        </w:tc>
      </w:tr>
      <w:tr w:rsidR="0046184B" w14:paraId="48D7C0CC" w14:textId="77777777">
        <w:trPr>
          <w:trHeight w:val="20"/>
        </w:trPr>
        <w:tc>
          <w:tcPr>
            <w:tcW w:w="811" w:type="dxa"/>
          </w:tcPr>
          <w:p w14:paraId="3CCFBB46" w14:textId="77777777" w:rsidR="0046184B" w:rsidRDefault="00000000">
            <w:pPr>
              <w:rPr>
                <w:rFonts w:ascii="宋体" w:hAnsi="宋体" w:cs="Arial" w:hint="eastAsia"/>
              </w:rPr>
            </w:pPr>
            <w:r>
              <w:rPr>
                <w:rFonts w:ascii="宋体" w:hAnsi="宋体" w:cs="Arial" w:hint="eastAsia"/>
              </w:rPr>
              <w:t>53</w:t>
            </w:r>
          </w:p>
        </w:tc>
        <w:tc>
          <w:tcPr>
            <w:tcW w:w="2580" w:type="dxa"/>
          </w:tcPr>
          <w:p w14:paraId="08503CAE" w14:textId="77777777" w:rsidR="0046184B" w:rsidRDefault="00000000">
            <w:pPr>
              <w:jc w:val="left"/>
              <w:rPr>
                <w:rFonts w:asciiTheme="minorEastAsia" w:hAnsiTheme="minorEastAsia" w:cs="Arial" w:hint="eastAsia"/>
              </w:rPr>
            </w:pPr>
            <w:r>
              <w:rPr>
                <w:rFonts w:ascii="宋体" w:hAnsi="宋体" w:cs="Calibri" w:hint="eastAsia"/>
                <w:color w:val="000000"/>
                <w:szCs w:val="21"/>
              </w:rPr>
              <w:t>嘉实财富管理有限公司</w:t>
            </w:r>
          </w:p>
        </w:tc>
        <w:tc>
          <w:tcPr>
            <w:tcW w:w="5114" w:type="dxa"/>
          </w:tcPr>
          <w:p w14:paraId="0934A74C" w14:textId="77777777" w:rsidR="0046184B" w:rsidRDefault="00000000">
            <w:r>
              <w:t>注册</w:t>
            </w:r>
            <w:r>
              <w:rPr>
                <w:rFonts w:ascii="宋体" w:hAnsi="宋体" w:cs="Calibri" w:hint="eastAsia"/>
                <w:color w:val="000000"/>
                <w:szCs w:val="21"/>
              </w:rPr>
              <w:t>（办公）</w:t>
            </w:r>
            <w:r>
              <w:t>地址：</w:t>
            </w:r>
            <w:r>
              <w:rPr>
                <w:rFonts w:hint="eastAsia"/>
              </w:rPr>
              <w:t>海南省三亚市天涯区凤凰岛</w:t>
            </w:r>
            <w:r>
              <w:rPr>
                <w:rFonts w:hint="eastAsia"/>
              </w:rPr>
              <w:t>1</w:t>
            </w:r>
            <w:r>
              <w:rPr>
                <w:rFonts w:hint="eastAsia"/>
              </w:rPr>
              <w:t>号楼</w:t>
            </w:r>
            <w:r>
              <w:rPr>
                <w:rFonts w:hint="eastAsia"/>
              </w:rPr>
              <w:t>7</w:t>
            </w:r>
            <w:r>
              <w:rPr>
                <w:rFonts w:hint="eastAsia"/>
              </w:rPr>
              <w:t>层</w:t>
            </w:r>
            <w:r>
              <w:rPr>
                <w:rFonts w:hint="eastAsia"/>
              </w:rPr>
              <w:t>710</w:t>
            </w:r>
            <w:r>
              <w:rPr>
                <w:rFonts w:hint="eastAsia"/>
              </w:rPr>
              <w:t>号</w:t>
            </w:r>
          </w:p>
          <w:p w14:paraId="4402B80B" w14:textId="77777777" w:rsidR="0046184B" w:rsidRDefault="00000000">
            <w:pPr>
              <w:rPr>
                <w:rFonts w:ascii="宋体" w:hAnsi="宋体" w:cs="Calibri" w:hint="eastAsia"/>
                <w:color w:val="000000"/>
                <w:szCs w:val="21"/>
              </w:rPr>
            </w:pPr>
            <w:r>
              <w:rPr>
                <w:rFonts w:ascii="宋体" w:hAnsi="宋体" w:cs="Calibri" w:hint="eastAsia"/>
                <w:color w:val="000000"/>
                <w:szCs w:val="21"/>
              </w:rPr>
              <w:t>客服电话：400-021-8850</w:t>
            </w:r>
          </w:p>
          <w:p w14:paraId="375B68FF"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公司网站：www.harvestwm.cn</w:t>
            </w:r>
          </w:p>
        </w:tc>
      </w:tr>
      <w:tr w:rsidR="0046184B" w14:paraId="6A91FB4B" w14:textId="77777777">
        <w:trPr>
          <w:trHeight w:val="20"/>
        </w:trPr>
        <w:tc>
          <w:tcPr>
            <w:tcW w:w="811" w:type="dxa"/>
          </w:tcPr>
          <w:p w14:paraId="180C3ADD" w14:textId="77777777" w:rsidR="0046184B" w:rsidRDefault="00000000">
            <w:pPr>
              <w:rPr>
                <w:rFonts w:ascii="宋体" w:hAnsi="宋体" w:cs="Arial" w:hint="eastAsia"/>
              </w:rPr>
            </w:pPr>
            <w:r>
              <w:rPr>
                <w:rFonts w:ascii="宋体" w:hAnsi="宋体" w:cs="Arial" w:hint="eastAsia"/>
              </w:rPr>
              <w:t>54</w:t>
            </w:r>
          </w:p>
        </w:tc>
        <w:tc>
          <w:tcPr>
            <w:tcW w:w="2580" w:type="dxa"/>
          </w:tcPr>
          <w:p w14:paraId="283AE137" w14:textId="77777777" w:rsidR="0046184B" w:rsidRDefault="00000000">
            <w:pPr>
              <w:jc w:val="left"/>
              <w:rPr>
                <w:rFonts w:asciiTheme="minorEastAsia" w:hAnsiTheme="minorEastAsia" w:cs="Arial" w:hint="eastAsia"/>
              </w:rPr>
            </w:pPr>
            <w:r>
              <w:t>上海</w:t>
            </w:r>
            <w:proofErr w:type="gramStart"/>
            <w:r>
              <w:t>攀赢基金</w:t>
            </w:r>
            <w:proofErr w:type="gramEnd"/>
            <w:r>
              <w:t>销售有限公司</w:t>
            </w:r>
          </w:p>
        </w:tc>
        <w:tc>
          <w:tcPr>
            <w:tcW w:w="5114" w:type="dxa"/>
          </w:tcPr>
          <w:p w14:paraId="75DEC5E8" w14:textId="77777777" w:rsidR="0046184B" w:rsidRDefault="00000000">
            <w:r>
              <w:t>注册</w:t>
            </w:r>
            <w:r>
              <w:rPr>
                <w:rFonts w:ascii="宋体" w:hAnsi="宋体" w:cs="Calibri" w:hint="eastAsia"/>
                <w:color w:val="000000"/>
                <w:szCs w:val="21"/>
              </w:rPr>
              <w:t>（办公）</w:t>
            </w:r>
            <w:r>
              <w:t>地址：</w:t>
            </w:r>
            <w:r>
              <w:rPr>
                <w:rFonts w:hint="eastAsia"/>
              </w:rPr>
              <w:t>上海市浦东</w:t>
            </w:r>
            <w:proofErr w:type="gramStart"/>
            <w:r>
              <w:rPr>
                <w:rFonts w:hint="eastAsia"/>
              </w:rPr>
              <w:t>新区银</w:t>
            </w:r>
            <w:proofErr w:type="gramEnd"/>
            <w:r>
              <w:rPr>
                <w:rFonts w:hint="eastAsia"/>
              </w:rPr>
              <w:t>城路</w:t>
            </w:r>
            <w:r>
              <w:rPr>
                <w:rFonts w:hint="eastAsia"/>
              </w:rPr>
              <w:t>116</w:t>
            </w:r>
            <w:r>
              <w:rPr>
                <w:rFonts w:hint="eastAsia"/>
              </w:rPr>
              <w:t>号大华银行大厦</w:t>
            </w:r>
            <w:r>
              <w:rPr>
                <w:rFonts w:hint="eastAsia"/>
              </w:rPr>
              <w:t>7</w:t>
            </w:r>
            <w:r>
              <w:rPr>
                <w:rFonts w:hint="eastAsia"/>
              </w:rPr>
              <w:t>楼</w:t>
            </w:r>
          </w:p>
          <w:p w14:paraId="7E5B47B1" w14:textId="77777777" w:rsidR="0046184B" w:rsidRDefault="00000000">
            <w:pPr>
              <w:snapToGrid w:val="0"/>
              <w:jc w:val="left"/>
              <w:rPr>
                <w:rFonts w:ascii="宋体" w:hAnsi="宋体" w:cs="Calibri" w:hint="eastAsia"/>
                <w:color w:val="000000"/>
                <w:szCs w:val="21"/>
              </w:rPr>
            </w:pPr>
            <w:r>
              <w:rPr>
                <w:rFonts w:ascii="宋体" w:hAnsi="宋体" w:cs="Calibri" w:hint="eastAsia"/>
                <w:color w:val="000000"/>
                <w:szCs w:val="21"/>
              </w:rPr>
              <w:t>客服电话：021-68889082</w:t>
            </w:r>
          </w:p>
          <w:p w14:paraId="0EDA5F98"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公司网站：www.pytz.cn</w:t>
            </w:r>
          </w:p>
        </w:tc>
      </w:tr>
      <w:tr w:rsidR="0046184B" w14:paraId="7863C559" w14:textId="77777777">
        <w:trPr>
          <w:trHeight w:val="20"/>
        </w:trPr>
        <w:tc>
          <w:tcPr>
            <w:tcW w:w="811" w:type="dxa"/>
          </w:tcPr>
          <w:p w14:paraId="7D626B79" w14:textId="77777777" w:rsidR="0046184B" w:rsidRDefault="00000000">
            <w:pPr>
              <w:rPr>
                <w:rFonts w:ascii="宋体" w:hAnsi="宋体" w:cs="Arial" w:hint="eastAsia"/>
              </w:rPr>
            </w:pPr>
            <w:r>
              <w:rPr>
                <w:rFonts w:ascii="宋体" w:hAnsi="宋体" w:cs="Arial" w:hint="eastAsia"/>
              </w:rPr>
              <w:t>55</w:t>
            </w:r>
          </w:p>
        </w:tc>
        <w:tc>
          <w:tcPr>
            <w:tcW w:w="2580" w:type="dxa"/>
          </w:tcPr>
          <w:p w14:paraId="43C1EB21" w14:textId="77777777" w:rsidR="0046184B" w:rsidRDefault="00000000">
            <w:pPr>
              <w:jc w:val="left"/>
              <w:rPr>
                <w:rFonts w:asciiTheme="minorEastAsia" w:hAnsiTheme="minorEastAsia" w:cs="Arial" w:hint="eastAsia"/>
              </w:rPr>
            </w:pPr>
            <w:r>
              <w:rPr>
                <w:rFonts w:ascii="宋体" w:hAnsi="宋体" w:cs="Calibri" w:hint="eastAsia"/>
                <w:color w:val="000000"/>
                <w:szCs w:val="21"/>
              </w:rPr>
              <w:t>上海爱建基金销售有限公司</w:t>
            </w:r>
          </w:p>
        </w:tc>
        <w:tc>
          <w:tcPr>
            <w:tcW w:w="5114" w:type="dxa"/>
          </w:tcPr>
          <w:p w14:paraId="016639AB"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上海市徐汇</w:t>
            </w:r>
            <w:proofErr w:type="gramStart"/>
            <w:r>
              <w:rPr>
                <w:rFonts w:ascii="宋体" w:hAnsi="宋体" w:cs="Calibri" w:hint="eastAsia"/>
                <w:color w:val="000000"/>
                <w:szCs w:val="21"/>
              </w:rPr>
              <w:t>区肇嘉浜</w:t>
            </w:r>
            <w:proofErr w:type="gramEnd"/>
            <w:r>
              <w:rPr>
                <w:rFonts w:ascii="宋体" w:hAnsi="宋体" w:cs="Calibri" w:hint="eastAsia"/>
                <w:color w:val="000000"/>
                <w:szCs w:val="21"/>
              </w:rPr>
              <w:t>路746号</w:t>
            </w:r>
          </w:p>
          <w:p w14:paraId="49BEFF15"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t>：</w:t>
            </w:r>
            <w:r>
              <w:t>400-803-2733</w:t>
            </w:r>
          </w:p>
          <w:p w14:paraId="3F4C97A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t>www.ajwm.com.cn</w:t>
            </w:r>
          </w:p>
        </w:tc>
      </w:tr>
      <w:tr w:rsidR="0046184B" w14:paraId="0933CAB2" w14:textId="77777777">
        <w:trPr>
          <w:trHeight w:val="20"/>
        </w:trPr>
        <w:tc>
          <w:tcPr>
            <w:tcW w:w="811" w:type="dxa"/>
          </w:tcPr>
          <w:p w14:paraId="2696F10D" w14:textId="77777777" w:rsidR="0046184B" w:rsidRDefault="00000000">
            <w:pPr>
              <w:rPr>
                <w:rFonts w:ascii="宋体" w:hAnsi="宋体" w:cs="Arial" w:hint="eastAsia"/>
              </w:rPr>
            </w:pPr>
            <w:r>
              <w:rPr>
                <w:rFonts w:ascii="宋体" w:hAnsi="宋体" w:cs="Arial" w:hint="eastAsia"/>
              </w:rPr>
              <w:t>56</w:t>
            </w:r>
          </w:p>
        </w:tc>
        <w:tc>
          <w:tcPr>
            <w:tcW w:w="2580" w:type="dxa"/>
          </w:tcPr>
          <w:p w14:paraId="07AA542C" w14:textId="77777777" w:rsidR="0046184B" w:rsidRDefault="00000000">
            <w:pPr>
              <w:jc w:val="left"/>
              <w:rPr>
                <w:rFonts w:ascii="宋体" w:hAnsi="宋体" w:cs="Calibri" w:hint="eastAsia"/>
                <w:color w:val="000000"/>
                <w:szCs w:val="21"/>
              </w:rPr>
            </w:pPr>
            <w:r>
              <w:rPr>
                <w:rFonts w:asciiTheme="minorEastAsia" w:hAnsiTheme="minorEastAsia" w:cs="Arial" w:hint="eastAsia"/>
                <w:szCs w:val="21"/>
              </w:rPr>
              <w:t>上海大智慧基金销售有限</w:t>
            </w:r>
            <w:r>
              <w:rPr>
                <w:rFonts w:asciiTheme="minorEastAsia" w:hAnsiTheme="minorEastAsia" w:cs="Arial" w:hint="eastAsia"/>
                <w:szCs w:val="21"/>
              </w:rPr>
              <w:lastRenderedPageBreak/>
              <w:t>公司</w:t>
            </w:r>
          </w:p>
        </w:tc>
        <w:tc>
          <w:tcPr>
            <w:tcW w:w="5114" w:type="dxa"/>
          </w:tcPr>
          <w:p w14:paraId="2C6BC44C" w14:textId="77777777" w:rsidR="0046184B" w:rsidRDefault="00000000">
            <w:pPr>
              <w:snapToGrid w:val="0"/>
              <w:rPr>
                <w:rFonts w:asciiTheme="minorEastAsia" w:hAnsiTheme="minorEastAsia" w:cs="Arial" w:hint="eastAsia"/>
                <w:szCs w:val="21"/>
              </w:rPr>
            </w:pPr>
            <w:r>
              <w:rPr>
                <w:rFonts w:asciiTheme="minorEastAsia" w:hAnsiTheme="minorEastAsia" w:cs="Arial" w:hint="eastAsia"/>
                <w:szCs w:val="21"/>
              </w:rPr>
              <w:lastRenderedPageBreak/>
              <w:t>注册（办公）地址：上海市浦东</w:t>
            </w:r>
            <w:proofErr w:type="gramStart"/>
            <w:r>
              <w:rPr>
                <w:rFonts w:asciiTheme="minorEastAsia" w:hAnsiTheme="minorEastAsia" w:cs="Arial" w:hint="eastAsia"/>
                <w:szCs w:val="21"/>
              </w:rPr>
              <w:t>新区杨</w:t>
            </w:r>
            <w:proofErr w:type="gramEnd"/>
            <w:r>
              <w:rPr>
                <w:rFonts w:asciiTheme="minorEastAsia" w:hAnsiTheme="minorEastAsia" w:cs="Arial" w:hint="eastAsia"/>
                <w:szCs w:val="21"/>
              </w:rPr>
              <w:t>高南路428弄</w:t>
            </w:r>
            <w:r>
              <w:rPr>
                <w:rFonts w:asciiTheme="minorEastAsia" w:hAnsiTheme="minorEastAsia" w:cs="Arial" w:hint="eastAsia"/>
                <w:szCs w:val="21"/>
              </w:rPr>
              <w:lastRenderedPageBreak/>
              <w:t>由</w:t>
            </w:r>
            <w:proofErr w:type="gramStart"/>
            <w:r>
              <w:rPr>
                <w:rFonts w:asciiTheme="minorEastAsia" w:hAnsiTheme="minorEastAsia" w:cs="Arial" w:hint="eastAsia"/>
                <w:szCs w:val="21"/>
              </w:rPr>
              <w:t>由</w:t>
            </w:r>
            <w:proofErr w:type="gramEnd"/>
            <w:r>
              <w:rPr>
                <w:rFonts w:asciiTheme="minorEastAsia" w:hAnsiTheme="minorEastAsia" w:cs="Arial" w:hint="eastAsia"/>
                <w:szCs w:val="21"/>
              </w:rPr>
              <w:t>世纪广场1号楼</w:t>
            </w:r>
          </w:p>
          <w:p w14:paraId="3D5666CF" w14:textId="77777777" w:rsidR="0046184B" w:rsidRDefault="00000000">
            <w:pPr>
              <w:snapToGrid w:val="0"/>
              <w:rPr>
                <w:rFonts w:asciiTheme="minorEastAsia" w:hAnsiTheme="minorEastAsia" w:cs="Arial" w:hint="eastAsia"/>
                <w:szCs w:val="21"/>
              </w:rPr>
            </w:pPr>
            <w:r>
              <w:rPr>
                <w:rFonts w:asciiTheme="minorEastAsia" w:hAnsiTheme="minorEastAsia" w:cs="Arial" w:hint="eastAsia"/>
                <w:szCs w:val="21"/>
              </w:rPr>
              <w:t>客服电话：</w:t>
            </w:r>
            <w:r>
              <w:rPr>
                <w:rFonts w:asciiTheme="minorEastAsia" w:hAnsiTheme="minorEastAsia" w:cs="Arial"/>
                <w:szCs w:val="21"/>
              </w:rPr>
              <w:t>021-20219988</w:t>
            </w:r>
          </w:p>
          <w:p w14:paraId="36B2ECD0" w14:textId="77777777" w:rsidR="0046184B" w:rsidRDefault="00000000">
            <w:pPr>
              <w:snapToGrid w:val="0"/>
              <w:rPr>
                <w:rFonts w:ascii="宋体" w:hAnsi="宋体" w:cs="Calibri" w:hint="eastAsia"/>
                <w:color w:val="000000"/>
                <w:szCs w:val="21"/>
              </w:rPr>
            </w:pPr>
            <w:r>
              <w:rPr>
                <w:rFonts w:asciiTheme="minorEastAsia" w:hAnsiTheme="minorEastAsia" w:cs="Arial" w:hint="eastAsia"/>
                <w:szCs w:val="21"/>
              </w:rPr>
              <w:t>公司网站：</w:t>
            </w:r>
            <w:r>
              <w:rPr>
                <w:rFonts w:asciiTheme="minorEastAsia" w:hAnsiTheme="minorEastAsia" w:cs="Arial"/>
                <w:szCs w:val="21"/>
              </w:rPr>
              <w:t>https://www.gw.com.cn/</w:t>
            </w:r>
          </w:p>
        </w:tc>
      </w:tr>
      <w:tr w:rsidR="0046184B" w14:paraId="4B94AE75" w14:textId="77777777">
        <w:trPr>
          <w:trHeight w:val="20"/>
        </w:trPr>
        <w:tc>
          <w:tcPr>
            <w:tcW w:w="811" w:type="dxa"/>
          </w:tcPr>
          <w:p w14:paraId="22F3CE0E" w14:textId="77777777" w:rsidR="0046184B" w:rsidRDefault="00000000">
            <w:pPr>
              <w:rPr>
                <w:rFonts w:ascii="宋体" w:hAnsi="宋体" w:cs="Arial" w:hint="eastAsia"/>
              </w:rPr>
            </w:pPr>
            <w:r>
              <w:rPr>
                <w:rFonts w:ascii="宋体" w:hAnsi="宋体" w:cs="Arial" w:hint="eastAsia"/>
              </w:rPr>
              <w:lastRenderedPageBreak/>
              <w:t>57</w:t>
            </w:r>
          </w:p>
        </w:tc>
        <w:tc>
          <w:tcPr>
            <w:tcW w:w="2580" w:type="dxa"/>
          </w:tcPr>
          <w:p w14:paraId="7E34BC2F" w14:textId="77777777" w:rsidR="0046184B" w:rsidRDefault="00000000">
            <w:pPr>
              <w:jc w:val="left"/>
              <w:rPr>
                <w:rFonts w:asciiTheme="minorEastAsia" w:hAnsiTheme="minorEastAsia" w:cs="Arial" w:hint="eastAsia"/>
                <w:szCs w:val="21"/>
              </w:rPr>
            </w:pPr>
            <w:r>
              <w:rPr>
                <w:rFonts w:asciiTheme="minorEastAsia" w:hAnsiTheme="minorEastAsia" w:cs="Arial" w:hint="eastAsia"/>
                <w:szCs w:val="21"/>
              </w:rPr>
              <w:t>上海华夏财富投资管理有限公司</w:t>
            </w:r>
          </w:p>
        </w:tc>
        <w:tc>
          <w:tcPr>
            <w:tcW w:w="5114" w:type="dxa"/>
          </w:tcPr>
          <w:p w14:paraId="482453C1" w14:textId="77777777" w:rsidR="0046184B" w:rsidRDefault="00000000">
            <w:pPr>
              <w:rPr>
                <w:rFonts w:asciiTheme="minorEastAsia" w:hAnsiTheme="minorEastAsia" w:cs="Arial" w:hint="eastAsia"/>
                <w:szCs w:val="21"/>
              </w:rPr>
            </w:pPr>
            <w:r>
              <w:rPr>
                <w:rFonts w:asciiTheme="minorEastAsia" w:hAnsiTheme="minorEastAsia" w:cs="Arial" w:hint="eastAsia"/>
                <w:szCs w:val="21"/>
              </w:rPr>
              <w:t>注册（办公）地址：北京市西城区金融大街33号通泰大厦B座8层</w:t>
            </w:r>
          </w:p>
          <w:p w14:paraId="34ADF68B" w14:textId="77777777" w:rsidR="0046184B" w:rsidRDefault="00000000">
            <w:pPr>
              <w:snapToGrid w:val="0"/>
              <w:rPr>
                <w:rFonts w:asciiTheme="minorEastAsia" w:hAnsiTheme="minorEastAsia" w:cs="Arial" w:hint="eastAsia"/>
                <w:szCs w:val="21"/>
              </w:rPr>
            </w:pPr>
            <w:r>
              <w:rPr>
                <w:rFonts w:asciiTheme="minorEastAsia" w:hAnsiTheme="minorEastAsia" w:cs="Arial" w:hint="eastAsia"/>
                <w:szCs w:val="21"/>
              </w:rPr>
              <w:t>客服电话：</w:t>
            </w:r>
            <w:r>
              <w:rPr>
                <w:rFonts w:asciiTheme="minorEastAsia" w:hAnsiTheme="minorEastAsia" w:cs="Arial"/>
                <w:szCs w:val="21"/>
              </w:rPr>
              <w:t>400-817-5666</w:t>
            </w:r>
          </w:p>
          <w:p w14:paraId="10D80DC3" w14:textId="77777777" w:rsidR="0046184B" w:rsidRDefault="00000000">
            <w:pPr>
              <w:snapToGrid w:val="0"/>
              <w:rPr>
                <w:rFonts w:asciiTheme="minorEastAsia" w:hAnsiTheme="minorEastAsia" w:cs="Arial" w:hint="eastAsia"/>
                <w:szCs w:val="21"/>
              </w:rPr>
            </w:pPr>
            <w:r>
              <w:rPr>
                <w:rFonts w:asciiTheme="minorEastAsia" w:hAnsiTheme="minorEastAsia" w:cs="Arial" w:hint="eastAsia"/>
                <w:szCs w:val="21"/>
              </w:rPr>
              <w:t>公司网站：</w:t>
            </w:r>
            <w:r>
              <w:rPr>
                <w:rFonts w:asciiTheme="minorEastAsia" w:hAnsiTheme="minorEastAsia" w:cs="Arial"/>
                <w:szCs w:val="21"/>
              </w:rPr>
              <w:t>https://www.amcfortune.com/</w:t>
            </w:r>
          </w:p>
        </w:tc>
      </w:tr>
      <w:tr w:rsidR="0046184B" w14:paraId="6AA18FFF" w14:textId="77777777">
        <w:trPr>
          <w:trHeight w:val="20"/>
        </w:trPr>
        <w:tc>
          <w:tcPr>
            <w:tcW w:w="811" w:type="dxa"/>
          </w:tcPr>
          <w:p w14:paraId="21F59652" w14:textId="77777777" w:rsidR="0046184B" w:rsidRDefault="00000000">
            <w:pPr>
              <w:rPr>
                <w:rFonts w:ascii="宋体" w:hAnsi="宋体" w:cs="Arial" w:hint="eastAsia"/>
              </w:rPr>
            </w:pPr>
            <w:r>
              <w:rPr>
                <w:rFonts w:ascii="宋体" w:hAnsi="宋体" w:cs="Arial" w:hint="eastAsia"/>
              </w:rPr>
              <w:t>58</w:t>
            </w:r>
          </w:p>
        </w:tc>
        <w:tc>
          <w:tcPr>
            <w:tcW w:w="2580" w:type="dxa"/>
          </w:tcPr>
          <w:p w14:paraId="65949D21" w14:textId="77777777" w:rsidR="0046184B" w:rsidRDefault="00000000">
            <w:pPr>
              <w:jc w:val="left"/>
              <w:rPr>
                <w:rFonts w:asciiTheme="minorEastAsia" w:hAnsiTheme="minorEastAsia" w:cs="Arial" w:hint="eastAsia"/>
                <w:szCs w:val="21"/>
              </w:rPr>
            </w:pPr>
            <w:r>
              <w:t>上海</w:t>
            </w:r>
            <w:proofErr w:type="gramStart"/>
            <w:r>
              <w:t>中正达广基金</w:t>
            </w:r>
            <w:proofErr w:type="gramEnd"/>
            <w:r>
              <w:t>销售有限公司</w:t>
            </w:r>
          </w:p>
        </w:tc>
        <w:tc>
          <w:tcPr>
            <w:tcW w:w="5114" w:type="dxa"/>
          </w:tcPr>
          <w:p w14:paraId="115CF6EC" w14:textId="77777777" w:rsidR="0046184B" w:rsidRDefault="00000000">
            <w:pPr>
              <w:rPr>
                <w:rFonts w:asciiTheme="minorEastAsia" w:hAnsiTheme="minorEastAsia" w:cs="Arial" w:hint="eastAsia"/>
                <w:szCs w:val="21"/>
              </w:rPr>
            </w:pPr>
            <w:r>
              <w:rPr>
                <w:rFonts w:asciiTheme="minorEastAsia" w:hAnsiTheme="minorEastAsia" w:cs="Arial" w:hint="eastAsia"/>
                <w:szCs w:val="21"/>
              </w:rPr>
              <w:t>注册（办公）地址：上海市徐汇区龙兰路277号东航滨江中心1号楼1203室</w:t>
            </w:r>
          </w:p>
          <w:p w14:paraId="36797FD8" w14:textId="77777777" w:rsidR="0046184B" w:rsidRDefault="00000000">
            <w:pPr>
              <w:rPr>
                <w:rFonts w:asciiTheme="minorEastAsia" w:hAnsiTheme="minorEastAsia" w:cs="Arial" w:hint="eastAsia"/>
                <w:szCs w:val="21"/>
              </w:rPr>
            </w:pPr>
            <w:r>
              <w:rPr>
                <w:rFonts w:asciiTheme="minorEastAsia" w:hAnsiTheme="minorEastAsia" w:cs="Arial" w:hint="eastAsia"/>
                <w:szCs w:val="21"/>
              </w:rPr>
              <w:t>客服电话：</w:t>
            </w:r>
            <w:r>
              <w:t>400-6767-523</w:t>
            </w:r>
          </w:p>
          <w:p w14:paraId="6E2A5F94" w14:textId="77777777" w:rsidR="0046184B" w:rsidRDefault="00000000">
            <w:pPr>
              <w:rPr>
                <w:rFonts w:asciiTheme="minorEastAsia" w:hAnsiTheme="minorEastAsia" w:cs="Arial" w:hint="eastAsia"/>
                <w:szCs w:val="21"/>
              </w:rPr>
            </w:pPr>
            <w:r>
              <w:rPr>
                <w:rFonts w:asciiTheme="minorEastAsia" w:hAnsiTheme="minorEastAsia" w:cs="Arial" w:hint="eastAsia"/>
                <w:szCs w:val="21"/>
              </w:rPr>
              <w:t>公司网站：</w:t>
            </w:r>
            <w:r>
              <w:t>www.zhongzhengfund.com</w:t>
            </w:r>
          </w:p>
        </w:tc>
      </w:tr>
      <w:tr w:rsidR="0046184B" w14:paraId="42FACF69" w14:textId="77777777">
        <w:trPr>
          <w:trHeight w:val="20"/>
        </w:trPr>
        <w:tc>
          <w:tcPr>
            <w:tcW w:w="811" w:type="dxa"/>
          </w:tcPr>
          <w:p w14:paraId="531E24BE" w14:textId="77777777" w:rsidR="0046184B" w:rsidRDefault="00000000">
            <w:pPr>
              <w:rPr>
                <w:rFonts w:ascii="宋体" w:hAnsi="宋体" w:cs="Arial" w:hint="eastAsia"/>
              </w:rPr>
            </w:pPr>
            <w:r>
              <w:rPr>
                <w:rFonts w:ascii="宋体" w:hAnsi="宋体" w:cs="Arial" w:hint="eastAsia"/>
              </w:rPr>
              <w:t>59</w:t>
            </w:r>
          </w:p>
        </w:tc>
        <w:tc>
          <w:tcPr>
            <w:tcW w:w="2580" w:type="dxa"/>
          </w:tcPr>
          <w:p w14:paraId="46747792" w14:textId="77777777" w:rsidR="0046184B" w:rsidRDefault="00000000">
            <w:pPr>
              <w:jc w:val="left"/>
            </w:pPr>
            <w:r>
              <w:rPr>
                <w:rFonts w:hint="eastAsia"/>
              </w:rPr>
              <w:t>上海中欧财富基金销售有限公司</w:t>
            </w:r>
          </w:p>
        </w:tc>
        <w:tc>
          <w:tcPr>
            <w:tcW w:w="5114" w:type="dxa"/>
          </w:tcPr>
          <w:p w14:paraId="7D1C011D" w14:textId="77777777" w:rsidR="0046184B" w:rsidRDefault="00000000">
            <w:pPr>
              <w:rPr>
                <w:rFonts w:asciiTheme="minorEastAsia" w:hAnsiTheme="minorEastAsia" w:cs="Arial" w:hint="eastAsia"/>
                <w:szCs w:val="21"/>
              </w:rPr>
            </w:pPr>
            <w:r>
              <w:rPr>
                <w:rFonts w:asciiTheme="minorEastAsia" w:hAnsiTheme="minorEastAsia" w:cs="Arial" w:hint="eastAsia"/>
                <w:szCs w:val="21"/>
              </w:rPr>
              <w:t>注册（办公）地址：上海市虹口区公平路18号8栋嘉</w:t>
            </w:r>
            <w:proofErr w:type="gramStart"/>
            <w:r>
              <w:rPr>
                <w:rFonts w:asciiTheme="minorEastAsia" w:hAnsiTheme="minorEastAsia" w:cs="Arial" w:hint="eastAsia"/>
                <w:szCs w:val="21"/>
              </w:rPr>
              <w:t>昱</w:t>
            </w:r>
            <w:proofErr w:type="gramEnd"/>
            <w:r>
              <w:rPr>
                <w:rFonts w:asciiTheme="minorEastAsia" w:hAnsiTheme="minorEastAsia" w:cs="Arial" w:hint="eastAsia"/>
                <w:szCs w:val="21"/>
              </w:rPr>
              <w:t>大厦6层</w:t>
            </w:r>
          </w:p>
          <w:p w14:paraId="3663B703" w14:textId="77777777" w:rsidR="0046184B" w:rsidRDefault="00000000">
            <w:pPr>
              <w:rPr>
                <w:rFonts w:asciiTheme="minorEastAsia" w:hAnsiTheme="minorEastAsia" w:cs="Arial" w:hint="eastAsia"/>
                <w:szCs w:val="21"/>
              </w:rPr>
            </w:pPr>
            <w:r>
              <w:rPr>
                <w:rFonts w:asciiTheme="minorEastAsia" w:hAnsiTheme="minorEastAsia" w:cs="Arial" w:hint="eastAsia"/>
                <w:szCs w:val="21"/>
              </w:rPr>
              <w:t>客服电话：</w:t>
            </w:r>
            <w:r>
              <w:rPr>
                <w:rFonts w:asciiTheme="minorEastAsia" w:hAnsiTheme="minorEastAsia" w:cs="Arial"/>
                <w:szCs w:val="21"/>
              </w:rPr>
              <w:t>400-100-2666</w:t>
            </w:r>
          </w:p>
          <w:p w14:paraId="2A70C323" w14:textId="77777777" w:rsidR="0046184B" w:rsidRDefault="00000000">
            <w:pPr>
              <w:rPr>
                <w:rFonts w:asciiTheme="minorEastAsia" w:hAnsiTheme="minorEastAsia" w:cs="Arial" w:hint="eastAsia"/>
                <w:szCs w:val="21"/>
              </w:rPr>
            </w:pPr>
            <w:r>
              <w:rPr>
                <w:rFonts w:asciiTheme="minorEastAsia" w:hAnsiTheme="minorEastAsia" w:cs="Arial" w:hint="eastAsia"/>
                <w:szCs w:val="21"/>
              </w:rPr>
              <w:t>公司网站：</w:t>
            </w:r>
            <w:r>
              <w:rPr>
                <w:rFonts w:asciiTheme="minorEastAsia" w:hAnsiTheme="minorEastAsia" w:cs="Arial"/>
                <w:szCs w:val="21"/>
              </w:rPr>
              <w:t>https://www.zocaifu.com/</w:t>
            </w:r>
          </w:p>
        </w:tc>
      </w:tr>
      <w:tr w:rsidR="0046184B" w14:paraId="73F7CAD9" w14:textId="77777777">
        <w:trPr>
          <w:trHeight w:val="20"/>
        </w:trPr>
        <w:tc>
          <w:tcPr>
            <w:tcW w:w="811" w:type="dxa"/>
          </w:tcPr>
          <w:p w14:paraId="2AF3C3BD" w14:textId="77777777" w:rsidR="0046184B" w:rsidRDefault="00000000">
            <w:pPr>
              <w:jc w:val="center"/>
              <w:rPr>
                <w:rFonts w:ascii="宋体" w:hAnsi="宋体" w:cs="Arial" w:hint="eastAsia"/>
              </w:rPr>
            </w:pPr>
            <w:r>
              <w:rPr>
                <w:rFonts w:ascii="宋体" w:hAnsi="宋体" w:cs="Arial" w:hint="eastAsia"/>
              </w:rPr>
              <w:t>60</w:t>
            </w:r>
          </w:p>
        </w:tc>
        <w:tc>
          <w:tcPr>
            <w:tcW w:w="2580" w:type="dxa"/>
          </w:tcPr>
          <w:p w14:paraId="64A90645"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平安证券股份有限公司</w:t>
            </w:r>
          </w:p>
        </w:tc>
        <w:tc>
          <w:tcPr>
            <w:tcW w:w="5114" w:type="dxa"/>
          </w:tcPr>
          <w:p w14:paraId="43627263"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 xml:space="preserve">注册地址：深圳市福田区福田街道益田路5023号平安金融中心B座第22-25层 </w:t>
            </w:r>
          </w:p>
          <w:p w14:paraId="32CB1A54"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 xml:space="preserve">95511-8 </w:t>
            </w:r>
          </w:p>
          <w:p w14:paraId="34BDE49A"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stock.pingan.com</w:t>
            </w:r>
          </w:p>
        </w:tc>
      </w:tr>
      <w:tr w:rsidR="0046184B" w14:paraId="35E1C2B8" w14:textId="77777777">
        <w:trPr>
          <w:trHeight w:val="20"/>
        </w:trPr>
        <w:tc>
          <w:tcPr>
            <w:tcW w:w="811" w:type="dxa"/>
          </w:tcPr>
          <w:p w14:paraId="042DDE0C" w14:textId="77777777" w:rsidR="0046184B" w:rsidRDefault="00000000">
            <w:pPr>
              <w:jc w:val="center"/>
              <w:rPr>
                <w:rFonts w:ascii="宋体" w:hAnsi="宋体" w:hint="eastAsia"/>
                <w:color w:val="000000"/>
              </w:rPr>
            </w:pPr>
            <w:r>
              <w:rPr>
                <w:rFonts w:ascii="宋体" w:hAnsi="宋体" w:hint="eastAsia"/>
                <w:color w:val="000000"/>
              </w:rPr>
              <w:t>61</w:t>
            </w:r>
          </w:p>
        </w:tc>
        <w:tc>
          <w:tcPr>
            <w:tcW w:w="2580" w:type="dxa"/>
          </w:tcPr>
          <w:p w14:paraId="6EAC2588"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国泰君安证券股份有限公司</w:t>
            </w:r>
          </w:p>
        </w:tc>
        <w:tc>
          <w:tcPr>
            <w:tcW w:w="5114" w:type="dxa"/>
          </w:tcPr>
          <w:p w14:paraId="5D28D4EE" w14:textId="77777777" w:rsidR="0046184B" w:rsidRDefault="00000000">
            <w:pPr>
              <w:jc w:val="left"/>
              <w:rPr>
                <w:rFonts w:ascii="宋体" w:hAnsi="宋体" w:cs="Calibri" w:hint="eastAsia"/>
                <w:color w:val="000000"/>
                <w:szCs w:val="21"/>
              </w:rPr>
            </w:pPr>
            <w:r>
              <w:rPr>
                <w:rFonts w:ascii="宋体" w:hAnsi="宋体" w:cs="Calibri" w:hint="eastAsia"/>
                <w:color w:val="000000"/>
                <w:szCs w:val="21"/>
              </w:rPr>
              <w:t>注册地址：中国（上海）自由贸易试验区商城路618号</w:t>
            </w:r>
          </w:p>
          <w:p w14:paraId="027D987D" w14:textId="77777777" w:rsidR="0046184B" w:rsidRDefault="00000000">
            <w:pPr>
              <w:jc w:val="left"/>
              <w:rPr>
                <w:rFonts w:ascii="宋体" w:hAnsi="宋体" w:cs="Calibri" w:hint="eastAsia"/>
                <w:color w:val="000000"/>
                <w:szCs w:val="21"/>
              </w:rPr>
            </w:pPr>
            <w:r>
              <w:rPr>
                <w:rFonts w:ascii="宋体" w:hAnsi="宋体" w:cs="Calibri" w:hint="eastAsia"/>
                <w:color w:val="000000"/>
                <w:szCs w:val="21"/>
              </w:rPr>
              <w:t>客户服务电话：95521</w:t>
            </w:r>
          </w:p>
          <w:p w14:paraId="274FA7B6"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网址：www.gtja.com</w:t>
            </w:r>
          </w:p>
        </w:tc>
      </w:tr>
      <w:tr w:rsidR="0046184B" w14:paraId="00C79576" w14:textId="77777777">
        <w:trPr>
          <w:trHeight w:val="20"/>
        </w:trPr>
        <w:tc>
          <w:tcPr>
            <w:tcW w:w="811" w:type="dxa"/>
          </w:tcPr>
          <w:p w14:paraId="30F7CFE8" w14:textId="77777777" w:rsidR="0046184B" w:rsidRDefault="00000000">
            <w:pPr>
              <w:jc w:val="center"/>
              <w:rPr>
                <w:rFonts w:ascii="宋体" w:hAnsi="宋体" w:hint="eastAsia"/>
                <w:color w:val="000000"/>
              </w:rPr>
            </w:pPr>
            <w:r>
              <w:rPr>
                <w:rFonts w:ascii="宋体" w:hAnsi="宋体" w:hint="eastAsia"/>
                <w:color w:val="000000"/>
              </w:rPr>
              <w:t>62</w:t>
            </w:r>
          </w:p>
        </w:tc>
        <w:tc>
          <w:tcPr>
            <w:tcW w:w="2580" w:type="dxa"/>
          </w:tcPr>
          <w:p w14:paraId="2DEFC090"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国投证券股份有限公司</w:t>
            </w:r>
          </w:p>
        </w:tc>
        <w:tc>
          <w:tcPr>
            <w:tcW w:w="5114" w:type="dxa"/>
          </w:tcPr>
          <w:p w14:paraId="61BB2083" w14:textId="77777777" w:rsidR="0046184B" w:rsidRDefault="00000000">
            <w:pPr>
              <w:snapToGrid w:val="0"/>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深圳市福田区福田街道福华一路119号安信金融大厦</w:t>
            </w:r>
          </w:p>
          <w:p w14:paraId="62DB3760" w14:textId="77777777" w:rsidR="0046184B" w:rsidRDefault="00000000">
            <w:pPr>
              <w:snapToGrid w:val="0"/>
              <w:jc w:val="left"/>
              <w:rPr>
                <w:rFonts w:ascii="宋体" w:hAnsi="宋体" w:cs="Calibri" w:hint="eastAsia"/>
                <w:color w:val="000000"/>
                <w:szCs w:val="21"/>
              </w:rPr>
            </w:pPr>
            <w:r>
              <w:rPr>
                <w:rFonts w:ascii="宋体" w:hAnsi="宋体" w:cs="Calibri" w:hint="eastAsia"/>
                <w:color w:val="000000"/>
                <w:szCs w:val="21"/>
              </w:rPr>
              <w:t>客户服务电话：95517</w:t>
            </w:r>
          </w:p>
          <w:p w14:paraId="0EE84C66"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网址：www.essence.com.cn</w:t>
            </w:r>
          </w:p>
        </w:tc>
      </w:tr>
      <w:tr w:rsidR="0046184B" w14:paraId="2C8717E5" w14:textId="77777777">
        <w:trPr>
          <w:trHeight w:val="20"/>
        </w:trPr>
        <w:tc>
          <w:tcPr>
            <w:tcW w:w="811" w:type="dxa"/>
          </w:tcPr>
          <w:p w14:paraId="03BD9062" w14:textId="77777777" w:rsidR="0046184B" w:rsidRDefault="00000000">
            <w:pPr>
              <w:jc w:val="center"/>
              <w:rPr>
                <w:rFonts w:ascii="宋体" w:hAnsi="宋体" w:cs="Arial" w:hint="eastAsia"/>
              </w:rPr>
            </w:pPr>
            <w:r>
              <w:rPr>
                <w:rFonts w:ascii="宋体" w:hAnsi="宋体" w:cs="Arial" w:hint="eastAsia"/>
              </w:rPr>
              <w:t>63</w:t>
            </w:r>
          </w:p>
        </w:tc>
        <w:tc>
          <w:tcPr>
            <w:tcW w:w="2580" w:type="dxa"/>
          </w:tcPr>
          <w:p w14:paraId="1A58C224"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世纪证券有限责任公司</w:t>
            </w:r>
          </w:p>
        </w:tc>
        <w:tc>
          <w:tcPr>
            <w:tcW w:w="5114" w:type="dxa"/>
          </w:tcPr>
          <w:p w14:paraId="5A1CA970"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注册地址：深圳市前海深港合作区南山街道梦海大道5073号民生互联网大厦C座1401-1408、1501-1508、1601-1606、1701-1705</w:t>
            </w:r>
          </w:p>
          <w:p w14:paraId="189D1DC4"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客户服务电话：956019</w:t>
            </w:r>
          </w:p>
          <w:p w14:paraId="5E8B995B"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网站：www.csco.com.cn</w:t>
            </w:r>
          </w:p>
        </w:tc>
      </w:tr>
      <w:tr w:rsidR="0046184B" w14:paraId="4E88B410" w14:textId="77777777">
        <w:trPr>
          <w:trHeight w:val="20"/>
        </w:trPr>
        <w:tc>
          <w:tcPr>
            <w:tcW w:w="811" w:type="dxa"/>
          </w:tcPr>
          <w:p w14:paraId="55AC6BE1" w14:textId="77777777" w:rsidR="0046184B" w:rsidRDefault="00000000">
            <w:pPr>
              <w:jc w:val="center"/>
              <w:rPr>
                <w:rFonts w:ascii="宋体" w:hAnsi="宋体" w:cs="Arial" w:hint="eastAsia"/>
              </w:rPr>
            </w:pPr>
            <w:r>
              <w:rPr>
                <w:rFonts w:ascii="宋体" w:hAnsi="宋体" w:cs="Arial" w:hint="eastAsia"/>
              </w:rPr>
              <w:t>64</w:t>
            </w:r>
          </w:p>
        </w:tc>
        <w:tc>
          <w:tcPr>
            <w:tcW w:w="2580" w:type="dxa"/>
          </w:tcPr>
          <w:p w14:paraId="52B37FB6"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华鑫证券有限责任公司</w:t>
            </w:r>
          </w:p>
        </w:tc>
        <w:tc>
          <w:tcPr>
            <w:tcW w:w="5114" w:type="dxa"/>
          </w:tcPr>
          <w:p w14:paraId="4B375550"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深圳市福田区香蜜湖街道东海社区深南大道7888号东海国际中心一期A栋2301A</w:t>
            </w:r>
          </w:p>
          <w:p w14:paraId="24D0C2F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95323</w:t>
            </w:r>
          </w:p>
          <w:p w14:paraId="77D55772"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www.cfsc.com.cn</w:t>
            </w:r>
          </w:p>
        </w:tc>
      </w:tr>
      <w:tr w:rsidR="0046184B" w14:paraId="76E371AF" w14:textId="77777777">
        <w:trPr>
          <w:trHeight w:val="20"/>
        </w:trPr>
        <w:tc>
          <w:tcPr>
            <w:tcW w:w="811" w:type="dxa"/>
          </w:tcPr>
          <w:p w14:paraId="6D70A932" w14:textId="77777777" w:rsidR="0046184B" w:rsidRDefault="00000000">
            <w:pPr>
              <w:jc w:val="center"/>
              <w:rPr>
                <w:rFonts w:ascii="宋体" w:hAnsi="宋体" w:cs="Arial" w:hint="eastAsia"/>
              </w:rPr>
            </w:pPr>
            <w:r>
              <w:rPr>
                <w:rFonts w:ascii="宋体" w:hAnsi="宋体" w:cs="Arial" w:hint="eastAsia"/>
              </w:rPr>
              <w:t>65</w:t>
            </w:r>
          </w:p>
        </w:tc>
        <w:tc>
          <w:tcPr>
            <w:tcW w:w="2580" w:type="dxa"/>
          </w:tcPr>
          <w:p w14:paraId="1617C5C6"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长城证券股份有限公司</w:t>
            </w:r>
          </w:p>
        </w:tc>
        <w:tc>
          <w:tcPr>
            <w:tcW w:w="5114" w:type="dxa"/>
          </w:tcPr>
          <w:p w14:paraId="290AF1E8" w14:textId="77777777" w:rsidR="0046184B" w:rsidRDefault="00000000">
            <w:pPr>
              <w:snapToGrid w:val="0"/>
              <w:rPr>
                <w:rFonts w:ascii="宋体" w:hAnsi="宋体" w:cs="Calibri" w:hint="eastAsia"/>
                <w:color w:val="000000"/>
                <w:szCs w:val="21"/>
              </w:rPr>
            </w:pPr>
            <w:r>
              <w:rPr>
                <w:rFonts w:ascii="宋体" w:hAnsi="宋体" w:cs="Calibri"/>
                <w:color w:val="000000"/>
                <w:szCs w:val="21"/>
              </w:rPr>
              <w:t>注册地址：</w:t>
            </w:r>
            <w:r>
              <w:rPr>
                <w:rFonts w:ascii="宋体" w:hAnsi="宋体" w:cs="Calibri" w:hint="eastAsia"/>
                <w:color w:val="000000"/>
                <w:szCs w:val="21"/>
              </w:rPr>
              <w:t>深圳市福田区福田街道金田路2026号能源大厦南塔楼10-19层</w:t>
            </w:r>
          </w:p>
          <w:p w14:paraId="23EF14D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w:t>
            </w:r>
            <w:r>
              <w:rPr>
                <w:rFonts w:ascii="宋体" w:hAnsi="宋体" w:cs="Calibri" w:hint="eastAsia"/>
                <w:color w:val="000000"/>
                <w:szCs w:val="21"/>
              </w:rPr>
              <w:t>95514</w:t>
            </w:r>
          </w:p>
          <w:p w14:paraId="26005C58" w14:textId="77777777" w:rsidR="0046184B" w:rsidRDefault="00000000">
            <w:pPr>
              <w:snapToGrid w:val="0"/>
              <w:rPr>
                <w:rFonts w:ascii="宋体" w:hAnsi="宋体" w:cs="Calibri" w:hint="eastAsia"/>
                <w:color w:val="000000"/>
                <w:szCs w:val="21"/>
              </w:rPr>
            </w:pPr>
            <w:r>
              <w:rPr>
                <w:rFonts w:ascii="宋体" w:hAnsi="宋体" w:cs="Calibri"/>
                <w:color w:val="000000"/>
                <w:szCs w:val="21"/>
              </w:rPr>
              <w:t>网址：</w:t>
            </w:r>
            <w:r>
              <w:rPr>
                <w:rFonts w:ascii="宋体" w:hAnsi="宋体" w:cs="Calibri" w:hint="eastAsia"/>
                <w:color w:val="000000"/>
                <w:szCs w:val="21"/>
              </w:rPr>
              <w:t>www.cgws.com</w:t>
            </w:r>
          </w:p>
        </w:tc>
      </w:tr>
      <w:tr w:rsidR="0046184B" w14:paraId="557B2834" w14:textId="77777777">
        <w:trPr>
          <w:trHeight w:val="20"/>
        </w:trPr>
        <w:tc>
          <w:tcPr>
            <w:tcW w:w="811" w:type="dxa"/>
          </w:tcPr>
          <w:p w14:paraId="0E8D3EFD" w14:textId="77777777" w:rsidR="0046184B" w:rsidRDefault="00000000">
            <w:pPr>
              <w:jc w:val="center"/>
              <w:rPr>
                <w:rFonts w:ascii="宋体" w:hAnsi="宋体" w:cs="Arial" w:hint="eastAsia"/>
              </w:rPr>
            </w:pPr>
            <w:r>
              <w:rPr>
                <w:rFonts w:ascii="宋体" w:hAnsi="宋体" w:cs="Arial" w:hint="eastAsia"/>
              </w:rPr>
              <w:t>66</w:t>
            </w:r>
          </w:p>
        </w:tc>
        <w:tc>
          <w:tcPr>
            <w:tcW w:w="2580" w:type="dxa"/>
          </w:tcPr>
          <w:p w14:paraId="5BB61F7D"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五</w:t>
            </w:r>
            <w:proofErr w:type="gramStart"/>
            <w:r>
              <w:rPr>
                <w:rFonts w:ascii="宋体" w:hAnsi="宋体" w:cs="Calibri" w:hint="eastAsia"/>
                <w:color w:val="000000"/>
                <w:szCs w:val="21"/>
              </w:rPr>
              <w:t>矿证券</w:t>
            </w:r>
            <w:proofErr w:type="gramEnd"/>
            <w:r>
              <w:rPr>
                <w:rFonts w:ascii="宋体" w:hAnsi="宋体" w:cs="Calibri" w:hint="eastAsia"/>
                <w:color w:val="000000"/>
                <w:szCs w:val="21"/>
              </w:rPr>
              <w:t>有限公司</w:t>
            </w:r>
          </w:p>
        </w:tc>
        <w:tc>
          <w:tcPr>
            <w:tcW w:w="5114" w:type="dxa"/>
          </w:tcPr>
          <w:p w14:paraId="74E2E55C"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w:t>
            </w:r>
            <w:r>
              <w:rPr>
                <w:rFonts w:ascii="宋体" w:hAnsi="宋体" w:cs="Calibri"/>
                <w:color w:val="000000"/>
                <w:szCs w:val="21"/>
              </w:rPr>
              <w:t>地址：</w:t>
            </w:r>
            <w:r>
              <w:rPr>
                <w:rFonts w:ascii="宋体" w:hAnsi="宋体" w:cs="Calibri" w:hint="eastAsia"/>
                <w:color w:val="000000"/>
                <w:szCs w:val="21"/>
              </w:rPr>
              <w:t>深圳市南山区粤海</w:t>
            </w:r>
            <w:proofErr w:type="gramStart"/>
            <w:r>
              <w:rPr>
                <w:rFonts w:ascii="宋体" w:hAnsi="宋体" w:cs="Calibri" w:hint="eastAsia"/>
                <w:color w:val="000000"/>
                <w:szCs w:val="21"/>
              </w:rPr>
              <w:t>街道海</w:t>
            </w:r>
            <w:proofErr w:type="gramEnd"/>
            <w:r>
              <w:rPr>
                <w:rFonts w:ascii="宋体" w:hAnsi="宋体" w:cs="Calibri" w:hint="eastAsia"/>
                <w:color w:val="000000"/>
                <w:szCs w:val="21"/>
              </w:rPr>
              <w:t>珠社区滨海大道3165号五</w:t>
            </w:r>
            <w:proofErr w:type="gramStart"/>
            <w:r>
              <w:rPr>
                <w:rFonts w:ascii="宋体" w:hAnsi="宋体" w:cs="Calibri" w:hint="eastAsia"/>
                <w:color w:val="000000"/>
                <w:szCs w:val="21"/>
              </w:rPr>
              <w:t>矿金融</w:t>
            </w:r>
            <w:proofErr w:type="gramEnd"/>
            <w:r>
              <w:rPr>
                <w:rFonts w:ascii="宋体" w:hAnsi="宋体" w:cs="Calibri" w:hint="eastAsia"/>
                <w:color w:val="000000"/>
                <w:szCs w:val="21"/>
              </w:rPr>
              <w:t>大厦2401</w:t>
            </w:r>
          </w:p>
          <w:p w14:paraId="3F85EA4A"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4001840028</w:t>
            </w:r>
          </w:p>
          <w:p w14:paraId="0F79FA11" w14:textId="77777777" w:rsidR="0046184B" w:rsidRDefault="00000000">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www.wkzq.com.cn</w:t>
            </w:r>
          </w:p>
        </w:tc>
      </w:tr>
      <w:tr w:rsidR="0046184B" w14:paraId="00F10075" w14:textId="77777777">
        <w:trPr>
          <w:trHeight w:val="20"/>
        </w:trPr>
        <w:tc>
          <w:tcPr>
            <w:tcW w:w="811" w:type="dxa"/>
          </w:tcPr>
          <w:p w14:paraId="70C23E69" w14:textId="77777777" w:rsidR="0046184B" w:rsidRDefault="00000000">
            <w:pPr>
              <w:jc w:val="center"/>
              <w:rPr>
                <w:rFonts w:ascii="宋体" w:hAnsi="宋体" w:cs="Arial" w:hint="eastAsia"/>
              </w:rPr>
            </w:pPr>
            <w:r>
              <w:rPr>
                <w:rFonts w:ascii="宋体" w:hAnsi="宋体" w:cs="Arial" w:hint="eastAsia"/>
              </w:rPr>
              <w:t>67</w:t>
            </w:r>
          </w:p>
        </w:tc>
        <w:tc>
          <w:tcPr>
            <w:tcW w:w="2580" w:type="dxa"/>
          </w:tcPr>
          <w:p w14:paraId="66E13515"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光大证券股份有限公司</w:t>
            </w:r>
          </w:p>
        </w:tc>
        <w:tc>
          <w:tcPr>
            <w:tcW w:w="5114" w:type="dxa"/>
          </w:tcPr>
          <w:p w14:paraId="68BE590B"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注册地址 : 上海市静安区新闸路1508号</w:t>
            </w:r>
          </w:p>
          <w:p w14:paraId="696AE2D8"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客户服务电话：95525</w:t>
            </w:r>
          </w:p>
          <w:p w14:paraId="448D6F3B" w14:textId="77777777" w:rsidR="0046184B" w:rsidRDefault="00000000">
            <w:pPr>
              <w:snapToGrid w:val="0"/>
              <w:jc w:val="left"/>
              <w:rPr>
                <w:rFonts w:ascii="宋体" w:hAnsi="宋体" w:cs="Calibri" w:hint="eastAsia"/>
                <w:color w:val="000000"/>
                <w:szCs w:val="21"/>
              </w:rPr>
            </w:pPr>
            <w:r>
              <w:rPr>
                <w:rFonts w:ascii="宋体" w:hAnsi="宋体" w:cs="Calibri" w:hint="eastAsia"/>
                <w:color w:val="000000"/>
                <w:szCs w:val="21"/>
              </w:rPr>
              <w:t>网址：www.ebscn.com</w:t>
            </w:r>
          </w:p>
        </w:tc>
      </w:tr>
      <w:tr w:rsidR="0046184B" w14:paraId="0AACFA3B" w14:textId="77777777">
        <w:trPr>
          <w:trHeight w:val="20"/>
        </w:trPr>
        <w:tc>
          <w:tcPr>
            <w:tcW w:w="811" w:type="dxa"/>
          </w:tcPr>
          <w:p w14:paraId="38AB29B3" w14:textId="77777777" w:rsidR="0046184B" w:rsidRDefault="00000000">
            <w:pPr>
              <w:jc w:val="center"/>
              <w:rPr>
                <w:rFonts w:ascii="宋体" w:hAnsi="宋体" w:cs="Arial" w:hint="eastAsia"/>
              </w:rPr>
            </w:pPr>
            <w:r>
              <w:rPr>
                <w:rFonts w:ascii="宋体" w:hAnsi="宋体" w:cs="Arial" w:hint="eastAsia"/>
              </w:rPr>
              <w:t>68</w:t>
            </w:r>
          </w:p>
        </w:tc>
        <w:tc>
          <w:tcPr>
            <w:tcW w:w="2580" w:type="dxa"/>
          </w:tcPr>
          <w:p w14:paraId="196B7D6A"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华安证券股份有限公司</w:t>
            </w:r>
          </w:p>
        </w:tc>
        <w:tc>
          <w:tcPr>
            <w:tcW w:w="5114" w:type="dxa"/>
          </w:tcPr>
          <w:p w14:paraId="4BB71217"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注册地址：安徽省合肥市包河区</w:t>
            </w:r>
            <w:proofErr w:type="gramStart"/>
            <w:r>
              <w:rPr>
                <w:rFonts w:ascii="宋体" w:hAnsi="宋体" w:cs="Calibri" w:hint="eastAsia"/>
                <w:color w:val="000000"/>
                <w:szCs w:val="21"/>
              </w:rPr>
              <w:t>滨湖新区</w:t>
            </w:r>
            <w:proofErr w:type="gramEnd"/>
            <w:r>
              <w:rPr>
                <w:rFonts w:ascii="宋体" w:hAnsi="宋体" w:cs="Calibri" w:hint="eastAsia"/>
                <w:color w:val="000000"/>
                <w:szCs w:val="21"/>
              </w:rPr>
              <w:t>紫云路1018</w:t>
            </w:r>
            <w:r>
              <w:rPr>
                <w:rFonts w:ascii="宋体" w:hAnsi="宋体" w:cs="Calibri" w:hint="eastAsia"/>
                <w:color w:val="000000"/>
                <w:szCs w:val="21"/>
              </w:rPr>
              <w:lastRenderedPageBreak/>
              <w:t>号</w:t>
            </w:r>
          </w:p>
          <w:p w14:paraId="493DDA3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客户服务电话：9</w:t>
            </w:r>
            <w:r>
              <w:rPr>
                <w:rFonts w:ascii="宋体" w:hAnsi="宋体" w:cs="Calibri"/>
                <w:color w:val="000000"/>
                <w:szCs w:val="21"/>
              </w:rPr>
              <w:t>5318</w:t>
            </w:r>
          </w:p>
          <w:p w14:paraId="64EA46DA"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网址：www</w:t>
            </w:r>
            <w:r>
              <w:rPr>
                <w:rFonts w:ascii="宋体" w:hAnsi="宋体" w:cs="Calibri"/>
                <w:color w:val="000000"/>
                <w:szCs w:val="21"/>
              </w:rPr>
              <w:t>.hazq.com</w:t>
            </w:r>
          </w:p>
        </w:tc>
      </w:tr>
      <w:tr w:rsidR="0046184B" w14:paraId="53A322F4" w14:textId="77777777">
        <w:trPr>
          <w:trHeight w:val="20"/>
        </w:trPr>
        <w:tc>
          <w:tcPr>
            <w:tcW w:w="811" w:type="dxa"/>
          </w:tcPr>
          <w:p w14:paraId="29086587" w14:textId="77777777" w:rsidR="0046184B" w:rsidRDefault="00000000">
            <w:pPr>
              <w:jc w:val="center"/>
              <w:rPr>
                <w:rFonts w:ascii="宋体" w:hAnsi="宋体" w:hint="eastAsia"/>
                <w:color w:val="000000"/>
              </w:rPr>
            </w:pPr>
            <w:r>
              <w:rPr>
                <w:rFonts w:ascii="宋体" w:hAnsi="宋体" w:hint="eastAsia"/>
                <w:color w:val="000000"/>
              </w:rPr>
              <w:lastRenderedPageBreak/>
              <w:t>69</w:t>
            </w:r>
          </w:p>
        </w:tc>
        <w:tc>
          <w:tcPr>
            <w:tcW w:w="2580" w:type="dxa"/>
          </w:tcPr>
          <w:p w14:paraId="422BB972" w14:textId="77777777" w:rsidR="0046184B" w:rsidRDefault="00000000">
            <w:pPr>
              <w:snapToGrid w:val="0"/>
              <w:rPr>
                <w:rFonts w:ascii="宋体" w:hAnsi="宋体" w:cs="Calibri" w:hint="eastAsia"/>
                <w:color w:val="000000"/>
                <w:szCs w:val="21"/>
              </w:rPr>
            </w:pPr>
            <w:r>
              <w:rPr>
                <w:rFonts w:ascii="宋体" w:hAnsi="宋体" w:cs="Calibri"/>
                <w:color w:val="000000"/>
                <w:szCs w:val="21"/>
              </w:rPr>
              <w:t>宁波银行股份有限公司</w:t>
            </w:r>
          </w:p>
        </w:tc>
        <w:tc>
          <w:tcPr>
            <w:tcW w:w="5114" w:type="dxa"/>
          </w:tcPr>
          <w:p w14:paraId="2276163E" w14:textId="77777777" w:rsidR="0046184B" w:rsidRDefault="00000000">
            <w:pPr>
              <w:pStyle w:val="a6"/>
              <w:snapToGrid w:val="0"/>
              <w:rPr>
                <w:rFonts w:ascii="宋体" w:eastAsiaTheme="minorEastAsia" w:hAnsi="宋体" w:cs="Calibri" w:hint="eastAsia"/>
                <w:color w:val="000000"/>
                <w:szCs w:val="21"/>
              </w:rPr>
            </w:pPr>
            <w:r>
              <w:rPr>
                <w:rFonts w:ascii="宋体" w:eastAsiaTheme="minorEastAsia" w:hAnsi="宋体" w:cs="Calibri" w:hint="eastAsia"/>
                <w:color w:val="000000"/>
                <w:szCs w:val="21"/>
              </w:rPr>
              <w:t>注册地址：浙江省宁波市</w:t>
            </w:r>
            <w:proofErr w:type="gramStart"/>
            <w:r>
              <w:rPr>
                <w:rFonts w:ascii="宋体" w:eastAsiaTheme="minorEastAsia" w:hAnsi="宋体" w:cs="Calibri" w:hint="eastAsia"/>
                <w:color w:val="000000"/>
                <w:szCs w:val="21"/>
              </w:rPr>
              <w:t>鄞</w:t>
            </w:r>
            <w:proofErr w:type="gramEnd"/>
            <w:r>
              <w:rPr>
                <w:rFonts w:ascii="宋体" w:eastAsiaTheme="minorEastAsia" w:hAnsi="宋体" w:cs="Calibri" w:hint="eastAsia"/>
                <w:color w:val="000000"/>
                <w:szCs w:val="21"/>
              </w:rPr>
              <w:t>州区宁东路</w:t>
            </w:r>
            <w:r>
              <w:rPr>
                <w:rFonts w:ascii="宋体" w:eastAsiaTheme="minorEastAsia" w:hAnsi="宋体" w:cs="Calibri"/>
                <w:color w:val="000000"/>
                <w:szCs w:val="21"/>
              </w:rPr>
              <w:t>345</w:t>
            </w:r>
            <w:r>
              <w:rPr>
                <w:rFonts w:ascii="宋体" w:eastAsiaTheme="minorEastAsia" w:hAnsi="宋体" w:cs="Calibri" w:hint="eastAsia"/>
                <w:color w:val="000000"/>
                <w:szCs w:val="21"/>
              </w:rPr>
              <w:t>号</w:t>
            </w:r>
          </w:p>
          <w:p w14:paraId="27401B79" w14:textId="77777777" w:rsidR="0046184B" w:rsidRDefault="00000000">
            <w:pPr>
              <w:pStyle w:val="a6"/>
              <w:snapToGrid w:val="0"/>
              <w:rPr>
                <w:rFonts w:ascii="宋体" w:eastAsiaTheme="minorEastAsia" w:hAnsi="宋体" w:cs="Calibri" w:hint="eastAsia"/>
                <w:color w:val="000000"/>
                <w:szCs w:val="21"/>
              </w:rPr>
            </w:pPr>
            <w:r>
              <w:rPr>
                <w:rFonts w:ascii="宋体" w:eastAsiaTheme="minorEastAsia" w:hAnsi="宋体" w:cs="Calibri"/>
                <w:color w:val="000000"/>
                <w:szCs w:val="21"/>
              </w:rPr>
              <w:t>客户服务电话：95574</w:t>
            </w:r>
          </w:p>
          <w:p w14:paraId="616AA75A" w14:textId="77777777" w:rsidR="0046184B" w:rsidRDefault="00000000">
            <w:pPr>
              <w:pStyle w:val="a6"/>
              <w:snapToGrid w:val="0"/>
              <w:rPr>
                <w:rFonts w:ascii="宋体" w:eastAsiaTheme="minorEastAsia" w:hAnsi="宋体" w:cs="Calibri" w:hint="eastAsia"/>
                <w:color w:val="000000"/>
                <w:szCs w:val="21"/>
              </w:rPr>
            </w:pPr>
            <w:r>
              <w:rPr>
                <w:rFonts w:ascii="宋体" w:eastAsiaTheme="minorEastAsia" w:hAnsi="宋体" w:cs="Calibri" w:hint="eastAsia"/>
                <w:color w:val="000000"/>
                <w:szCs w:val="21"/>
              </w:rPr>
              <w:t>网址</w:t>
            </w:r>
            <w:r>
              <w:rPr>
                <w:rFonts w:ascii="宋体" w:eastAsiaTheme="minorEastAsia" w:hAnsi="宋体" w:cs="Calibri"/>
                <w:color w:val="000000"/>
                <w:szCs w:val="21"/>
              </w:rPr>
              <w:t>：www.nbcb.com.cn</w:t>
            </w:r>
          </w:p>
        </w:tc>
      </w:tr>
      <w:tr w:rsidR="0046184B" w14:paraId="2E514384" w14:textId="77777777">
        <w:trPr>
          <w:trHeight w:val="20"/>
        </w:trPr>
        <w:tc>
          <w:tcPr>
            <w:tcW w:w="811" w:type="dxa"/>
          </w:tcPr>
          <w:p w14:paraId="3480BCC3" w14:textId="77777777" w:rsidR="0046184B" w:rsidRDefault="00000000">
            <w:pPr>
              <w:jc w:val="center"/>
              <w:rPr>
                <w:rFonts w:ascii="宋体" w:hAnsi="宋体" w:hint="eastAsia"/>
                <w:color w:val="000000"/>
              </w:rPr>
            </w:pPr>
            <w:r>
              <w:rPr>
                <w:rFonts w:ascii="宋体" w:hAnsi="宋体" w:hint="eastAsia"/>
                <w:color w:val="000000"/>
              </w:rPr>
              <w:t>70</w:t>
            </w:r>
          </w:p>
        </w:tc>
        <w:tc>
          <w:tcPr>
            <w:tcW w:w="2580" w:type="dxa"/>
          </w:tcPr>
          <w:p w14:paraId="49D661AD"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中</w:t>
            </w:r>
            <w:proofErr w:type="gramStart"/>
            <w:r>
              <w:rPr>
                <w:rFonts w:ascii="宋体" w:hAnsi="宋体" w:cs="Calibri" w:hint="eastAsia"/>
                <w:color w:val="000000"/>
                <w:szCs w:val="21"/>
              </w:rPr>
              <w:t>信建投证券</w:t>
            </w:r>
            <w:proofErr w:type="gramEnd"/>
            <w:r>
              <w:rPr>
                <w:rFonts w:ascii="宋体" w:hAnsi="宋体" w:cs="Calibri" w:hint="eastAsia"/>
                <w:color w:val="000000"/>
                <w:szCs w:val="21"/>
              </w:rPr>
              <w:t>股份有限公司</w:t>
            </w:r>
          </w:p>
        </w:tc>
        <w:tc>
          <w:tcPr>
            <w:tcW w:w="5114" w:type="dxa"/>
          </w:tcPr>
          <w:p w14:paraId="406E05B6"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注册地址：北京市朝阳区安立路</w:t>
            </w:r>
            <w:r>
              <w:rPr>
                <w:rFonts w:ascii="宋体" w:hAnsi="宋体" w:cs="Calibri"/>
                <w:color w:val="000000"/>
                <w:szCs w:val="21"/>
              </w:rPr>
              <w:t>66号4号楼</w:t>
            </w:r>
          </w:p>
          <w:p w14:paraId="57DDE51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 4008888108</w:t>
            </w:r>
          </w:p>
          <w:p w14:paraId="76AB8D1B" w14:textId="77777777" w:rsidR="0046184B" w:rsidRDefault="00000000">
            <w:pPr>
              <w:pStyle w:val="a6"/>
              <w:snapToGrid w:val="0"/>
              <w:rPr>
                <w:rFonts w:ascii="宋体" w:eastAsiaTheme="minorEastAsia" w:hAnsi="宋体" w:cs="Calibri" w:hint="eastAsia"/>
                <w:color w:val="000000"/>
                <w:szCs w:val="21"/>
              </w:rPr>
            </w:pPr>
            <w:r>
              <w:rPr>
                <w:rFonts w:ascii="宋体" w:eastAsiaTheme="minorEastAsia" w:hAnsi="宋体" w:cs="Calibri" w:hint="eastAsia"/>
                <w:color w:val="000000"/>
                <w:szCs w:val="21"/>
              </w:rPr>
              <w:t>网址：</w:t>
            </w:r>
            <w:r>
              <w:rPr>
                <w:rFonts w:ascii="宋体" w:eastAsiaTheme="minorEastAsia" w:hAnsi="宋体" w:cs="Calibri"/>
                <w:color w:val="000000"/>
                <w:szCs w:val="21"/>
              </w:rPr>
              <w:t>www.csc108.com</w:t>
            </w:r>
          </w:p>
        </w:tc>
      </w:tr>
      <w:tr w:rsidR="0046184B" w14:paraId="29C9D581" w14:textId="77777777">
        <w:trPr>
          <w:trHeight w:val="20"/>
        </w:trPr>
        <w:tc>
          <w:tcPr>
            <w:tcW w:w="811" w:type="dxa"/>
          </w:tcPr>
          <w:p w14:paraId="7E97D86B" w14:textId="77777777" w:rsidR="0046184B" w:rsidRDefault="00000000">
            <w:pPr>
              <w:jc w:val="center"/>
              <w:rPr>
                <w:rFonts w:ascii="宋体" w:hAnsi="宋体" w:hint="eastAsia"/>
                <w:color w:val="000000"/>
              </w:rPr>
            </w:pPr>
            <w:r>
              <w:rPr>
                <w:rFonts w:ascii="宋体" w:hAnsi="宋体" w:hint="eastAsia"/>
                <w:color w:val="000000"/>
              </w:rPr>
              <w:t>71</w:t>
            </w:r>
          </w:p>
        </w:tc>
        <w:tc>
          <w:tcPr>
            <w:tcW w:w="2580" w:type="dxa"/>
          </w:tcPr>
          <w:p w14:paraId="22568D4A" w14:textId="77777777" w:rsidR="0046184B" w:rsidRDefault="00000000">
            <w:pPr>
              <w:snapToGrid w:val="0"/>
              <w:rPr>
                <w:rFonts w:ascii="宋体" w:hAnsi="宋体" w:cs="Calibri" w:hint="eastAsia"/>
                <w:color w:val="000000"/>
                <w:szCs w:val="21"/>
              </w:rPr>
            </w:pPr>
            <w:proofErr w:type="gramStart"/>
            <w:r>
              <w:rPr>
                <w:rFonts w:ascii="宋体" w:hAnsi="宋体" w:cs="Calibri" w:hint="eastAsia"/>
                <w:color w:val="000000"/>
                <w:szCs w:val="21"/>
              </w:rPr>
              <w:t>粤开证券</w:t>
            </w:r>
            <w:proofErr w:type="gramEnd"/>
            <w:r>
              <w:rPr>
                <w:rFonts w:ascii="宋体" w:hAnsi="宋体" w:cs="Calibri" w:hint="eastAsia"/>
                <w:color w:val="000000"/>
                <w:szCs w:val="21"/>
              </w:rPr>
              <w:t>股份有限公司</w:t>
            </w:r>
          </w:p>
        </w:tc>
        <w:tc>
          <w:tcPr>
            <w:tcW w:w="5114" w:type="dxa"/>
          </w:tcPr>
          <w:p w14:paraId="6D7712A4" w14:textId="77777777" w:rsidR="0046184B"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注册地址：广州市黄埔区科学大道60号开发区控股中心19、22、23层</w:t>
            </w:r>
          </w:p>
          <w:p w14:paraId="0C1317B7" w14:textId="77777777" w:rsidR="0046184B"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w:t>
            </w:r>
            <w:r>
              <w:rPr>
                <w:rFonts w:ascii="宋体" w:hAnsi="宋体" w:cs="Calibri" w:hint="eastAsia"/>
                <w:color w:val="000000"/>
                <w:szCs w:val="21"/>
              </w:rPr>
              <w:t>95564</w:t>
            </w:r>
          </w:p>
          <w:p w14:paraId="53817DF4"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t>
            </w:r>
            <w:r>
              <w:rPr>
                <w:rFonts w:ascii="宋体" w:hAnsi="宋体" w:cs="Calibri" w:hint="eastAsia"/>
                <w:color w:val="000000"/>
                <w:szCs w:val="21"/>
              </w:rPr>
              <w:t>www.ykzq.com</w:t>
            </w:r>
          </w:p>
        </w:tc>
      </w:tr>
      <w:tr w:rsidR="0046184B" w14:paraId="08BA4D52" w14:textId="77777777">
        <w:trPr>
          <w:trHeight w:val="20"/>
        </w:trPr>
        <w:tc>
          <w:tcPr>
            <w:tcW w:w="811" w:type="dxa"/>
          </w:tcPr>
          <w:p w14:paraId="3F1083DD" w14:textId="77777777" w:rsidR="0046184B" w:rsidRDefault="00000000">
            <w:pPr>
              <w:jc w:val="center"/>
              <w:rPr>
                <w:rFonts w:ascii="宋体" w:hAnsi="宋体" w:hint="eastAsia"/>
                <w:color w:val="000000"/>
              </w:rPr>
            </w:pPr>
            <w:r>
              <w:rPr>
                <w:rFonts w:ascii="宋体" w:hAnsi="宋体" w:hint="eastAsia"/>
                <w:color w:val="000000"/>
              </w:rPr>
              <w:t>72</w:t>
            </w:r>
          </w:p>
        </w:tc>
        <w:tc>
          <w:tcPr>
            <w:tcW w:w="2580" w:type="dxa"/>
          </w:tcPr>
          <w:p w14:paraId="779F927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招商证券股份有限公司</w:t>
            </w:r>
          </w:p>
        </w:tc>
        <w:tc>
          <w:tcPr>
            <w:tcW w:w="5114" w:type="dxa"/>
          </w:tcPr>
          <w:p w14:paraId="3FC3EA7A" w14:textId="77777777" w:rsidR="0046184B" w:rsidRDefault="00000000">
            <w:pPr>
              <w:snapToGrid w:val="0"/>
              <w:jc w:val="left"/>
              <w:rPr>
                <w:rFonts w:ascii="宋体" w:hAnsi="宋体" w:cs="Calibri" w:hint="eastAsia"/>
                <w:color w:val="000000"/>
                <w:szCs w:val="21"/>
              </w:rPr>
            </w:pPr>
            <w:r>
              <w:rPr>
                <w:rFonts w:ascii="宋体" w:hAnsi="宋体" w:cs="Calibri" w:hint="eastAsia"/>
                <w:color w:val="000000"/>
                <w:szCs w:val="21"/>
              </w:rPr>
              <w:t>注册地址: 深圳市福田区福田街道福华一路111号</w:t>
            </w:r>
          </w:p>
          <w:p w14:paraId="5A072A27" w14:textId="77777777" w:rsidR="0046184B" w:rsidRDefault="00000000">
            <w:pPr>
              <w:snapToGrid w:val="0"/>
              <w:jc w:val="left"/>
              <w:rPr>
                <w:rFonts w:ascii="宋体" w:hAnsi="宋体" w:cs="Calibri" w:hint="eastAsia"/>
                <w:color w:val="000000"/>
                <w:szCs w:val="21"/>
              </w:rPr>
            </w:pPr>
            <w:r>
              <w:rPr>
                <w:rFonts w:ascii="宋体" w:hAnsi="宋体" w:cs="Calibri" w:hint="eastAsia"/>
                <w:color w:val="000000"/>
                <w:szCs w:val="21"/>
              </w:rPr>
              <w:t>客户服务电话：95565</w:t>
            </w:r>
          </w:p>
          <w:p w14:paraId="5FE90038" w14:textId="77777777" w:rsidR="0046184B"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网址：www.cmschina.com</w:t>
            </w:r>
          </w:p>
        </w:tc>
      </w:tr>
      <w:tr w:rsidR="0046184B" w14:paraId="3CA03A3D" w14:textId="77777777">
        <w:trPr>
          <w:trHeight w:val="20"/>
        </w:trPr>
        <w:tc>
          <w:tcPr>
            <w:tcW w:w="811" w:type="dxa"/>
          </w:tcPr>
          <w:p w14:paraId="6E35089F" w14:textId="77777777" w:rsidR="0046184B" w:rsidRDefault="00000000">
            <w:pPr>
              <w:jc w:val="center"/>
              <w:rPr>
                <w:rFonts w:ascii="宋体" w:hAnsi="宋体" w:hint="eastAsia"/>
                <w:color w:val="000000"/>
              </w:rPr>
            </w:pPr>
            <w:r>
              <w:rPr>
                <w:rFonts w:ascii="宋体" w:hAnsi="宋体" w:hint="eastAsia"/>
                <w:color w:val="000000"/>
              </w:rPr>
              <w:t>73</w:t>
            </w:r>
          </w:p>
        </w:tc>
        <w:tc>
          <w:tcPr>
            <w:tcW w:w="2580" w:type="dxa"/>
          </w:tcPr>
          <w:p w14:paraId="0398A0B2"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渤海证券股份有限公司</w:t>
            </w:r>
          </w:p>
        </w:tc>
        <w:tc>
          <w:tcPr>
            <w:tcW w:w="5114" w:type="dxa"/>
          </w:tcPr>
          <w:p w14:paraId="1159738E" w14:textId="77777777" w:rsidR="0046184B" w:rsidRDefault="00000000">
            <w:pPr>
              <w:snapToGrid w:val="0"/>
              <w:jc w:val="left"/>
              <w:rPr>
                <w:rFonts w:ascii="宋体" w:hAnsi="宋体" w:cs="Calibri" w:hint="eastAsia"/>
                <w:color w:val="000000"/>
                <w:szCs w:val="21"/>
              </w:rPr>
            </w:pPr>
            <w:r>
              <w:rPr>
                <w:rFonts w:ascii="宋体" w:hAnsi="宋体" w:cs="Calibri" w:hint="eastAsia"/>
                <w:color w:val="000000"/>
                <w:szCs w:val="21"/>
              </w:rPr>
              <w:t>注册地址：天津市经济技术开发区第二大街42号写字楼101室</w:t>
            </w:r>
          </w:p>
          <w:p w14:paraId="2FB2CC7A" w14:textId="77777777" w:rsidR="0046184B" w:rsidRDefault="00000000">
            <w:pPr>
              <w:snapToGrid w:val="0"/>
              <w:jc w:val="left"/>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956066</w:t>
            </w:r>
          </w:p>
          <w:p w14:paraId="795B3F81" w14:textId="77777777" w:rsidR="0046184B" w:rsidRDefault="00000000">
            <w:pPr>
              <w:snapToGrid w:val="0"/>
              <w:jc w:val="left"/>
              <w:rPr>
                <w:rFonts w:ascii="宋体" w:hAnsi="宋体" w:cs="Calibri" w:hint="eastAsia"/>
                <w:color w:val="000000"/>
                <w:szCs w:val="21"/>
              </w:rPr>
            </w:pPr>
            <w:r>
              <w:rPr>
                <w:rFonts w:ascii="宋体" w:hAnsi="宋体" w:cs="Calibri" w:hint="eastAsia"/>
                <w:color w:val="000000"/>
                <w:szCs w:val="21"/>
              </w:rPr>
              <w:t>网址：www.bhzq.com</w:t>
            </w:r>
          </w:p>
        </w:tc>
      </w:tr>
      <w:tr w:rsidR="0046184B" w14:paraId="63351675" w14:textId="77777777">
        <w:trPr>
          <w:trHeight w:val="20"/>
        </w:trPr>
        <w:tc>
          <w:tcPr>
            <w:tcW w:w="811" w:type="dxa"/>
          </w:tcPr>
          <w:p w14:paraId="69E71218" w14:textId="77777777" w:rsidR="0046184B" w:rsidRDefault="00000000">
            <w:pPr>
              <w:jc w:val="center"/>
              <w:rPr>
                <w:rFonts w:ascii="宋体" w:hAnsi="宋体" w:hint="eastAsia"/>
                <w:color w:val="000000"/>
              </w:rPr>
            </w:pPr>
            <w:r>
              <w:rPr>
                <w:rFonts w:ascii="宋体" w:hAnsi="宋体" w:hint="eastAsia"/>
                <w:color w:val="000000"/>
              </w:rPr>
              <w:t>74</w:t>
            </w:r>
          </w:p>
        </w:tc>
        <w:tc>
          <w:tcPr>
            <w:tcW w:w="2580" w:type="dxa"/>
          </w:tcPr>
          <w:p w14:paraId="60AE1E0D"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中山证券有限责任公司</w:t>
            </w:r>
          </w:p>
        </w:tc>
        <w:tc>
          <w:tcPr>
            <w:tcW w:w="5114" w:type="dxa"/>
          </w:tcPr>
          <w:p w14:paraId="12C3B1D1" w14:textId="77777777" w:rsidR="0046184B" w:rsidRDefault="00000000">
            <w:pPr>
              <w:tabs>
                <w:tab w:val="left" w:pos="540"/>
              </w:tabs>
              <w:adjustRightInd w:val="0"/>
              <w:snapToGrid w:val="0"/>
              <w:rPr>
                <w:rFonts w:ascii="宋体" w:hAnsi="宋体" w:cs="Calibri" w:hint="eastAsia"/>
                <w:color w:val="000000"/>
                <w:szCs w:val="21"/>
              </w:rPr>
            </w:pPr>
            <w:r>
              <w:rPr>
                <w:rFonts w:ascii="宋体" w:hAnsi="宋体" w:cs="Calibri" w:hint="eastAsia"/>
                <w:color w:val="000000"/>
                <w:szCs w:val="21"/>
              </w:rPr>
              <w:t>注册地址：深圳市南山区粤海街道蔚蓝海岸社区创业路1777号海信南方大厦21层、22层</w:t>
            </w:r>
          </w:p>
          <w:p w14:paraId="78895146" w14:textId="77777777" w:rsidR="0046184B" w:rsidRDefault="00000000">
            <w:pPr>
              <w:tabs>
                <w:tab w:val="left" w:pos="540"/>
              </w:tabs>
              <w:adjustRightInd w:val="0"/>
              <w:snapToGrid w:val="0"/>
              <w:rPr>
                <w:rFonts w:ascii="宋体" w:hAnsi="宋体" w:cs="Calibri" w:hint="eastAsia"/>
                <w:color w:val="000000"/>
                <w:szCs w:val="21"/>
              </w:rPr>
            </w:pPr>
            <w:r>
              <w:rPr>
                <w:rFonts w:ascii="宋体" w:hAnsi="宋体" w:cs="Calibri" w:hint="eastAsia"/>
                <w:color w:val="000000"/>
                <w:szCs w:val="21"/>
              </w:rPr>
              <w:t>客户服务电话：95329</w:t>
            </w:r>
          </w:p>
          <w:p w14:paraId="46FFED08" w14:textId="77777777" w:rsidR="0046184B" w:rsidRDefault="00000000">
            <w:pPr>
              <w:snapToGrid w:val="0"/>
              <w:jc w:val="left"/>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www.zszq.com</w:t>
            </w:r>
          </w:p>
        </w:tc>
      </w:tr>
      <w:tr w:rsidR="0046184B" w14:paraId="4660C863" w14:textId="77777777">
        <w:trPr>
          <w:trHeight w:val="20"/>
        </w:trPr>
        <w:tc>
          <w:tcPr>
            <w:tcW w:w="811" w:type="dxa"/>
          </w:tcPr>
          <w:p w14:paraId="06AB7C72" w14:textId="77777777" w:rsidR="0046184B" w:rsidRDefault="00000000">
            <w:pPr>
              <w:jc w:val="center"/>
              <w:rPr>
                <w:rFonts w:ascii="宋体" w:hAnsi="宋体" w:hint="eastAsia"/>
                <w:color w:val="000000"/>
              </w:rPr>
            </w:pPr>
            <w:r>
              <w:rPr>
                <w:rFonts w:ascii="宋体" w:hAnsi="宋体" w:hint="eastAsia"/>
                <w:color w:val="000000"/>
              </w:rPr>
              <w:t>75</w:t>
            </w:r>
          </w:p>
        </w:tc>
        <w:tc>
          <w:tcPr>
            <w:tcW w:w="2580" w:type="dxa"/>
          </w:tcPr>
          <w:p w14:paraId="7BD1D124"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中</w:t>
            </w:r>
            <w:proofErr w:type="gramStart"/>
            <w:r>
              <w:rPr>
                <w:rFonts w:ascii="宋体" w:hAnsi="宋体" w:cs="Calibri" w:hint="eastAsia"/>
                <w:color w:val="000000"/>
                <w:szCs w:val="21"/>
              </w:rPr>
              <w:t>邮证券</w:t>
            </w:r>
            <w:proofErr w:type="gramEnd"/>
            <w:r>
              <w:rPr>
                <w:rFonts w:ascii="宋体" w:hAnsi="宋体" w:cs="Calibri" w:hint="eastAsia"/>
                <w:color w:val="000000"/>
                <w:szCs w:val="21"/>
              </w:rPr>
              <w:t>有限责任公司</w:t>
            </w:r>
          </w:p>
        </w:tc>
        <w:tc>
          <w:tcPr>
            <w:tcW w:w="5114" w:type="dxa"/>
          </w:tcPr>
          <w:p w14:paraId="3B5146F8"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注册地址：陕西省西安市</w:t>
            </w:r>
            <w:proofErr w:type="gramStart"/>
            <w:r>
              <w:rPr>
                <w:rFonts w:ascii="宋体" w:hAnsi="宋体" w:cs="Calibri" w:hint="eastAsia"/>
                <w:color w:val="000000"/>
                <w:szCs w:val="21"/>
              </w:rPr>
              <w:t>唐延路</w:t>
            </w:r>
            <w:proofErr w:type="gramEnd"/>
            <w:r>
              <w:rPr>
                <w:rFonts w:ascii="宋体" w:hAnsi="宋体" w:cs="Calibri" w:hint="eastAsia"/>
                <w:color w:val="000000"/>
                <w:szCs w:val="21"/>
              </w:rPr>
              <w:t>5号(陕西邮政信息大厦9-11层)</w:t>
            </w:r>
          </w:p>
          <w:p w14:paraId="381C595B"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客户服务电话：956039</w:t>
            </w:r>
          </w:p>
          <w:p w14:paraId="329CD9EB" w14:textId="77777777" w:rsidR="0046184B" w:rsidRDefault="00000000">
            <w:pPr>
              <w:tabs>
                <w:tab w:val="left" w:pos="540"/>
              </w:tabs>
              <w:adjustRightInd w:val="0"/>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www.cnpsec.com</w:t>
            </w:r>
          </w:p>
        </w:tc>
      </w:tr>
      <w:tr w:rsidR="0046184B" w14:paraId="0FD9E229" w14:textId="77777777">
        <w:trPr>
          <w:trHeight w:val="20"/>
        </w:trPr>
        <w:tc>
          <w:tcPr>
            <w:tcW w:w="811" w:type="dxa"/>
          </w:tcPr>
          <w:p w14:paraId="09F46AC4" w14:textId="77777777" w:rsidR="0046184B" w:rsidRDefault="00000000">
            <w:pPr>
              <w:jc w:val="center"/>
              <w:rPr>
                <w:rFonts w:ascii="宋体" w:hAnsi="宋体" w:hint="eastAsia"/>
                <w:color w:val="000000"/>
              </w:rPr>
            </w:pPr>
            <w:r>
              <w:rPr>
                <w:rFonts w:ascii="宋体" w:hAnsi="宋体" w:hint="eastAsia"/>
                <w:color w:val="000000"/>
              </w:rPr>
              <w:t>76</w:t>
            </w:r>
          </w:p>
        </w:tc>
        <w:tc>
          <w:tcPr>
            <w:tcW w:w="2580" w:type="dxa"/>
          </w:tcPr>
          <w:p w14:paraId="00B08ACB"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中信证券股份有限公司</w:t>
            </w:r>
          </w:p>
        </w:tc>
        <w:tc>
          <w:tcPr>
            <w:tcW w:w="5114" w:type="dxa"/>
          </w:tcPr>
          <w:p w14:paraId="0FC939F5"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注册地址：广东省深圳市福田区中心三路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p>
          <w:p w14:paraId="35C125ED"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客户服务电话：95548</w:t>
            </w:r>
          </w:p>
          <w:p w14:paraId="4DD8C3BC"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www.citics.com</w:t>
            </w:r>
          </w:p>
        </w:tc>
      </w:tr>
      <w:tr w:rsidR="0046184B" w14:paraId="39635B16" w14:textId="77777777">
        <w:trPr>
          <w:trHeight w:val="20"/>
        </w:trPr>
        <w:tc>
          <w:tcPr>
            <w:tcW w:w="811" w:type="dxa"/>
          </w:tcPr>
          <w:p w14:paraId="34C5F0B9" w14:textId="77777777" w:rsidR="0046184B" w:rsidRDefault="00000000">
            <w:pPr>
              <w:jc w:val="center"/>
              <w:rPr>
                <w:rFonts w:ascii="宋体" w:hAnsi="宋体" w:hint="eastAsia"/>
                <w:color w:val="000000"/>
              </w:rPr>
            </w:pPr>
            <w:r>
              <w:rPr>
                <w:rFonts w:ascii="宋体" w:hAnsi="宋体" w:hint="eastAsia"/>
                <w:color w:val="000000"/>
              </w:rPr>
              <w:t>77</w:t>
            </w:r>
          </w:p>
        </w:tc>
        <w:tc>
          <w:tcPr>
            <w:tcW w:w="2580" w:type="dxa"/>
          </w:tcPr>
          <w:p w14:paraId="28B0BB08"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中信证券(山东)有限责任公司</w:t>
            </w:r>
          </w:p>
        </w:tc>
        <w:tc>
          <w:tcPr>
            <w:tcW w:w="5114" w:type="dxa"/>
          </w:tcPr>
          <w:p w14:paraId="1F03E2DF"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注册地址：青岛市崂山区深圳路</w:t>
            </w:r>
            <w:r>
              <w:rPr>
                <w:rFonts w:ascii="宋体" w:hAnsi="宋体" w:cs="Calibri"/>
                <w:color w:val="000000"/>
                <w:szCs w:val="21"/>
              </w:rPr>
              <w:t>222</w:t>
            </w:r>
            <w:r>
              <w:rPr>
                <w:rFonts w:ascii="宋体" w:hAnsi="宋体" w:cs="Calibri" w:hint="eastAsia"/>
                <w:color w:val="000000"/>
                <w:szCs w:val="21"/>
              </w:rPr>
              <w:t>号</w:t>
            </w:r>
            <w:r>
              <w:rPr>
                <w:rFonts w:ascii="宋体" w:hAnsi="宋体" w:cs="Calibri"/>
                <w:color w:val="000000"/>
                <w:szCs w:val="21"/>
              </w:rPr>
              <w:t>1</w:t>
            </w:r>
            <w:r>
              <w:rPr>
                <w:rFonts w:ascii="宋体" w:hAnsi="宋体" w:cs="Calibri" w:hint="eastAsia"/>
                <w:color w:val="000000"/>
                <w:szCs w:val="21"/>
              </w:rPr>
              <w:t>号楼</w:t>
            </w:r>
            <w:r>
              <w:rPr>
                <w:rFonts w:ascii="宋体" w:hAnsi="宋体" w:cs="Calibri"/>
                <w:color w:val="000000"/>
                <w:szCs w:val="21"/>
              </w:rPr>
              <w:t>2001</w:t>
            </w:r>
          </w:p>
          <w:p w14:paraId="73234AF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95548</w:t>
            </w:r>
          </w:p>
          <w:p w14:paraId="2C00E524"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sd.citics.com</w:t>
            </w:r>
          </w:p>
        </w:tc>
      </w:tr>
      <w:tr w:rsidR="0046184B" w14:paraId="52063B41" w14:textId="77777777">
        <w:trPr>
          <w:trHeight w:val="20"/>
        </w:trPr>
        <w:tc>
          <w:tcPr>
            <w:tcW w:w="811" w:type="dxa"/>
          </w:tcPr>
          <w:p w14:paraId="33AA3FFF" w14:textId="77777777" w:rsidR="0046184B" w:rsidRDefault="00000000">
            <w:pPr>
              <w:jc w:val="center"/>
              <w:rPr>
                <w:rFonts w:ascii="宋体" w:hAnsi="宋体" w:hint="eastAsia"/>
                <w:color w:val="000000"/>
              </w:rPr>
            </w:pPr>
            <w:r>
              <w:rPr>
                <w:rFonts w:ascii="宋体" w:hAnsi="宋体" w:hint="eastAsia"/>
                <w:color w:val="000000"/>
              </w:rPr>
              <w:t>78</w:t>
            </w:r>
          </w:p>
        </w:tc>
        <w:tc>
          <w:tcPr>
            <w:tcW w:w="2580" w:type="dxa"/>
          </w:tcPr>
          <w:p w14:paraId="2565EDC8"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中信证券华南股份有限公司</w:t>
            </w:r>
          </w:p>
        </w:tc>
        <w:tc>
          <w:tcPr>
            <w:tcW w:w="5114" w:type="dxa"/>
          </w:tcPr>
          <w:p w14:paraId="525FEAD2"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注册地址：广州市天河区临江大道395号901室(部位:自编01号)1001室(部位:自编01号)</w:t>
            </w:r>
          </w:p>
          <w:p w14:paraId="44C059F9"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客户服务电话：95548</w:t>
            </w:r>
          </w:p>
          <w:p w14:paraId="22487D93"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www.gzs.com.cn</w:t>
            </w:r>
          </w:p>
        </w:tc>
      </w:tr>
      <w:tr w:rsidR="0046184B" w14:paraId="1CC28969" w14:textId="77777777">
        <w:trPr>
          <w:trHeight w:val="20"/>
        </w:trPr>
        <w:tc>
          <w:tcPr>
            <w:tcW w:w="811" w:type="dxa"/>
          </w:tcPr>
          <w:p w14:paraId="541C180F" w14:textId="77777777" w:rsidR="0046184B" w:rsidRDefault="00000000">
            <w:pPr>
              <w:jc w:val="center"/>
              <w:rPr>
                <w:rFonts w:ascii="宋体" w:hAnsi="宋体" w:hint="eastAsia"/>
                <w:color w:val="000000"/>
              </w:rPr>
            </w:pPr>
            <w:r>
              <w:rPr>
                <w:rFonts w:ascii="宋体" w:hAnsi="宋体" w:hint="eastAsia"/>
                <w:color w:val="000000"/>
              </w:rPr>
              <w:t>79</w:t>
            </w:r>
          </w:p>
        </w:tc>
        <w:tc>
          <w:tcPr>
            <w:tcW w:w="2580" w:type="dxa"/>
          </w:tcPr>
          <w:p w14:paraId="54D3E36C"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中信期货有限公司</w:t>
            </w:r>
          </w:p>
        </w:tc>
        <w:tc>
          <w:tcPr>
            <w:tcW w:w="5114" w:type="dxa"/>
          </w:tcPr>
          <w:p w14:paraId="5FC87642"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注册地址：深圳市福田区中心三路</w:t>
            </w:r>
            <w:r>
              <w:rPr>
                <w:rFonts w:ascii="宋体" w:hAnsi="宋体" w:cs="Calibri"/>
                <w:color w:val="000000"/>
                <w:szCs w:val="21"/>
              </w:rPr>
              <w:t>8</w:t>
            </w:r>
            <w:r>
              <w:rPr>
                <w:rFonts w:ascii="宋体" w:hAnsi="宋体" w:cs="Calibri" w:hint="eastAsia"/>
                <w:color w:val="000000"/>
                <w:szCs w:val="21"/>
              </w:rPr>
              <w:t>号卓越时代广场</w:t>
            </w:r>
            <w:r>
              <w:rPr>
                <w:rFonts w:ascii="宋体" w:hAnsi="宋体" w:cs="Calibri"/>
                <w:color w:val="000000"/>
                <w:szCs w:val="21"/>
              </w:rPr>
              <w:t>(</w:t>
            </w:r>
            <w:r>
              <w:rPr>
                <w:rFonts w:ascii="宋体" w:hAnsi="宋体" w:cs="Calibri" w:hint="eastAsia"/>
                <w:color w:val="000000"/>
                <w:szCs w:val="21"/>
              </w:rPr>
              <w:t>二期</w:t>
            </w:r>
            <w:r>
              <w:rPr>
                <w:rFonts w:ascii="宋体" w:hAnsi="宋体" w:cs="Calibri"/>
                <w:color w:val="000000"/>
                <w:szCs w:val="21"/>
              </w:rPr>
              <w:t>)</w:t>
            </w:r>
            <w:r>
              <w:rPr>
                <w:rFonts w:ascii="宋体" w:hAnsi="宋体" w:cs="Calibri" w:hint="eastAsia"/>
                <w:color w:val="000000"/>
                <w:szCs w:val="21"/>
              </w:rPr>
              <w:t>北座</w:t>
            </w:r>
            <w:r>
              <w:rPr>
                <w:rFonts w:ascii="宋体" w:hAnsi="宋体" w:cs="Calibri"/>
                <w:color w:val="000000"/>
                <w:szCs w:val="21"/>
              </w:rPr>
              <w:t>13</w:t>
            </w:r>
            <w:r>
              <w:rPr>
                <w:rFonts w:ascii="宋体" w:hAnsi="宋体" w:cs="Calibri" w:hint="eastAsia"/>
                <w:color w:val="000000"/>
                <w:szCs w:val="21"/>
              </w:rPr>
              <w:t>层</w:t>
            </w:r>
            <w:r>
              <w:rPr>
                <w:rFonts w:ascii="宋体" w:hAnsi="宋体" w:cs="Calibri"/>
                <w:color w:val="000000"/>
                <w:szCs w:val="21"/>
              </w:rPr>
              <w:t>1301-1305</w:t>
            </w:r>
            <w:r>
              <w:rPr>
                <w:rFonts w:ascii="宋体" w:hAnsi="宋体" w:cs="Calibri" w:hint="eastAsia"/>
                <w:color w:val="000000"/>
                <w:szCs w:val="21"/>
              </w:rPr>
              <w:t>室</w:t>
            </w:r>
            <w:r>
              <w:rPr>
                <w:rFonts w:ascii="宋体" w:hAnsi="宋体" w:cs="Calibri"/>
                <w:color w:val="000000"/>
                <w:szCs w:val="21"/>
              </w:rPr>
              <w:t>,14</w:t>
            </w:r>
            <w:r>
              <w:rPr>
                <w:rFonts w:ascii="宋体" w:hAnsi="宋体" w:cs="Calibri" w:hint="eastAsia"/>
                <w:color w:val="000000"/>
                <w:szCs w:val="21"/>
              </w:rPr>
              <w:t>层</w:t>
            </w:r>
          </w:p>
          <w:p w14:paraId="286D9B85"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4009908826</w:t>
            </w:r>
          </w:p>
          <w:p w14:paraId="0FF3F31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www.citicsf.com</w:t>
            </w:r>
          </w:p>
        </w:tc>
      </w:tr>
      <w:tr w:rsidR="0046184B" w14:paraId="72F3D3E0" w14:textId="77777777">
        <w:trPr>
          <w:trHeight w:val="20"/>
        </w:trPr>
        <w:tc>
          <w:tcPr>
            <w:tcW w:w="811" w:type="dxa"/>
          </w:tcPr>
          <w:p w14:paraId="6E1E4DDE" w14:textId="77777777" w:rsidR="0046184B" w:rsidRDefault="00000000">
            <w:pPr>
              <w:jc w:val="center"/>
              <w:rPr>
                <w:rFonts w:ascii="宋体" w:hAnsi="宋体" w:hint="eastAsia"/>
                <w:color w:val="000000"/>
              </w:rPr>
            </w:pPr>
            <w:r>
              <w:rPr>
                <w:rFonts w:ascii="宋体" w:hAnsi="宋体" w:hint="eastAsia"/>
                <w:color w:val="000000"/>
              </w:rPr>
              <w:t>80</w:t>
            </w:r>
          </w:p>
        </w:tc>
        <w:tc>
          <w:tcPr>
            <w:tcW w:w="2580" w:type="dxa"/>
          </w:tcPr>
          <w:p w14:paraId="1B9E3DDA" w14:textId="77777777" w:rsidR="0046184B" w:rsidRDefault="00000000">
            <w:pPr>
              <w:snapToGrid w:val="0"/>
              <w:rPr>
                <w:rFonts w:ascii="宋体" w:hAnsi="宋体" w:cs="Calibri" w:hint="eastAsia"/>
                <w:color w:val="000000"/>
                <w:szCs w:val="21"/>
              </w:rPr>
            </w:pPr>
            <w:proofErr w:type="gramStart"/>
            <w:r>
              <w:rPr>
                <w:rFonts w:ascii="宋体" w:hAnsi="宋体" w:cs="Calibri" w:hint="eastAsia"/>
                <w:color w:val="000000"/>
                <w:szCs w:val="21"/>
              </w:rPr>
              <w:t>万联证券</w:t>
            </w:r>
            <w:proofErr w:type="gramEnd"/>
            <w:r>
              <w:rPr>
                <w:rFonts w:ascii="宋体" w:hAnsi="宋体" w:cs="Calibri" w:hint="eastAsia"/>
                <w:color w:val="000000"/>
                <w:szCs w:val="21"/>
              </w:rPr>
              <w:t>股份有限公司</w:t>
            </w:r>
          </w:p>
        </w:tc>
        <w:tc>
          <w:tcPr>
            <w:tcW w:w="5114" w:type="dxa"/>
          </w:tcPr>
          <w:p w14:paraId="20B7A5F2"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注册地址：广州市天河区珠江东路</w:t>
            </w:r>
            <w:r>
              <w:rPr>
                <w:rFonts w:ascii="宋体" w:hAnsi="宋体" w:cs="Calibri"/>
                <w:color w:val="000000"/>
                <w:szCs w:val="21"/>
              </w:rPr>
              <w:t>11</w:t>
            </w:r>
            <w:r>
              <w:rPr>
                <w:rFonts w:ascii="宋体" w:hAnsi="宋体" w:cs="Calibri" w:hint="eastAsia"/>
                <w:color w:val="000000"/>
                <w:szCs w:val="21"/>
              </w:rPr>
              <w:t>号</w:t>
            </w:r>
            <w:r>
              <w:rPr>
                <w:rFonts w:ascii="宋体" w:hAnsi="宋体" w:cs="Calibri"/>
                <w:color w:val="000000"/>
                <w:szCs w:val="21"/>
              </w:rPr>
              <w:t>18</w:t>
            </w:r>
            <w:r>
              <w:rPr>
                <w:rFonts w:ascii="宋体" w:hAnsi="宋体" w:cs="Calibri" w:hint="eastAsia"/>
                <w:color w:val="000000"/>
                <w:szCs w:val="21"/>
              </w:rPr>
              <w:t>、</w:t>
            </w:r>
            <w:r>
              <w:rPr>
                <w:rFonts w:ascii="宋体" w:hAnsi="宋体" w:cs="Calibri"/>
                <w:color w:val="000000"/>
                <w:szCs w:val="21"/>
              </w:rPr>
              <w:t>19</w:t>
            </w:r>
            <w:r>
              <w:rPr>
                <w:rFonts w:ascii="宋体" w:hAnsi="宋体" w:cs="Calibri" w:hint="eastAsia"/>
                <w:color w:val="000000"/>
                <w:szCs w:val="21"/>
              </w:rPr>
              <w:t>楼全层</w:t>
            </w:r>
          </w:p>
          <w:p w14:paraId="4065EEE9"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客户服务电话：</w:t>
            </w:r>
            <w:r>
              <w:rPr>
                <w:rFonts w:ascii="宋体" w:hAnsi="宋体" w:cs="Calibri"/>
                <w:color w:val="000000"/>
                <w:szCs w:val="21"/>
              </w:rPr>
              <w:t>95322</w:t>
            </w:r>
          </w:p>
          <w:p w14:paraId="218B2AC0"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t>
            </w:r>
            <w:r>
              <w:rPr>
                <w:rFonts w:ascii="宋体" w:hAnsi="宋体" w:cs="Calibri"/>
                <w:color w:val="000000"/>
                <w:szCs w:val="21"/>
              </w:rPr>
              <w:t>www.wlzq.cn</w:t>
            </w:r>
          </w:p>
        </w:tc>
      </w:tr>
      <w:tr w:rsidR="0046184B" w14:paraId="1F2D3B19" w14:textId="77777777">
        <w:trPr>
          <w:trHeight w:val="20"/>
        </w:trPr>
        <w:tc>
          <w:tcPr>
            <w:tcW w:w="811" w:type="dxa"/>
          </w:tcPr>
          <w:p w14:paraId="0F142732" w14:textId="77777777" w:rsidR="0046184B" w:rsidRDefault="00000000">
            <w:pPr>
              <w:jc w:val="center"/>
              <w:rPr>
                <w:rFonts w:ascii="宋体" w:hAnsi="宋体" w:hint="eastAsia"/>
                <w:color w:val="000000"/>
              </w:rPr>
            </w:pPr>
            <w:r>
              <w:rPr>
                <w:rFonts w:ascii="宋体" w:hAnsi="宋体" w:hint="eastAsia"/>
                <w:color w:val="000000"/>
              </w:rPr>
              <w:t>81</w:t>
            </w:r>
          </w:p>
        </w:tc>
        <w:tc>
          <w:tcPr>
            <w:tcW w:w="2580" w:type="dxa"/>
          </w:tcPr>
          <w:p w14:paraId="13307585"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华</w:t>
            </w:r>
            <w:proofErr w:type="gramStart"/>
            <w:r>
              <w:rPr>
                <w:rFonts w:ascii="宋体" w:hAnsi="宋体" w:cs="Calibri" w:hint="eastAsia"/>
                <w:color w:val="000000"/>
                <w:szCs w:val="21"/>
              </w:rPr>
              <w:t>源证券</w:t>
            </w:r>
            <w:proofErr w:type="gramEnd"/>
            <w:r>
              <w:rPr>
                <w:rFonts w:ascii="宋体" w:hAnsi="宋体" w:cs="Calibri" w:hint="eastAsia"/>
                <w:color w:val="000000"/>
                <w:szCs w:val="21"/>
              </w:rPr>
              <w:t>股份有限公司</w:t>
            </w:r>
          </w:p>
        </w:tc>
        <w:tc>
          <w:tcPr>
            <w:tcW w:w="5114" w:type="dxa"/>
          </w:tcPr>
          <w:p w14:paraId="45192650" w14:textId="77777777" w:rsidR="0046184B"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注册地址：西宁市南川工业园区创业路108号</w:t>
            </w:r>
          </w:p>
          <w:p w14:paraId="70DFB156" w14:textId="77777777" w:rsidR="0046184B"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客户服务电话：95305</w:t>
            </w:r>
          </w:p>
          <w:p w14:paraId="50A32E1F"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网址：www.jzsec.com</w:t>
            </w:r>
          </w:p>
        </w:tc>
      </w:tr>
      <w:tr w:rsidR="0046184B" w14:paraId="3760644B" w14:textId="77777777">
        <w:trPr>
          <w:trHeight w:val="20"/>
        </w:trPr>
        <w:tc>
          <w:tcPr>
            <w:tcW w:w="811" w:type="dxa"/>
          </w:tcPr>
          <w:p w14:paraId="2540EDC6" w14:textId="77777777" w:rsidR="0046184B" w:rsidRDefault="00000000">
            <w:pPr>
              <w:jc w:val="center"/>
              <w:rPr>
                <w:rFonts w:ascii="宋体" w:hAnsi="宋体" w:hint="eastAsia"/>
                <w:color w:val="000000"/>
              </w:rPr>
            </w:pPr>
            <w:r>
              <w:rPr>
                <w:rFonts w:ascii="宋体" w:hAnsi="宋体" w:hint="eastAsia"/>
                <w:color w:val="000000"/>
              </w:rPr>
              <w:lastRenderedPageBreak/>
              <w:t>82</w:t>
            </w:r>
          </w:p>
        </w:tc>
        <w:tc>
          <w:tcPr>
            <w:tcW w:w="2580" w:type="dxa"/>
          </w:tcPr>
          <w:p w14:paraId="46EE878A"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海通证券股份有限公司</w:t>
            </w:r>
          </w:p>
        </w:tc>
        <w:tc>
          <w:tcPr>
            <w:tcW w:w="5114" w:type="dxa"/>
          </w:tcPr>
          <w:p w14:paraId="47D2A554" w14:textId="77777777" w:rsidR="0046184B"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注册地址：上海市黄浦区广东路689号</w:t>
            </w:r>
          </w:p>
          <w:p w14:paraId="771D6C71" w14:textId="77777777" w:rsidR="0046184B"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客户服务电话：95553</w:t>
            </w:r>
          </w:p>
          <w:p w14:paraId="3ED61E97" w14:textId="77777777" w:rsidR="0046184B"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网址：www.htsec.com</w:t>
            </w:r>
          </w:p>
        </w:tc>
      </w:tr>
      <w:tr w:rsidR="0046184B" w14:paraId="0B2B2132" w14:textId="77777777">
        <w:trPr>
          <w:trHeight w:val="20"/>
        </w:trPr>
        <w:tc>
          <w:tcPr>
            <w:tcW w:w="811" w:type="dxa"/>
          </w:tcPr>
          <w:p w14:paraId="07F45822" w14:textId="77777777" w:rsidR="0046184B" w:rsidRDefault="00000000">
            <w:pPr>
              <w:jc w:val="center"/>
              <w:rPr>
                <w:rFonts w:ascii="宋体" w:hAnsi="宋体" w:hint="eastAsia"/>
                <w:color w:val="000000"/>
              </w:rPr>
            </w:pPr>
            <w:r>
              <w:rPr>
                <w:rFonts w:ascii="宋体" w:hAnsi="宋体" w:hint="eastAsia"/>
                <w:color w:val="000000"/>
              </w:rPr>
              <w:t>83</w:t>
            </w:r>
          </w:p>
        </w:tc>
        <w:tc>
          <w:tcPr>
            <w:tcW w:w="2580" w:type="dxa"/>
          </w:tcPr>
          <w:p w14:paraId="43E5BD62"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华金证券股份有限公司</w:t>
            </w:r>
          </w:p>
        </w:tc>
        <w:tc>
          <w:tcPr>
            <w:tcW w:w="5114" w:type="dxa"/>
          </w:tcPr>
          <w:p w14:paraId="5F9F38CF" w14:textId="77777777" w:rsidR="0046184B"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注册地址：上海市静安区天目西路128号19层1902室</w:t>
            </w:r>
          </w:p>
          <w:p w14:paraId="7A533FBA" w14:textId="77777777" w:rsidR="0046184B"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客户服务电话：956011</w:t>
            </w:r>
          </w:p>
          <w:p w14:paraId="66C0BD4D" w14:textId="77777777" w:rsidR="0046184B"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网址：www.huajinsc.cn</w:t>
            </w:r>
          </w:p>
        </w:tc>
      </w:tr>
      <w:tr w:rsidR="0046184B" w14:paraId="6B8C7E12" w14:textId="77777777">
        <w:trPr>
          <w:trHeight w:val="20"/>
        </w:trPr>
        <w:tc>
          <w:tcPr>
            <w:tcW w:w="811" w:type="dxa"/>
          </w:tcPr>
          <w:p w14:paraId="10A53610" w14:textId="77777777" w:rsidR="0046184B" w:rsidRDefault="00000000">
            <w:pPr>
              <w:jc w:val="center"/>
              <w:rPr>
                <w:rFonts w:ascii="宋体" w:hAnsi="宋体" w:hint="eastAsia"/>
                <w:color w:val="000000"/>
              </w:rPr>
            </w:pPr>
            <w:r>
              <w:rPr>
                <w:rFonts w:ascii="宋体" w:hAnsi="宋体" w:hint="eastAsia"/>
                <w:color w:val="000000"/>
              </w:rPr>
              <w:t>84</w:t>
            </w:r>
          </w:p>
        </w:tc>
        <w:tc>
          <w:tcPr>
            <w:tcW w:w="2580" w:type="dxa"/>
          </w:tcPr>
          <w:p w14:paraId="2D17AE73"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华</w:t>
            </w:r>
            <w:proofErr w:type="gramStart"/>
            <w:r>
              <w:rPr>
                <w:rFonts w:ascii="宋体" w:hAnsi="宋体" w:cs="Calibri" w:hint="eastAsia"/>
                <w:color w:val="000000"/>
                <w:szCs w:val="21"/>
              </w:rPr>
              <w:t>宝证券</w:t>
            </w:r>
            <w:proofErr w:type="gramEnd"/>
            <w:r>
              <w:rPr>
                <w:rFonts w:ascii="宋体" w:hAnsi="宋体" w:cs="Calibri" w:hint="eastAsia"/>
                <w:color w:val="000000"/>
                <w:szCs w:val="21"/>
              </w:rPr>
              <w:t>股份有限公司</w:t>
            </w:r>
          </w:p>
        </w:tc>
        <w:tc>
          <w:tcPr>
            <w:tcW w:w="5114" w:type="dxa"/>
          </w:tcPr>
          <w:p w14:paraId="008C32D2" w14:textId="77777777" w:rsidR="0046184B" w:rsidRDefault="00000000">
            <w:pPr>
              <w:snapToGrid w:val="0"/>
              <w:jc w:val="left"/>
              <w:rPr>
                <w:rFonts w:ascii="宋体" w:hAnsi="宋体" w:cs="Calibri" w:hint="eastAsia"/>
                <w:color w:val="000000"/>
                <w:szCs w:val="21"/>
              </w:rPr>
            </w:pPr>
            <w:r>
              <w:rPr>
                <w:rFonts w:ascii="宋体" w:hAnsi="宋体" w:cs="Calibri" w:hint="eastAsia"/>
                <w:color w:val="000000"/>
                <w:szCs w:val="21"/>
              </w:rPr>
              <w:t>注册地址：中国（上海）自由贸易试验区浦电路370号2、3、4层</w:t>
            </w:r>
          </w:p>
          <w:p w14:paraId="1D8648E1" w14:textId="77777777" w:rsidR="0046184B" w:rsidRDefault="00000000">
            <w:pPr>
              <w:snapToGrid w:val="0"/>
              <w:jc w:val="left"/>
              <w:rPr>
                <w:rFonts w:ascii="宋体" w:hAnsi="宋体" w:cs="Calibri" w:hint="eastAsia"/>
                <w:color w:val="000000"/>
                <w:szCs w:val="21"/>
              </w:rPr>
            </w:pPr>
            <w:r>
              <w:rPr>
                <w:rFonts w:ascii="宋体" w:hAnsi="宋体" w:cs="Calibri" w:hint="eastAsia"/>
                <w:color w:val="000000"/>
                <w:szCs w:val="21"/>
              </w:rPr>
              <w:t>客户服务电话：400-820-9898</w:t>
            </w:r>
          </w:p>
          <w:p w14:paraId="43A6A81F" w14:textId="77777777" w:rsidR="0046184B"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网址：www.cnhbstock.com</w:t>
            </w:r>
          </w:p>
        </w:tc>
      </w:tr>
      <w:tr w:rsidR="0046184B" w14:paraId="544EDC8E" w14:textId="77777777">
        <w:trPr>
          <w:trHeight w:val="20"/>
        </w:trPr>
        <w:tc>
          <w:tcPr>
            <w:tcW w:w="811" w:type="dxa"/>
          </w:tcPr>
          <w:p w14:paraId="07CD61BE" w14:textId="77777777" w:rsidR="0046184B" w:rsidRDefault="00000000">
            <w:pPr>
              <w:jc w:val="center"/>
              <w:rPr>
                <w:rFonts w:ascii="宋体" w:hAnsi="宋体" w:hint="eastAsia"/>
                <w:color w:val="000000"/>
              </w:rPr>
            </w:pPr>
            <w:r>
              <w:rPr>
                <w:rFonts w:ascii="宋体" w:hAnsi="宋体" w:hint="eastAsia"/>
                <w:color w:val="000000"/>
              </w:rPr>
              <w:t>85</w:t>
            </w:r>
          </w:p>
        </w:tc>
        <w:tc>
          <w:tcPr>
            <w:tcW w:w="2580" w:type="dxa"/>
          </w:tcPr>
          <w:p w14:paraId="6D2B6A65"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平安银行股份有限公司</w:t>
            </w:r>
          </w:p>
        </w:tc>
        <w:tc>
          <w:tcPr>
            <w:tcW w:w="5114" w:type="dxa"/>
          </w:tcPr>
          <w:p w14:paraId="359DA39F"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注册地址：深圳市罗湖区深南东路5047号</w:t>
            </w:r>
          </w:p>
          <w:p w14:paraId="7B9AD935"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客户服务电话：95511-3-8</w:t>
            </w:r>
          </w:p>
          <w:p w14:paraId="7E8BCD45" w14:textId="77777777" w:rsidR="0046184B" w:rsidRDefault="00000000">
            <w:pPr>
              <w:snapToGrid w:val="0"/>
              <w:jc w:val="left"/>
              <w:rPr>
                <w:rFonts w:ascii="宋体" w:hAnsi="宋体" w:cs="Calibri" w:hint="eastAsia"/>
                <w:color w:val="000000"/>
                <w:szCs w:val="21"/>
              </w:rPr>
            </w:pPr>
            <w:r>
              <w:rPr>
                <w:rFonts w:ascii="宋体" w:hAnsi="宋体" w:cs="Calibri" w:hint="eastAsia"/>
                <w:color w:val="000000"/>
                <w:szCs w:val="21"/>
              </w:rPr>
              <w:t>网址：bank.pingan.com</w:t>
            </w:r>
          </w:p>
        </w:tc>
      </w:tr>
      <w:tr w:rsidR="0046184B" w14:paraId="48E62B5E" w14:textId="77777777">
        <w:trPr>
          <w:trHeight w:val="20"/>
        </w:trPr>
        <w:tc>
          <w:tcPr>
            <w:tcW w:w="811" w:type="dxa"/>
          </w:tcPr>
          <w:p w14:paraId="7070239A" w14:textId="77777777" w:rsidR="0046184B" w:rsidRDefault="00000000">
            <w:pPr>
              <w:jc w:val="center"/>
              <w:rPr>
                <w:rFonts w:ascii="宋体" w:hAnsi="宋体" w:hint="eastAsia"/>
                <w:color w:val="000000"/>
              </w:rPr>
            </w:pPr>
            <w:r>
              <w:rPr>
                <w:rFonts w:ascii="宋体" w:hAnsi="宋体" w:hint="eastAsia"/>
                <w:color w:val="000000"/>
              </w:rPr>
              <w:t>86</w:t>
            </w:r>
          </w:p>
        </w:tc>
        <w:tc>
          <w:tcPr>
            <w:tcW w:w="2580" w:type="dxa"/>
          </w:tcPr>
          <w:p w14:paraId="1912B9F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江海证券有限公司</w:t>
            </w:r>
          </w:p>
        </w:tc>
        <w:tc>
          <w:tcPr>
            <w:tcW w:w="5114" w:type="dxa"/>
          </w:tcPr>
          <w:p w14:paraId="7E76003D" w14:textId="77777777" w:rsidR="0046184B"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注册地址：哈尔滨市香</w:t>
            </w:r>
            <w:proofErr w:type="gramStart"/>
            <w:r>
              <w:rPr>
                <w:rFonts w:ascii="宋体" w:hAnsi="宋体" w:cs="Calibri" w:hint="eastAsia"/>
                <w:color w:val="000000"/>
                <w:szCs w:val="21"/>
              </w:rPr>
              <w:t>坊区赣水路</w:t>
            </w:r>
            <w:proofErr w:type="gramEnd"/>
            <w:r>
              <w:rPr>
                <w:rFonts w:ascii="宋体" w:hAnsi="宋体" w:cs="Calibri" w:hint="eastAsia"/>
                <w:color w:val="000000"/>
                <w:szCs w:val="21"/>
              </w:rPr>
              <w:t>56号</w:t>
            </w:r>
          </w:p>
          <w:p w14:paraId="0FF4227E" w14:textId="77777777" w:rsidR="0046184B" w:rsidRDefault="00000000">
            <w:pPr>
              <w:widowControl/>
              <w:snapToGrid w:val="0"/>
              <w:jc w:val="left"/>
              <w:rPr>
                <w:rFonts w:ascii="宋体" w:hAnsi="宋体" w:cs="Calibri" w:hint="eastAsia"/>
                <w:color w:val="000000"/>
                <w:szCs w:val="21"/>
              </w:rPr>
            </w:pPr>
            <w:r>
              <w:rPr>
                <w:rFonts w:ascii="宋体" w:hAnsi="宋体" w:cs="Calibri" w:hint="eastAsia"/>
                <w:color w:val="000000"/>
                <w:szCs w:val="21"/>
              </w:rPr>
              <w:t>客户服务电话：956007</w:t>
            </w:r>
          </w:p>
          <w:p w14:paraId="23DBF8D8"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网址：www.jhzq.com.cn</w:t>
            </w:r>
          </w:p>
        </w:tc>
      </w:tr>
      <w:tr w:rsidR="0046184B" w14:paraId="11A603D1" w14:textId="77777777">
        <w:trPr>
          <w:trHeight w:val="20"/>
        </w:trPr>
        <w:tc>
          <w:tcPr>
            <w:tcW w:w="811" w:type="dxa"/>
          </w:tcPr>
          <w:p w14:paraId="411A9821" w14:textId="77777777" w:rsidR="0046184B" w:rsidRDefault="00000000">
            <w:pPr>
              <w:jc w:val="center"/>
              <w:rPr>
                <w:rFonts w:ascii="宋体" w:hAnsi="宋体" w:hint="eastAsia"/>
                <w:color w:val="000000"/>
              </w:rPr>
            </w:pPr>
            <w:r>
              <w:rPr>
                <w:rFonts w:ascii="宋体" w:hAnsi="宋体" w:hint="eastAsia"/>
                <w:color w:val="000000"/>
              </w:rPr>
              <w:t>87</w:t>
            </w:r>
          </w:p>
        </w:tc>
        <w:tc>
          <w:tcPr>
            <w:tcW w:w="2580" w:type="dxa"/>
          </w:tcPr>
          <w:p w14:paraId="344B01CE"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国金证券股份有限公司</w:t>
            </w:r>
          </w:p>
        </w:tc>
        <w:tc>
          <w:tcPr>
            <w:tcW w:w="5114" w:type="dxa"/>
          </w:tcPr>
          <w:p w14:paraId="3C91112E"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注册地址：四川省成都市青羊区东城根上街95号</w:t>
            </w:r>
          </w:p>
          <w:p w14:paraId="244CE748"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客户服务电话：95310</w:t>
            </w:r>
          </w:p>
          <w:p w14:paraId="35517944"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网址：www.gjzq.com.cn</w:t>
            </w:r>
          </w:p>
        </w:tc>
      </w:tr>
      <w:tr w:rsidR="0046184B" w14:paraId="337FB5A0" w14:textId="77777777">
        <w:trPr>
          <w:trHeight w:val="20"/>
        </w:trPr>
        <w:tc>
          <w:tcPr>
            <w:tcW w:w="811" w:type="dxa"/>
          </w:tcPr>
          <w:p w14:paraId="28ED21CC" w14:textId="77777777" w:rsidR="0046184B" w:rsidRDefault="00000000">
            <w:pPr>
              <w:jc w:val="center"/>
              <w:rPr>
                <w:rFonts w:ascii="宋体" w:hAnsi="宋体" w:hint="eastAsia"/>
                <w:color w:val="000000"/>
              </w:rPr>
            </w:pPr>
            <w:r>
              <w:rPr>
                <w:rFonts w:ascii="宋体" w:hAnsi="宋体" w:hint="eastAsia"/>
                <w:color w:val="000000"/>
              </w:rPr>
              <w:t>88</w:t>
            </w:r>
          </w:p>
        </w:tc>
        <w:tc>
          <w:tcPr>
            <w:tcW w:w="2580" w:type="dxa"/>
          </w:tcPr>
          <w:p w14:paraId="2C3663C8" w14:textId="77777777" w:rsidR="0046184B" w:rsidRDefault="00000000">
            <w:pPr>
              <w:snapToGrid w:val="0"/>
              <w:rPr>
                <w:rFonts w:ascii="宋体" w:hAnsi="宋体" w:cs="Calibri" w:hint="eastAsia"/>
                <w:color w:val="000000"/>
                <w:szCs w:val="21"/>
              </w:rPr>
            </w:pPr>
            <w:r>
              <w:rPr>
                <w:rFonts w:ascii="宋体" w:hAnsi="宋体" w:cs="Calibri" w:hint="eastAsia"/>
                <w:color w:val="000000"/>
                <w:szCs w:val="21"/>
              </w:rPr>
              <w:t>华西证券股份有限公司</w:t>
            </w:r>
          </w:p>
        </w:tc>
        <w:tc>
          <w:tcPr>
            <w:tcW w:w="5114" w:type="dxa"/>
          </w:tcPr>
          <w:p w14:paraId="3D9EACE0"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注册地址：四川省成都市武侯区高新区天府二街198号</w:t>
            </w:r>
          </w:p>
          <w:p w14:paraId="0B5AD037"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客户服务电话：95584</w:t>
            </w:r>
          </w:p>
          <w:p w14:paraId="35F2825B" w14:textId="77777777" w:rsidR="0046184B" w:rsidRDefault="00000000">
            <w:pPr>
              <w:widowControl/>
              <w:snapToGrid w:val="0"/>
              <w:rPr>
                <w:rFonts w:ascii="宋体" w:hAnsi="宋体" w:cs="Calibri" w:hint="eastAsia"/>
                <w:color w:val="000000"/>
                <w:szCs w:val="21"/>
              </w:rPr>
            </w:pPr>
            <w:r>
              <w:rPr>
                <w:rFonts w:ascii="宋体" w:hAnsi="宋体" w:cs="Calibri" w:hint="eastAsia"/>
                <w:color w:val="000000"/>
                <w:szCs w:val="21"/>
              </w:rPr>
              <w:t>网址：www.hx168.com.cn</w:t>
            </w:r>
          </w:p>
        </w:tc>
      </w:tr>
    </w:tbl>
    <w:p w14:paraId="4567896D" w14:textId="77777777" w:rsidR="0046184B" w:rsidRDefault="0046184B">
      <w:pPr>
        <w:tabs>
          <w:tab w:val="left" w:pos="540"/>
        </w:tabs>
        <w:adjustRightInd w:val="0"/>
        <w:snapToGrid w:val="0"/>
        <w:spacing w:line="360" w:lineRule="auto"/>
        <w:ind w:firstLineChars="200" w:firstLine="482"/>
        <w:rPr>
          <w:rFonts w:asciiTheme="minorEastAsia" w:hAnsiTheme="minorEastAsia" w:cs="Arial" w:hint="eastAsia"/>
          <w:b/>
          <w:bCs/>
          <w:sz w:val="24"/>
          <w:szCs w:val="24"/>
        </w:rPr>
      </w:pPr>
    </w:p>
    <w:p w14:paraId="300FED52" w14:textId="77777777" w:rsidR="0046184B" w:rsidRDefault="00000000">
      <w:pPr>
        <w:tabs>
          <w:tab w:val="left" w:pos="540"/>
        </w:tabs>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sz w:val="24"/>
          <w:szCs w:val="24"/>
        </w:rPr>
        <w:t>二、登记机构</w:t>
      </w:r>
    </w:p>
    <w:p w14:paraId="6E102AA5" w14:textId="77777777" w:rsidR="0046184B"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7D40DD32" w14:textId="77777777" w:rsidR="0046184B"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cs="Arial" w:hint="eastAsia"/>
          <w:sz w:val="24"/>
          <w:szCs w:val="24"/>
        </w:rPr>
        <w:t>广东省广州市南沙区横</w:t>
      </w:r>
      <w:proofErr w:type="gramStart"/>
      <w:r>
        <w:rPr>
          <w:rFonts w:asciiTheme="minorEastAsia" w:hAnsiTheme="minorEastAsia" w:cs="Arial" w:hint="eastAsia"/>
          <w:sz w:val="24"/>
          <w:szCs w:val="24"/>
        </w:rPr>
        <w:t>沥</w:t>
      </w:r>
      <w:proofErr w:type="gramEnd"/>
      <w:r>
        <w:rPr>
          <w:rFonts w:asciiTheme="minorEastAsia" w:hAnsiTheme="minorEastAsia" w:cs="Arial" w:hint="eastAsia"/>
          <w:sz w:val="24"/>
          <w:szCs w:val="24"/>
        </w:rPr>
        <w:t>镇汇通二街2号3110房</w:t>
      </w:r>
    </w:p>
    <w:p w14:paraId="3C72BEAD" w14:textId="77777777" w:rsidR="0046184B"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1909C1E6" w14:textId="77777777" w:rsidR="0046184B"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法定代表人：王亦伟</w:t>
      </w:r>
    </w:p>
    <w:p w14:paraId="2660603C" w14:textId="77777777" w:rsidR="0046184B"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联系人：黄文飞</w:t>
      </w:r>
    </w:p>
    <w:p w14:paraId="5A58A2CE" w14:textId="77777777" w:rsidR="0046184B" w:rsidRDefault="00000000">
      <w:pPr>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电话： 0755-84356604</w:t>
      </w:r>
    </w:p>
    <w:p w14:paraId="156A9DD8" w14:textId="77777777" w:rsidR="0046184B" w:rsidRDefault="00000000">
      <w:pPr>
        <w:adjustRightInd w:val="0"/>
        <w:snapToGrid w:val="0"/>
        <w:spacing w:line="360" w:lineRule="auto"/>
        <w:ind w:firstLineChars="200" w:firstLine="480"/>
        <w:rPr>
          <w:rFonts w:asciiTheme="minorEastAsia" w:hAnsiTheme="minorEastAsia" w:cs="Arial" w:hint="eastAsia"/>
          <w:color w:val="000000"/>
          <w:kern w:val="0"/>
          <w:sz w:val="24"/>
          <w:szCs w:val="24"/>
        </w:rPr>
      </w:pPr>
      <w:r>
        <w:rPr>
          <w:rFonts w:asciiTheme="minorEastAsia" w:hAnsiTheme="minorEastAsia" w:cs="Arial" w:hint="eastAsia"/>
          <w:color w:val="000000"/>
          <w:kern w:val="0"/>
          <w:sz w:val="24"/>
          <w:szCs w:val="24"/>
        </w:rPr>
        <w:t>传真： 0755-83230787</w:t>
      </w:r>
    </w:p>
    <w:p w14:paraId="36361540" w14:textId="77777777" w:rsidR="0046184B" w:rsidRDefault="00000000">
      <w:pPr>
        <w:tabs>
          <w:tab w:val="left" w:pos="54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53DA116A"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名称：上海市通力律师事务所</w:t>
      </w:r>
    </w:p>
    <w:p w14:paraId="6FDAEF30"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住所：上海市银城中路68号时代金融中心19楼</w:t>
      </w:r>
    </w:p>
    <w:p w14:paraId="3D1702EB"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办公地址：上海市银城中路68号时代金融中心19楼</w:t>
      </w:r>
    </w:p>
    <w:p w14:paraId="36D7BC3A"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负责人：俞卫锋</w:t>
      </w:r>
    </w:p>
    <w:p w14:paraId="0D5CC228"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电话：021-31358666</w:t>
      </w:r>
    </w:p>
    <w:p w14:paraId="3A913E24"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传真：021-31358600</w:t>
      </w:r>
    </w:p>
    <w:p w14:paraId="7109BB19"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lastRenderedPageBreak/>
        <w:t>经办律师：陆奇、安冬</w:t>
      </w:r>
    </w:p>
    <w:p w14:paraId="1D5BADFD"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 陆奇</w:t>
      </w:r>
    </w:p>
    <w:p w14:paraId="612E78C8" w14:textId="77777777" w:rsidR="0046184B" w:rsidRDefault="00000000">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4EDC817F"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名称：安永华明会计师事务所（特殊普通合伙）</w:t>
      </w:r>
    </w:p>
    <w:p w14:paraId="7C60D41A"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住所：中国北京市东城区东长安街1号东方广场安永大楼16层</w:t>
      </w:r>
    </w:p>
    <w:p w14:paraId="29B5EA06"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42DFB654"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1B629FAA"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31940CDB"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17BE0E12"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签字注册会计师：吴翠蓉  高鹤</w:t>
      </w:r>
    </w:p>
    <w:p w14:paraId="712E7A37" w14:textId="77777777" w:rsidR="0046184B" w:rsidRDefault="00000000">
      <w:pPr>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联系人：吴翠蓉</w:t>
      </w:r>
    </w:p>
    <w:p w14:paraId="09BA125D" w14:textId="77777777" w:rsidR="0046184B" w:rsidRDefault="0046184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46184B">
          <w:footerReference w:type="default" r:id="rId25"/>
          <w:pgSz w:w="11906" w:h="16838"/>
          <w:pgMar w:top="1440" w:right="1800" w:bottom="1440" w:left="1800" w:header="851" w:footer="992" w:gutter="0"/>
          <w:pgNumType w:chapStyle="1"/>
          <w:cols w:space="720"/>
          <w:docGrid w:type="lines" w:linePitch="312"/>
        </w:sectPr>
      </w:pPr>
      <w:bookmarkStart w:id="115" w:name="_Toc416264542"/>
      <w:bookmarkStart w:id="116" w:name="_Toc263092314"/>
      <w:bookmarkStart w:id="117" w:name="_Toc29251"/>
      <w:bookmarkStart w:id="118" w:name="_Toc3601"/>
      <w:bookmarkStart w:id="119" w:name="_Toc31653"/>
      <w:bookmarkStart w:id="120" w:name="_Toc26207"/>
      <w:bookmarkStart w:id="121" w:name="_Toc12245"/>
      <w:bookmarkStart w:id="122" w:name="_Toc139991737"/>
      <w:bookmarkStart w:id="123" w:name="_Toc141703887"/>
      <w:bookmarkStart w:id="124" w:name="_Toc31644"/>
      <w:bookmarkStart w:id="125" w:name="_Toc31235"/>
      <w:bookmarkStart w:id="126" w:name="_Toc98560353"/>
      <w:bookmarkStart w:id="127" w:name="_Toc6405"/>
      <w:bookmarkStart w:id="128" w:name="_Toc14835"/>
      <w:bookmarkStart w:id="129" w:name="_Toc16859"/>
      <w:bookmarkStart w:id="130" w:name="_Toc123102454"/>
      <w:bookmarkStart w:id="131" w:name="_Toc123051453"/>
      <w:bookmarkStart w:id="132" w:name="_Toc15143"/>
      <w:bookmarkStart w:id="133" w:name="_Toc352229753"/>
      <w:bookmarkStart w:id="134" w:name="_Toc123112235"/>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p>
    <w:p w14:paraId="54320F6F" w14:textId="77777777" w:rsidR="0046184B" w:rsidRDefault="00000000">
      <w:pPr>
        <w:pStyle w:val="1"/>
        <w:jc w:val="center"/>
        <w:rPr>
          <w:sz w:val="30"/>
          <w:szCs w:val="30"/>
        </w:rPr>
      </w:pPr>
      <w:bookmarkStart w:id="135" w:name="_Toc37770209"/>
      <w:r>
        <w:rPr>
          <w:rFonts w:hint="eastAsia"/>
          <w:sz w:val="30"/>
          <w:szCs w:val="30"/>
        </w:rPr>
        <w:lastRenderedPageBreak/>
        <w:t>第六部分</w:t>
      </w:r>
      <w:r>
        <w:rPr>
          <w:sz w:val="30"/>
          <w:szCs w:val="30"/>
        </w:rPr>
        <w:t xml:space="preserve">  </w:t>
      </w:r>
      <w:r>
        <w:rPr>
          <w:rFonts w:hint="eastAsia"/>
          <w:sz w:val="30"/>
          <w:szCs w:val="30"/>
        </w:rPr>
        <w:t>基金的募集</w:t>
      </w:r>
      <w:bookmarkEnd w:id="115"/>
      <w:bookmarkEnd w:id="116"/>
      <w:bookmarkEnd w:id="135"/>
    </w:p>
    <w:p w14:paraId="1F86EF8A" w14:textId="77777777" w:rsidR="0046184B" w:rsidRDefault="00000000">
      <w:pPr>
        <w:autoSpaceDE w:val="0"/>
        <w:autoSpaceDN w:val="0"/>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按照《基金法》、《运作办法》、《销售办法》、基金合同及其他有关规定募集本基金，并于2017年6月16日经中国证监会证监许可[2017]931号文准予注册募集。本基金于2017年12月15日起通过各销售机构向社会公开募集，截至2018年3月13日，基金募集工作已顺利结束。</w:t>
      </w:r>
    </w:p>
    <w:p w14:paraId="1535A30E" w14:textId="77777777" w:rsidR="0046184B" w:rsidRDefault="0046184B">
      <w:pPr>
        <w:keepNext/>
        <w:keepLines/>
        <w:spacing w:line="360" w:lineRule="auto"/>
        <w:jc w:val="center"/>
        <w:outlineLvl w:val="0"/>
        <w:rPr>
          <w:rFonts w:ascii="Times New Roman" w:eastAsia="宋体" w:hAnsi="Times New Roman" w:cs="Times New Roman"/>
          <w:b/>
          <w:kern w:val="0"/>
          <w:sz w:val="30"/>
          <w:szCs w:val="30"/>
        </w:rPr>
        <w:sectPr w:rsidR="0046184B">
          <w:footerReference w:type="default" r:id="rId26"/>
          <w:pgSz w:w="11906" w:h="16838"/>
          <w:pgMar w:top="1440" w:right="1800" w:bottom="1440" w:left="1800" w:header="851" w:footer="992" w:gutter="0"/>
          <w:pgNumType w:chapStyle="1"/>
          <w:cols w:space="720"/>
          <w:docGrid w:type="lines" w:linePitch="312"/>
        </w:sectPr>
      </w:pPr>
      <w:bookmarkStart w:id="136" w:name="_Toc263092315"/>
      <w:bookmarkStart w:id="137" w:name="_Toc214873596"/>
      <w:bookmarkStart w:id="138" w:name="_Toc416264543"/>
      <w:bookmarkStart w:id="139" w:name="_Toc20768"/>
      <w:bookmarkStart w:id="140" w:name="_Toc7058"/>
      <w:bookmarkStart w:id="141" w:name="_Toc9706"/>
      <w:bookmarkStart w:id="142" w:name="_Toc98560354"/>
      <w:bookmarkStart w:id="143" w:name="_Toc139991738"/>
      <w:bookmarkStart w:id="144" w:name="_Toc123051454"/>
      <w:bookmarkStart w:id="145" w:name="_Toc11030"/>
      <w:bookmarkStart w:id="146" w:name="_Toc6447"/>
      <w:bookmarkStart w:id="147" w:name="_Toc18567"/>
      <w:bookmarkStart w:id="148" w:name="_Toc123112236"/>
      <w:bookmarkStart w:id="149" w:name="_Toc79392583"/>
      <w:bookmarkStart w:id="150" w:name="_Toc10650"/>
      <w:bookmarkStart w:id="151" w:name="_Toc141703888"/>
      <w:bookmarkStart w:id="152" w:name="_Toc4559"/>
      <w:bookmarkStart w:id="153" w:name="_Toc25783"/>
      <w:bookmarkStart w:id="154" w:name="_Toc352229754"/>
      <w:bookmarkStart w:id="155" w:name="_Toc3321"/>
      <w:bookmarkStart w:id="156" w:name="_Toc123102455"/>
      <w:bookmarkStart w:id="157" w:name="_Toc3771"/>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p>
    <w:p w14:paraId="4775856B" w14:textId="77777777" w:rsidR="0046184B" w:rsidRDefault="00000000">
      <w:pPr>
        <w:pStyle w:val="1"/>
        <w:jc w:val="center"/>
        <w:rPr>
          <w:sz w:val="30"/>
          <w:szCs w:val="30"/>
        </w:rPr>
      </w:pPr>
      <w:bookmarkStart w:id="158" w:name="_Toc37770210"/>
      <w:r>
        <w:rPr>
          <w:rFonts w:hint="eastAsia"/>
          <w:sz w:val="30"/>
          <w:szCs w:val="30"/>
        </w:rPr>
        <w:lastRenderedPageBreak/>
        <w:t>第七部分</w:t>
      </w:r>
      <w:r>
        <w:rPr>
          <w:sz w:val="30"/>
          <w:szCs w:val="30"/>
        </w:rPr>
        <w:t xml:space="preserve">  </w:t>
      </w:r>
      <w:r>
        <w:rPr>
          <w:rFonts w:hint="eastAsia"/>
          <w:sz w:val="30"/>
          <w:szCs w:val="30"/>
        </w:rPr>
        <w:t>基金</w:t>
      </w:r>
      <w:bookmarkEnd w:id="136"/>
      <w:bookmarkEnd w:id="137"/>
      <w:r>
        <w:rPr>
          <w:rFonts w:hint="eastAsia"/>
          <w:sz w:val="30"/>
          <w:szCs w:val="30"/>
        </w:rPr>
        <w:t>合同的生效</w:t>
      </w:r>
      <w:bookmarkEnd w:id="138"/>
      <w:bookmarkEnd w:id="158"/>
    </w:p>
    <w:p w14:paraId="028C4420" w14:textId="77777777" w:rsidR="0046184B" w:rsidRDefault="00000000">
      <w:pPr>
        <w:adjustRightInd w:val="0"/>
        <w:snapToGrid w:val="0"/>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2018年3月16日向中国证监会办理完毕基金备案手续并已获书面确认，基金合同自该日期正式生效。自基金合同生效之日起，本基金管理人正式开始管理本基金。</w:t>
      </w:r>
    </w:p>
    <w:p w14:paraId="5A1E2277" w14:textId="77777777" w:rsidR="0046184B" w:rsidRDefault="00000000">
      <w:pPr>
        <w:adjustRightInd w:val="0"/>
        <w:snapToGrid w:val="0"/>
        <w:spacing w:line="360" w:lineRule="auto"/>
        <w:ind w:firstLineChars="200" w:firstLine="480"/>
        <w:jc w:val="left"/>
        <w:rPr>
          <w:rFonts w:asciiTheme="minorEastAsia" w:hAnsiTheme="minorEastAsia" w:cs="Times New Roman" w:hint="eastAsia"/>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当10个工作日内向中国证监会报告并提出解决方案，如持续运作、转换运作方式、与其他基金合并或者终止基金合同等，并6个月内召开基金份额持有人大会。</w:t>
      </w:r>
    </w:p>
    <w:p w14:paraId="700929F4" w14:textId="77777777" w:rsidR="0046184B" w:rsidRDefault="00000000">
      <w:pPr>
        <w:widowControl/>
        <w:spacing w:line="360" w:lineRule="auto"/>
        <w:ind w:firstLineChars="200" w:firstLine="480"/>
        <w:jc w:val="left"/>
        <w:rPr>
          <w:rFonts w:ascii="Arial" w:eastAsia="宋体" w:hAnsi="Arial" w:cs="Times New Roman"/>
          <w:szCs w:val="20"/>
        </w:rPr>
        <w:sectPr w:rsidR="0046184B">
          <w:footerReference w:type="default" r:id="rId27"/>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法律法规另有规定时，从其规定。 </w:t>
      </w:r>
      <w:bookmarkStart w:id="159" w:name="_Toc12357171"/>
      <w:bookmarkStart w:id="160" w:name="_Toc147463118"/>
      <w:bookmarkStart w:id="161" w:name="_Toc416264544"/>
      <w:bookmarkStart w:id="162" w:name="_Toc214873597"/>
      <w:bookmarkStart w:id="163" w:name="_Toc263092316"/>
      <w:bookmarkStart w:id="164" w:name="_Toc21073391"/>
      <w:bookmarkStart w:id="165" w:name="_Toc31821"/>
      <w:bookmarkStart w:id="166" w:name="_Toc10398"/>
      <w:bookmarkStart w:id="167" w:name="_Toc3963"/>
      <w:bookmarkStart w:id="168" w:name="_Toc21735"/>
      <w:bookmarkStart w:id="169" w:name="_Toc3080"/>
      <w:bookmarkStart w:id="170" w:name="_Toc1745"/>
      <w:bookmarkStart w:id="171" w:name="_Toc141703889"/>
      <w:bookmarkStart w:id="172" w:name="_Toc18206"/>
      <w:bookmarkStart w:id="173" w:name="_Toc123051455"/>
      <w:bookmarkStart w:id="174" w:name="_Toc16164"/>
      <w:bookmarkStart w:id="175" w:name="_Toc352229755"/>
      <w:bookmarkStart w:id="176" w:name="_Toc123102456"/>
      <w:bookmarkStart w:id="177" w:name="_Toc98560355"/>
      <w:bookmarkStart w:id="178" w:name="_Toc139991739"/>
      <w:bookmarkStart w:id="179" w:name="_Toc3572"/>
      <w:bookmarkStart w:id="180" w:name="_Toc123112237"/>
      <w:bookmarkStart w:id="181" w:name="_Toc18769"/>
      <w:bookmarkStart w:id="182" w:name="_Toc725"/>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14:paraId="7A5A8517" w14:textId="77777777" w:rsidR="0046184B" w:rsidRDefault="00000000">
      <w:pPr>
        <w:pStyle w:val="1"/>
        <w:jc w:val="center"/>
        <w:rPr>
          <w:rFonts w:ascii="Arial" w:hAnsi="Arial" w:cs="Arial"/>
          <w:bCs/>
          <w:sz w:val="30"/>
          <w:szCs w:val="30"/>
        </w:rPr>
      </w:pPr>
      <w:bookmarkStart w:id="183" w:name="_Toc37770211"/>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59"/>
      <w:bookmarkEnd w:id="160"/>
      <w:bookmarkEnd w:id="161"/>
      <w:bookmarkEnd w:id="162"/>
      <w:bookmarkEnd w:id="163"/>
      <w:bookmarkEnd w:id="164"/>
      <w:bookmarkEnd w:id="183"/>
    </w:p>
    <w:p w14:paraId="7DB0C9C6" w14:textId="77777777" w:rsidR="0046184B" w:rsidRDefault="00000000">
      <w:pPr>
        <w:adjustRightInd w:val="0"/>
        <w:snapToGrid w:val="0"/>
        <w:spacing w:line="360" w:lineRule="auto"/>
        <w:ind w:firstLineChars="200" w:firstLine="482"/>
        <w:rPr>
          <w:rFonts w:asciiTheme="minorEastAsia" w:hAnsiTheme="minorEastAsia" w:cs="Arial" w:hint="eastAsia"/>
          <w:b/>
          <w:bCs/>
          <w:kern w:val="0"/>
          <w:sz w:val="24"/>
          <w:szCs w:val="24"/>
        </w:rPr>
      </w:pPr>
      <w:r>
        <w:rPr>
          <w:rFonts w:asciiTheme="minorEastAsia" w:hAnsiTheme="minorEastAsia" w:cs="Arial" w:hint="eastAsia"/>
          <w:b/>
          <w:bCs/>
          <w:kern w:val="0"/>
          <w:sz w:val="24"/>
          <w:szCs w:val="24"/>
        </w:rPr>
        <w:t>一、申购和赎回场所</w:t>
      </w:r>
    </w:p>
    <w:p w14:paraId="0239AC0A" w14:textId="77777777" w:rsidR="0046184B"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本基金的申购与赎回将通过销售机构进行。具体的销售网点将由基金管理人在相关公告中列明。基金管理人可根据情况变更或增减销售机构，</w:t>
      </w:r>
      <w:r>
        <w:rPr>
          <w:rFonts w:hint="eastAsia"/>
          <w:bCs/>
          <w:kern w:val="0"/>
          <w:sz w:val="24"/>
        </w:rPr>
        <w:t>并在管理人网站公示</w:t>
      </w:r>
      <w:r>
        <w:rPr>
          <w:rFonts w:asciiTheme="minorEastAsia" w:hAnsiTheme="minorEastAsia" w:cs="Times New Roman" w:hint="eastAsia"/>
          <w:bCs/>
          <w:sz w:val="24"/>
          <w:szCs w:val="24"/>
        </w:rPr>
        <w:t>。基金投资者应当在销售机构办理基金销售业务的营业场所或按销售机构提供的其他方式办理基金份额的申购与赎回。</w:t>
      </w:r>
    </w:p>
    <w:p w14:paraId="7989BFE4" w14:textId="77777777" w:rsidR="0046184B" w:rsidRDefault="00000000">
      <w:pPr>
        <w:spacing w:line="360" w:lineRule="auto"/>
        <w:ind w:firstLineChars="200" w:firstLine="480"/>
        <w:rPr>
          <w:rFonts w:asciiTheme="minorEastAsia" w:hAnsiTheme="minorEastAsia" w:cs="Times New Roman" w:hint="eastAsia"/>
          <w:bCs/>
          <w:sz w:val="24"/>
          <w:szCs w:val="24"/>
        </w:rPr>
      </w:pPr>
      <w:proofErr w:type="gramStart"/>
      <w:r>
        <w:rPr>
          <w:rFonts w:asciiTheme="minorEastAsia" w:hAnsiTheme="minorEastAsia" w:cs="Times New Roman" w:hint="eastAsia"/>
          <w:bCs/>
          <w:sz w:val="24"/>
          <w:szCs w:val="24"/>
        </w:rPr>
        <w:t>若基金</w:t>
      </w:r>
      <w:proofErr w:type="gramEnd"/>
      <w:r>
        <w:rPr>
          <w:rFonts w:asciiTheme="minorEastAsia" w:hAnsiTheme="minorEastAsia" w:cs="Times New Roman" w:hint="eastAsia"/>
          <w:bCs/>
          <w:sz w:val="24"/>
          <w:szCs w:val="24"/>
        </w:rPr>
        <w:t>管理人或其指定的销售机构开通电话、传真或网上等交易方式，投资人可以通过上述方式进行申购与赎回，具体办法由基金管理人或其指定的销售机构另行公告。</w:t>
      </w:r>
    </w:p>
    <w:p w14:paraId="349379E1" w14:textId="77777777" w:rsidR="0046184B"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二、申购和赎回的开放日及时间</w:t>
      </w:r>
    </w:p>
    <w:p w14:paraId="18B77473"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bookmarkStart w:id="184" w:name="_Toc510842719"/>
      <w:r>
        <w:rPr>
          <w:rFonts w:asciiTheme="minorEastAsia" w:hAnsiTheme="minorEastAsia" w:cs="Arial" w:hint="eastAsia"/>
          <w:sz w:val="24"/>
          <w:szCs w:val="24"/>
        </w:rPr>
        <w:t>1、开放日及开放时间</w:t>
      </w:r>
    </w:p>
    <w:p w14:paraId="50FB0CBC"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A246189"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指定媒介上公告。</w:t>
      </w:r>
    </w:p>
    <w:p w14:paraId="70BEAB6B"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2、申购、赎回开始日及业务办理时间</w:t>
      </w:r>
    </w:p>
    <w:p w14:paraId="5DC3223A"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本基金已于2018年3月20日开始办理申购、赎回业务。</w:t>
      </w:r>
    </w:p>
    <w:p w14:paraId="2204FCBD"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机构确认接受的，其基金份额申购、赎回价格为下一开放日该类别基金份额申购、赎回的价格。</w:t>
      </w:r>
    </w:p>
    <w:bookmarkEnd w:id="184"/>
    <w:p w14:paraId="3460A731" w14:textId="77777777" w:rsidR="0046184B" w:rsidRDefault="00000000">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三、申购与赎回的原则</w:t>
      </w:r>
    </w:p>
    <w:p w14:paraId="7AFAD60B"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、“未知价”原则，即申购、赎回价格以申请当日收市后计算的某一类别基金份额净值为基准进行计算；</w:t>
      </w:r>
    </w:p>
    <w:p w14:paraId="03F25CA2"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、“金额申购、份额赎回”原则，即申购以金额申请，赎回以份额申请；</w:t>
      </w:r>
    </w:p>
    <w:p w14:paraId="03D8776A"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、当日的申购与赎回申请可以在基金管理人规定的时间以内撤销；</w:t>
      </w:r>
    </w:p>
    <w:p w14:paraId="2269D8B4"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、赎回遵循“先进先出”原则，即按照投资人认购、申购的先后次序进行</w:t>
      </w:r>
      <w:r>
        <w:rPr>
          <w:rFonts w:asciiTheme="minorEastAsia" w:hAnsiTheme="minorEastAsia" w:cs="Arial" w:hint="eastAsia"/>
          <w:sz w:val="24"/>
          <w:szCs w:val="24"/>
        </w:rPr>
        <w:lastRenderedPageBreak/>
        <w:t>顺序赎回；</w:t>
      </w:r>
    </w:p>
    <w:p w14:paraId="51AB37E6"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5、投资者办理申购、赎回等业务时应提交的文件和办理手续、办理时间、处理规则等在遵守基金合同和招募说明书规定的前提下，以各销售机构的具体规定为准。</w:t>
      </w:r>
    </w:p>
    <w:p w14:paraId="308C4979"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基金管理人可在法律法规允许的情况下，对上述原则进行调整。基金管理人必须在新规则开始实施前依照《信息披露办法》的有关规定在指定媒介上公告。</w:t>
      </w:r>
    </w:p>
    <w:p w14:paraId="10EB7569" w14:textId="77777777" w:rsidR="0046184B"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四、申购与赎回的程序</w:t>
      </w:r>
    </w:p>
    <w:p w14:paraId="3403F771"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、申购和赎回的申请方式</w:t>
      </w:r>
    </w:p>
    <w:p w14:paraId="173869AB"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6A3A80C3"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、申购和赎回的款项支付</w:t>
      </w:r>
    </w:p>
    <w:p w14:paraId="616AA928"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投资人申购基金份额时，必须全额交付申购款项，投资人在规定时间前全额交付申购款项，申购成立；登记机构确认基金份额时，申购生效。</w:t>
      </w:r>
    </w:p>
    <w:p w14:paraId="53E84816"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基金份额持有人递交赎回申请，赎回成立；登记机构确认赎回时，赎回生效。投资人赎回申请成功后，基金管理人将在</w:t>
      </w:r>
      <w:r>
        <w:rPr>
          <w:rFonts w:asciiTheme="minorEastAsia" w:hAnsiTheme="minorEastAsia" w:cs="Arial"/>
          <w:sz w:val="24"/>
          <w:szCs w:val="24"/>
        </w:rPr>
        <w:t>T</w:t>
      </w:r>
      <w:r>
        <w:rPr>
          <w:rFonts w:asciiTheme="minorEastAsia" w:hAnsiTheme="minorEastAsia" w:cs="Arial" w:hint="eastAsia"/>
          <w:sz w:val="24"/>
          <w:szCs w:val="24"/>
        </w:rPr>
        <w:t>＋</w:t>
      </w:r>
      <w:r>
        <w:rPr>
          <w:rFonts w:asciiTheme="minorEastAsia" w:hAnsiTheme="minorEastAsia" w:cs="Arial"/>
          <w:sz w:val="24"/>
          <w:szCs w:val="24"/>
        </w:rPr>
        <w:t>7</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内支付赎回款项。在发生巨额赎回时，款项的支付办法参照基金合同有关条款处理。</w:t>
      </w:r>
    </w:p>
    <w:p w14:paraId="112244B1"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、申购和赎回申请的确认</w:t>
      </w:r>
    </w:p>
    <w:p w14:paraId="6AB205D4"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基金管理人应以交易时间结束前受理有效申购和赎回申请的当天作为申购或赎回申请日</w:t>
      </w:r>
      <w:r>
        <w:rPr>
          <w:rFonts w:asciiTheme="minorEastAsia" w:hAnsiTheme="minorEastAsia" w:cs="Arial"/>
          <w:sz w:val="24"/>
          <w:szCs w:val="24"/>
        </w:rPr>
        <w:t>(T</w:t>
      </w:r>
      <w:r>
        <w:rPr>
          <w:rFonts w:asciiTheme="minorEastAsia" w:hAnsiTheme="minorEastAsia" w:cs="Arial" w:hint="eastAsia"/>
          <w:sz w:val="24"/>
          <w:szCs w:val="24"/>
        </w:rPr>
        <w:t>日</w:t>
      </w:r>
      <w:r>
        <w:rPr>
          <w:rFonts w:asciiTheme="minorEastAsia" w:hAnsiTheme="minorEastAsia" w:cs="Arial"/>
          <w:sz w:val="24"/>
          <w:szCs w:val="24"/>
        </w:rPr>
        <w:t>)</w:t>
      </w:r>
      <w:r>
        <w:rPr>
          <w:rFonts w:asciiTheme="minorEastAsia" w:hAnsiTheme="minorEastAsia" w:cs="Arial" w:hint="eastAsia"/>
          <w:sz w:val="24"/>
          <w:szCs w:val="24"/>
        </w:rPr>
        <w:t>，在正常情况下，本基金登记机构在</w:t>
      </w:r>
      <w:r>
        <w:rPr>
          <w:rFonts w:asciiTheme="minorEastAsia" w:hAnsiTheme="minorEastAsia" w:cs="Arial"/>
          <w:sz w:val="24"/>
          <w:szCs w:val="24"/>
        </w:rPr>
        <w:t>T+1</w:t>
      </w:r>
      <w:r>
        <w:rPr>
          <w:rFonts w:asciiTheme="minorEastAsia" w:hAnsiTheme="minorEastAsia" w:cs="Arial" w:hint="eastAsia"/>
          <w:sz w:val="24"/>
          <w:szCs w:val="24"/>
        </w:rPr>
        <w:t>日内对该交易的有效性进行确认。</w:t>
      </w:r>
      <w:r>
        <w:rPr>
          <w:rFonts w:asciiTheme="minorEastAsia" w:hAnsiTheme="minorEastAsia" w:cs="Arial"/>
          <w:sz w:val="24"/>
          <w:szCs w:val="24"/>
        </w:rPr>
        <w:t>T</w:t>
      </w:r>
      <w:r>
        <w:rPr>
          <w:rFonts w:asciiTheme="minorEastAsia" w:hAnsiTheme="minorEastAsia" w:cs="Arial" w:hint="eastAsia"/>
          <w:sz w:val="24"/>
          <w:szCs w:val="24"/>
        </w:rPr>
        <w:t>日提交的有效申请，投资人应在</w:t>
      </w:r>
      <w:r>
        <w:rPr>
          <w:rFonts w:asciiTheme="minorEastAsia" w:hAnsiTheme="minorEastAsia" w:cs="Arial"/>
          <w:sz w:val="24"/>
          <w:szCs w:val="24"/>
        </w:rPr>
        <w:t>T+2</w:t>
      </w:r>
      <w:r>
        <w:rPr>
          <w:rFonts w:asciiTheme="minorEastAsia" w:hAnsiTheme="minorEastAsia" w:cs="Arial" w:hint="eastAsia"/>
          <w:sz w:val="24"/>
          <w:szCs w:val="24"/>
        </w:rPr>
        <w:t>日后</w:t>
      </w:r>
      <w:r>
        <w:rPr>
          <w:rFonts w:asciiTheme="minorEastAsia" w:hAnsiTheme="minorEastAsia" w:cs="Arial"/>
          <w:sz w:val="24"/>
          <w:szCs w:val="24"/>
        </w:rPr>
        <w:t>(</w:t>
      </w:r>
      <w:r>
        <w:rPr>
          <w:rFonts w:asciiTheme="minorEastAsia" w:hAnsiTheme="minorEastAsia" w:cs="Arial" w:hint="eastAsia"/>
          <w:sz w:val="24"/>
          <w:szCs w:val="24"/>
        </w:rPr>
        <w:t>包括该日</w:t>
      </w:r>
      <w:r>
        <w:rPr>
          <w:rFonts w:asciiTheme="minorEastAsia" w:hAnsiTheme="minorEastAsia" w:cs="Arial"/>
          <w:sz w:val="24"/>
          <w:szCs w:val="24"/>
        </w:rPr>
        <w:t>)</w:t>
      </w:r>
      <w:r>
        <w:rPr>
          <w:rFonts w:asciiTheme="minorEastAsia" w:hAnsiTheme="minorEastAsia" w:cs="Arial" w:hint="eastAsia"/>
          <w:sz w:val="24"/>
          <w:szCs w:val="24"/>
        </w:rPr>
        <w:t>及时到销售网点柜台或以销售机构规定的其他方式查询申请的确认情况。若申购不成功，则申购款项退还给投资人。</w:t>
      </w:r>
    </w:p>
    <w:p w14:paraId="4A967373"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基金销售机构对申购、赎回申请的受理并不代表申请一定成功，而仅代表销售机构确实接收到申请。申购、赎回申请的确认以登记机构的确认结果为准。对于申请的确认情况，投资者应及时查询。</w:t>
      </w:r>
    </w:p>
    <w:p w14:paraId="08D7F007"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基金管理人可以在法律法规和基金合同允许的范围内，对上述业务办理时间进行调整，并在调整实施前依照《信息披露办法》的有关规定在指定媒介上公告。</w:t>
      </w:r>
    </w:p>
    <w:p w14:paraId="5F1FE993" w14:textId="77777777" w:rsidR="0046184B" w:rsidRDefault="00000000">
      <w:pPr>
        <w:tabs>
          <w:tab w:val="left" w:pos="1110"/>
        </w:tabs>
        <w:adjustRightInd w:val="0"/>
        <w:snapToGrid w:val="0"/>
        <w:spacing w:line="360" w:lineRule="auto"/>
        <w:ind w:firstLineChars="200" w:firstLine="482"/>
        <w:rPr>
          <w:rFonts w:asciiTheme="minorEastAsia" w:hAnsiTheme="minorEastAsia" w:cs="Arial" w:hint="eastAsia"/>
          <w:sz w:val="24"/>
          <w:szCs w:val="24"/>
        </w:rPr>
      </w:pPr>
      <w:r>
        <w:rPr>
          <w:rFonts w:asciiTheme="minorEastAsia" w:hAnsiTheme="minorEastAsia" w:cs="Arial" w:hint="eastAsia"/>
          <w:b/>
          <w:bCs/>
          <w:sz w:val="24"/>
          <w:szCs w:val="24"/>
        </w:rPr>
        <w:t>五、申购与赎回的数额限制</w:t>
      </w:r>
    </w:p>
    <w:p w14:paraId="66508C9C"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w:t>
      </w:r>
      <w:r>
        <w:rPr>
          <w:rFonts w:asciiTheme="minorEastAsia" w:hAnsiTheme="minorEastAsia" w:cs="Arial" w:hint="eastAsia"/>
          <w:sz w:val="24"/>
          <w:szCs w:val="24"/>
        </w:rPr>
        <w:lastRenderedPageBreak/>
        <w:t>购金额为人民币</w:t>
      </w:r>
      <w:r>
        <w:rPr>
          <w:rFonts w:asciiTheme="minorEastAsia" w:hAnsiTheme="minorEastAsia" w:cs="Arial"/>
          <w:sz w:val="24"/>
          <w:szCs w:val="24"/>
        </w:rPr>
        <w:t>1.00</w:t>
      </w:r>
      <w:r>
        <w:rPr>
          <w:rFonts w:asciiTheme="minorEastAsia" w:hAnsiTheme="minorEastAsia" w:cs="Arial" w:hint="eastAsia"/>
          <w:sz w:val="24"/>
          <w:szCs w:val="24"/>
        </w:rPr>
        <w:t xml:space="preserve">元，追加申购单笔最低金额为人民币 </w:t>
      </w:r>
      <w:r>
        <w:rPr>
          <w:rFonts w:asciiTheme="minorEastAsia" w:hAnsiTheme="minorEastAsia" w:cs="Arial"/>
          <w:sz w:val="24"/>
          <w:szCs w:val="24"/>
        </w:rPr>
        <w:t>1.00</w:t>
      </w:r>
      <w:r>
        <w:rPr>
          <w:rFonts w:asciiTheme="minorEastAsia" w:hAnsiTheme="minorEastAsia" w:cs="Arial" w:hint="eastAsia"/>
          <w:sz w:val="24"/>
          <w:szCs w:val="24"/>
        </w:rPr>
        <w:t>元。各销售机构在不低于上述规定的前提下，可根据自己的情况调整首次最低申购金额和追加单笔最低申购金额限制，具体以销售机构公布的为准。</w:t>
      </w:r>
    </w:p>
    <w:p w14:paraId="3B2F1F34"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19CCE243"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3、基金管理人可以规定单个投资者累计持有的某一类别基金份额数量限制，具体规定见定期更新的招募说明书或相关公告。</w:t>
      </w:r>
    </w:p>
    <w:p w14:paraId="6410EC0B" w14:textId="77777777" w:rsidR="0046184B" w:rsidRDefault="00000000">
      <w:pPr>
        <w:spacing w:line="360" w:lineRule="auto"/>
        <w:ind w:firstLineChars="200" w:firstLine="480"/>
        <w:rPr>
          <w:bCs/>
          <w:sz w:val="24"/>
          <w:szCs w:val="24"/>
        </w:rPr>
      </w:pPr>
      <w:r>
        <w:rPr>
          <w:bCs/>
          <w:sz w:val="24"/>
          <w:szCs w:val="24"/>
        </w:rPr>
        <w:t>4</w:t>
      </w:r>
      <w:r>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783C5BAD" w14:textId="77777777" w:rsidR="0046184B" w:rsidRDefault="00000000">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w:t>
      </w:r>
    </w:p>
    <w:p w14:paraId="3E95FB73" w14:textId="77777777" w:rsidR="0046184B" w:rsidRDefault="00000000">
      <w:pPr>
        <w:tabs>
          <w:tab w:val="left" w:pos="1110"/>
          <w:tab w:val="left" w:pos="630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六、申购费用、赎回费用</w:t>
      </w:r>
    </w:p>
    <w:p w14:paraId="1ADC5182"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112F9CD4" w14:textId="77777777" w:rsidR="0046184B" w:rsidRDefault="00000000">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p w14:paraId="6AA0381F" w14:textId="77777777" w:rsidR="0046184B" w:rsidRDefault="0046184B">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46184B" w14:paraId="54949928"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1F95E590" w14:textId="77777777" w:rsidR="0046184B" w:rsidRDefault="00000000">
            <w:pPr>
              <w:widowControl/>
              <w:spacing w:line="264" w:lineRule="auto"/>
              <w:jc w:val="center"/>
              <w:rPr>
                <w:rFonts w:asciiTheme="minorEastAsia" w:hAnsiTheme="minorEastAsia" w:cs="Arial" w:hint="eastAsia"/>
                <w:bCs/>
                <w:kern w:val="0"/>
                <w:sz w:val="24"/>
                <w:szCs w:val="24"/>
              </w:rPr>
            </w:pPr>
            <w:r>
              <w:rPr>
                <w:rFonts w:asciiTheme="minorEastAsia" w:hAnsiTheme="minorEastAsia" w:cs="Arial" w:hint="eastAsia"/>
                <w:b/>
                <w:bCs/>
                <w:kern w:val="0"/>
                <w:sz w:val="24"/>
                <w:szCs w:val="24"/>
              </w:rPr>
              <w:t>A类基金份额</w:t>
            </w:r>
          </w:p>
        </w:tc>
      </w:tr>
      <w:tr w:rsidR="0046184B" w14:paraId="12B6BF25"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3C4772F"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031D363F"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申购费率</w:t>
            </w:r>
          </w:p>
        </w:tc>
      </w:tr>
      <w:tr w:rsidR="0046184B" w14:paraId="7FDFAEFE"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07CFA106" w14:textId="77777777" w:rsidR="0046184B"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14:paraId="43611E99" w14:textId="77777777" w:rsidR="0046184B"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1.50%</w:t>
            </w:r>
          </w:p>
        </w:tc>
      </w:tr>
      <w:tr w:rsidR="0046184B" w14:paraId="5A5172D6"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493731" w14:textId="77777777" w:rsidR="0046184B"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100万元≤M＜500万元</w:t>
            </w:r>
          </w:p>
        </w:tc>
        <w:tc>
          <w:tcPr>
            <w:tcW w:w="4430" w:type="dxa"/>
            <w:tcBorders>
              <w:top w:val="single" w:sz="4" w:space="0" w:color="auto"/>
              <w:left w:val="single" w:sz="4" w:space="0" w:color="auto"/>
              <w:bottom w:val="single" w:sz="4" w:space="0" w:color="auto"/>
              <w:right w:val="single" w:sz="4" w:space="0" w:color="auto"/>
            </w:tcBorders>
          </w:tcPr>
          <w:p w14:paraId="6AD72273" w14:textId="77777777" w:rsidR="0046184B"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w:t>
            </w:r>
          </w:p>
        </w:tc>
      </w:tr>
      <w:tr w:rsidR="0046184B" w14:paraId="0A90263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01AF6CAA" w14:textId="77777777" w:rsidR="0046184B"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500万元≤M＜1000万元</w:t>
            </w:r>
          </w:p>
        </w:tc>
        <w:tc>
          <w:tcPr>
            <w:tcW w:w="4430" w:type="dxa"/>
            <w:tcBorders>
              <w:top w:val="single" w:sz="4" w:space="0" w:color="auto"/>
              <w:left w:val="single" w:sz="4" w:space="0" w:color="auto"/>
              <w:bottom w:val="single" w:sz="4" w:space="0" w:color="auto"/>
              <w:right w:val="single" w:sz="4" w:space="0" w:color="auto"/>
            </w:tcBorders>
          </w:tcPr>
          <w:p w14:paraId="41E85EF8" w14:textId="77777777" w:rsidR="0046184B"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0.30%</w:t>
            </w:r>
          </w:p>
        </w:tc>
      </w:tr>
      <w:tr w:rsidR="0046184B" w14:paraId="094717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5715E4F7" w14:textId="77777777" w:rsidR="0046184B"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M≥1000万元</w:t>
            </w:r>
          </w:p>
        </w:tc>
        <w:tc>
          <w:tcPr>
            <w:tcW w:w="4430" w:type="dxa"/>
            <w:tcBorders>
              <w:top w:val="single" w:sz="4" w:space="0" w:color="auto"/>
              <w:left w:val="single" w:sz="4" w:space="0" w:color="auto"/>
              <w:bottom w:val="single" w:sz="4" w:space="0" w:color="auto"/>
              <w:right w:val="single" w:sz="4" w:space="0" w:color="auto"/>
            </w:tcBorders>
          </w:tcPr>
          <w:p w14:paraId="7DFDB649" w14:textId="77777777" w:rsidR="0046184B" w:rsidRDefault="00000000">
            <w:pPr>
              <w:widowControl/>
              <w:spacing w:line="336" w:lineRule="auto"/>
              <w:jc w:val="center"/>
              <w:rPr>
                <w:rFonts w:asciiTheme="minorEastAsia" w:hAnsiTheme="minorEastAsia" w:cs="Arial" w:hint="eastAsia"/>
                <w:kern w:val="0"/>
                <w:sz w:val="24"/>
                <w:szCs w:val="24"/>
              </w:rPr>
            </w:pPr>
            <w:r>
              <w:rPr>
                <w:rFonts w:asciiTheme="minorEastAsia" w:hAnsiTheme="minorEastAsia" w:cs="Arial" w:hint="eastAsia"/>
                <w:kern w:val="0"/>
                <w:sz w:val="24"/>
                <w:szCs w:val="24"/>
              </w:rPr>
              <w:t>1000元/笔</w:t>
            </w:r>
          </w:p>
        </w:tc>
      </w:tr>
      <w:tr w:rsidR="0046184B" w14:paraId="01FC601A"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075FD1B2" w14:textId="77777777" w:rsidR="0046184B" w:rsidRDefault="00000000">
            <w:pPr>
              <w:widowControl/>
              <w:spacing w:line="264" w:lineRule="auto"/>
              <w:jc w:val="center"/>
              <w:rPr>
                <w:rFonts w:asciiTheme="minorEastAsia" w:hAnsiTheme="minorEastAsia" w:cs="Arial" w:hint="eastAsia"/>
                <w:b/>
                <w:kern w:val="0"/>
                <w:sz w:val="24"/>
                <w:szCs w:val="24"/>
              </w:rPr>
            </w:pPr>
            <w:r>
              <w:rPr>
                <w:rFonts w:asciiTheme="minorEastAsia" w:hAnsiTheme="minorEastAsia" w:cs="Arial" w:hint="eastAsia"/>
                <w:b/>
                <w:bCs/>
                <w:kern w:val="0"/>
                <w:sz w:val="24"/>
                <w:szCs w:val="24"/>
              </w:rPr>
              <w:t>C类基金份额</w:t>
            </w:r>
          </w:p>
        </w:tc>
      </w:tr>
      <w:tr w:rsidR="0046184B" w14:paraId="6753587A"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49FF6F08" w14:textId="77777777" w:rsidR="0046184B" w:rsidRDefault="00000000">
            <w:pPr>
              <w:widowControl/>
              <w:spacing w:line="264" w:lineRule="auto"/>
              <w:jc w:val="center"/>
              <w:rPr>
                <w:rFonts w:asciiTheme="minorEastAsia" w:hAnsiTheme="minorEastAsia" w:cs="Arial" w:hint="eastAsia"/>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0376379C" w14:textId="77777777" w:rsidR="0046184B" w:rsidRDefault="0046184B">
      <w:pPr>
        <w:tabs>
          <w:tab w:val="left" w:pos="1110"/>
          <w:tab w:val="left" w:pos="6300"/>
        </w:tabs>
        <w:adjustRightInd w:val="0"/>
        <w:snapToGrid w:val="0"/>
        <w:spacing w:line="360" w:lineRule="auto"/>
        <w:ind w:firstLineChars="200" w:firstLine="480"/>
        <w:rPr>
          <w:rFonts w:asciiTheme="minorEastAsia" w:hAnsiTheme="minorEastAsia" w:cs="Arial" w:hint="eastAsia"/>
          <w:sz w:val="24"/>
          <w:szCs w:val="24"/>
        </w:rPr>
      </w:pPr>
    </w:p>
    <w:p w14:paraId="694015BD" w14:textId="77777777" w:rsidR="0046184B" w:rsidRDefault="00000000">
      <w:pPr>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本基金的申购费用由申购基金份额的投资人承担，不列入基金资产，用于基</w:t>
      </w:r>
      <w:r>
        <w:rPr>
          <w:rFonts w:asciiTheme="minorEastAsia" w:hAnsiTheme="minorEastAsia" w:cs="Arial" w:hint="eastAsia"/>
          <w:sz w:val="24"/>
          <w:szCs w:val="24"/>
        </w:rPr>
        <w:lastRenderedPageBreak/>
        <w:t>金的市场推广、销售、登记等各项费用。</w:t>
      </w:r>
    </w:p>
    <w:p w14:paraId="5A8EEB18"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37DDE617"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46184B" w14:paraId="7543708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6D0C92F" w14:textId="77777777" w:rsidR="0046184B" w:rsidRDefault="00000000">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2C2FF32" w14:textId="77777777" w:rsidR="0046184B" w:rsidRDefault="00000000">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DC4E2F4" w14:textId="77777777" w:rsidR="0046184B" w:rsidRDefault="00000000">
            <w:pPr>
              <w:jc w:val="center"/>
              <w:rPr>
                <w:rFonts w:asciiTheme="minorEastAsia" w:hAnsiTheme="minorEastAsia" w:cs="Arial" w:hint="eastAsia"/>
                <w:color w:val="000000"/>
                <w:sz w:val="24"/>
                <w:szCs w:val="24"/>
              </w:rPr>
            </w:pPr>
            <w:r>
              <w:rPr>
                <w:rFonts w:asciiTheme="minorEastAsia" w:hAnsiTheme="minorEastAsia" w:cs="Arial" w:hint="eastAsia"/>
                <w:color w:val="000000"/>
                <w:sz w:val="24"/>
                <w:szCs w:val="24"/>
              </w:rPr>
              <w:t>C类份额赎回费率</w:t>
            </w:r>
          </w:p>
        </w:tc>
      </w:tr>
      <w:tr w:rsidR="0046184B" w14:paraId="78812BF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74196C2"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6A415988"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68149411" w14:textId="77777777" w:rsidR="0046184B" w:rsidRDefault="00000000">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1.50%</w:t>
            </w:r>
          </w:p>
        </w:tc>
      </w:tr>
      <w:tr w:rsidR="0046184B" w14:paraId="488517B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0E8069C4"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6F663F2B"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409252F3" w14:textId="77777777" w:rsidR="0046184B" w:rsidRDefault="00000000">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r>
      <w:tr w:rsidR="0046184B" w14:paraId="50CE966C"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4EB5604"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30日 ≤ Y ＜ 6个月</w:t>
            </w:r>
          </w:p>
        </w:tc>
        <w:tc>
          <w:tcPr>
            <w:tcW w:w="2127" w:type="dxa"/>
            <w:tcBorders>
              <w:top w:val="single" w:sz="4" w:space="0" w:color="auto"/>
              <w:left w:val="single" w:sz="4" w:space="0" w:color="auto"/>
              <w:bottom w:val="single" w:sz="4" w:space="0" w:color="auto"/>
              <w:right w:val="single" w:sz="4" w:space="0" w:color="auto"/>
            </w:tcBorders>
          </w:tcPr>
          <w:p w14:paraId="434FBA6F"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4B00C23" w14:textId="77777777" w:rsidR="0046184B" w:rsidRDefault="00000000">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r w:rsidR="0046184B" w14:paraId="0682DB6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06D82CE"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Y≥6个月</w:t>
            </w:r>
          </w:p>
        </w:tc>
        <w:tc>
          <w:tcPr>
            <w:tcW w:w="2127" w:type="dxa"/>
            <w:tcBorders>
              <w:top w:val="single" w:sz="4" w:space="0" w:color="auto"/>
              <w:left w:val="single" w:sz="4" w:space="0" w:color="auto"/>
              <w:bottom w:val="single" w:sz="4" w:space="0" w:color="auto"/>
              <w:right w:val="single" w:sz="4" w:space="0" w:color="auto"/>
            </w:tcBorders>
          </w:tcPr>
          <w:p w14:paraId="243FDCF3" w14:textId="77777777" w:rsidR="0046184B" w:rsidRDefault="00000000">
            <w:pPr>
              <w:widowControl/>
              <w:spacing w:line="336" w:lineRule="auto"/>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410C0E06" w14:textId="77777777" w:rsidR="0046184B" w:rsidRDefault="00000000">
            <w:pPr>
              <w:jc w:val="center"/>
              <w:rPr>
                <w:rFonts w:asciiTheme="minorEastAsia" w:hAnsiTheme="minorEastAsia" w:cs="Arial" w:hint="eastAsia"/>
                <w:bCs/>
                <w:kern w:val="0"/>
                <w:sz w:val="24"/>
                <w:szCs w:val="24"/>
              </w:rPr>
            </w:pPr>
            <w:r>
              <w:rPr>
                <w:rFonts w:asciiTheme="minorEastAsia" w:hAnsiTheme="minorEastAsia" w:cs="Arial" w:hint="eastAsia"/>
                <w:bCs/>
                <w:kern w:val="0"/>
                <w:sz w:val="24"/>
                <w:szCs w:val="24"/>
              </w:rPr>
              <w:t>0</w:t>
            </w:r>
          </w:p>
        </w:tc>
      </w:tr>
    </w:tbl>
    <w:p w14:paraId="6528462D" w14:textId="77777777" w:rsidR="0046184B" w:rsidRDefault="0046184B">
      <w:pPr>
        <w:adjustRightInd w:val="0"/>
        <w:snapToGrid w:val="0"/>
        <w:spacing w:line="360" w:lineRule="auto"/>
        <w:rPr>
          <w:rFonts w:asciiTheme="minorEastAsia" w:hAnsiTheme="minorEastAsia" w:cs="Arial" w:hint="eastAsia"/>
          <w:sz w:val="24"/>
          <w:szCs w:val="24"/>
        </w:rPr>
      </w:pPr>
    </w:p>
    <w:p w14:paraId="55190FED" w14:textId="77777777" w:rsidR="0046184B" w:rsidRDefault="00000000">
      <w:pPr>
        <w:adjustRightInd w:val="0"/>
        <w:snapToGrid w:val="0"/>
        <w:spacing w:line="360" w:lineRule="auto"/>
        <w:rPr>
          <w:rFonts w:asciiTheme="minorEastAsia" w:hAnsiTheme="minorEastAsia" w:cs="Arial" w:hint="eastAsia"/>
          <w:sz w:val="24"/>
          <w:szCs w:val="24"/>
        </w:rPr>
      </w:pPr>
      <w:r>
        <w:rPr>
          <w:rFonts w:asciiTheme="minorEastAsia" w:hAnsiTheme="minorEastAsia" w:cs="Arial" w:hint="eastAsia"/>
          <w:sz w:val="24"/>
          <w:szCs w:val="24"/>
        </w:rPr>
        <w:t>（注：一月为</w:t>
      </w:r>
      <w:r>
        <w:rPr>
          <w:rFonts w:asciiTheme="minorEastAsia" w:hAnsiTheme="minorEastAsia" w:cs="Arial"/>
          <w:sz w:val="24"/>
          <w:szCs w:val="24"/>
        </w:rPr>
        <w:t>3</w:t>
      </w:r>
      <w:r>
        <w:rPr>
          <w:rFonts w:asciiTheme="minorEastAsia" w:hAnsiTheme="minorEastAsia" w:cs="Arial" w:hint="eastAsia"/>
          <w:sz w:val="24"/>
          <w:szCs w:val="24"/>
        </w:rPr>
        <w:t>0日）</w:t>
      </w:r>
    </w:p>
    <w:p w14:paraId="3D84E04C"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2D9D9E59"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w:t>
      </w:r>
    </w:p>
    <w:p w14:paraId="12D094E6"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、基金管理人可以在基金合同约定的范围内调整费率或收费方式，并最迟应于新的费率或收费方式实施日前依照《信息披露办法》的有关规定在指定媒介上公告。</w:t>
      </w:r>
    </w:p>
    <w:p w14:paraId="66ED09DA" w14:textId="77777777" w:rsidR="0046184B" w:rsidRDefault="00000000">
      <w:pPr>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Times New Roman" w:hint="eastAsia"/>
          <w:sz w:val="24"/>
          <w:szCs w:val="24"/>
        </w:rPr>
        <w:t>基金管理人可以在不违反法律法规规定及基金合同约定的情况下根据市场情况制定基金促销计划，定期或不定期地开展基金促销活动。在基金促销活动期间，按相关监管部门要求履行必要手续后，基金管理人可以适当调低基金的申购、赎回费率。</w:t>
      </w:r>
    </w:p>
    <w:p w14:paraId="2E9FE948" w14:textId="77777777" w:rsidR="0046184B"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47C53703"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1、A类基金份额申购份额的计算方式：</w:t>
      </w:r>
    </w:p>
    <w:p w14:paraId="73DC4F58"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（1）当申购费用适用比例费率时，申购份额的计算公式如下：</w:t>
      </w:r>
    </w:p>
    <w:p w14:paraId="65DCDA54"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净申购金额=申购金额/（1+申购费率）</w:t>
      </w:r>
    </w:p>
    <w:p w14:paraId="64B0AFFD"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申购费用=申购金额－净申购金额</w:t>
      </w:r>
    </w:p>
    <w:p w14:paraId="695C7731"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申购份额=净申购金额/T 日A类基金份额净值</w:t>
      </w:r>
    </w:p>
    <w:p w14:paraId="1B557D6D"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（2）当申购费用为固定金额时，申购份额的计算方法如下：</w:t>
      </w:r>
    </w:p>
    <w:p w14:paraId="39B98448"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申购费用＝固定费用</w:t>
      </w:r>
    </w:p>
    <w:p w14:paraId="1D149527"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净申购金额＝申购金额－申购费用</w:t>
      </w:r>
    </w:p>
    <w:p w14:paraId="39AAA839"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申购份额＝净申购金额/T日A类基金份额净值</w:t>
      </w:r>
    </w:p>
    <w:p w14:paraId="63046F3E"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3C2C83E0"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12CC06DD"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净申购金额＝50,000/(1+1.5%)＝49,261.08元</w:t>
      </w:r>
    </w:p>
    <w:p w14:paraId="383001A3"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申购费用＝50,000－49,261.08＝738.92元</w:t>
      </w:r>
    </w:p>
    <w:p w14:paraId="24BB8A48"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申购份额＝49,261.08/1.0500＝46,915.31 份</w:t>
      </w:r>
    </w:p>
    <w:p w14:paraId="49B4AB3F"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331A677B"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2、C类基金份额申购份额的计算方式：</w:t>
      </w:r>
    </w:p>
    <w:p w14:paraId="17009A20"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申购份额＝申购金额/T日C类基金份额净值</w:t>
      </w:r>
    </w:p>
    <w:p w14:paraId="0D257932"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71A73626"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36D5387B"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14:paraId="2CE49715"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14:paraId="5884D6A5"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7B2B65DC"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4AEF94AB"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642745C0"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51ABCA97"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上述计算结果均按四舍五入方法，保留到小数点后2位，由此产生的收益或</w:t>
      </w:r>
      <w:r>
        <w:rPr>
          <w:rFonts w:asciiTheme="minorEastAsia" w:hAnsiTheme="minorEastAsia" w:cs="Arial" w:hint="eastAsia"/>
          <w:sz w:val="24"/>
          <w:szCs w:val="24"/>
        </w:rPr>
        <w:lastRenderedPageBreak/>
        <w:t>损失由基金财产承担。</w:t>
      </w:r>
    </w:p>
    <w:p w14:paraId="4687D5A7"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641C367E"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29635CE9"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63F02804"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0F3C0556"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0CA56C97"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4143A71C"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赎回金额=10,000×1.0680=10,680元</w:t>
      </w:r>
    </w:p>
    <w:p w14:paraId="5B6EB73C"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赎回费用=10,680×0.5%=53.40元</w:t>
      </w:r>
    </w:p>
    <w:p w14:paraId="41785F60"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净赎回金额=10,680-53.40=10,626.60元</w:t>
      </w:r>
    </w:p>
    <w:p w14:paraId="41EFB2E7"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23AF1745"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0F1C7342" w14:textId="77777777" w:rsidR="0046184B" w:rsidRDefault="00000000">
      <w:pPr>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Times New Roman" w:hint="eastAsia"/>
          <w:b/>
          <w:sz w:val="24"/>
          <w:szCs w:val="24"/>
        </w:rPr>
        <w:t>八、申购与赎回的登记业务</w:t>
      </w:r>
    </w:p>
    <w:p w14:paraId="517E5F80"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78229800"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622E246B"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Times New Roman"/>
          <w:sz w:val="24"/>
          <w:szCs w:val="24"/>
        </w:rPr>
        <w:lastRenderedPageBreak/>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在指定媒介公告。</w:t>
      </w:r>
    </w:p>
    <w:p w14:paraId="1F3816C8" w14:textId="77777777" w:rsidR="0046184B" w:rsidRDefault="00000000">
      <w:pPr>
        <w:tabs>
          <w:tab w:val="left" w:pos="1110"/>
        </w:tabs>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九、拒绝或暂停申购的情形及处理</w:t>
      </w:r>
    </w:p>
    <w:p w14:paraId="45CEBE70" w14:textId="77777777" w:rsidR="0046184B" w:rsidRDefault="00000000">
      <w:pPr>
        <w:tabs>
          <w:tab w:val="left" w:pos="1110"/>
        </w:tabs>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发生下列情况时，基金管理人可拒绝或暂停接受投资人的申购申请：</w:t>
      </w:r>
    </w:p>
    <w:p w14:paraId="276CA8FA"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1</w:t>
      </w:r>
      <w:r>
        <w:rPr>
          <w:rFonts w:asciiTheme="minorEastAsia" w:hAnsiTheme="minorEastAsia" w:cs="Arial" w:hint="eastAsia"/>
          <w:sz w:val="24"/>
          <w:szCs w:val="24"/>
        </w:rPr>
        <w:t>、因不可抗力导致基金无法正常运作。</w:t>
      </w:r>
    </w:p>
    <w:p w14:paraId="0E9B53F1"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2</w:t>
      </w:r>
      <w:r>
        <w:rPr>
          <w:rFonts w:asciiTheme="minorEastAsia" w:hAnsiTheme="minorEastAsia" w:cs="Arial" w:hint="eastAsia"/>
          <w:sz w:val="24"/>
          <w:szCs w:val="24"/>
        </w:rPr>
        <w:t>、发生基金合同规定的暂停基金资产估值情况时，基金管理人可暂停接受投资人的申购申请。</w:t>
      </w:r>
    </w:p>
    <w:p w14:paraId="77F00536"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3</w:t>
      </w:r>
      <w:r>
        <w:rPr>
          <w:rFonts w:asciiTheme="minorEastAsia" w:hAnsiTheme="minorEastAsia" w:cs="Arial" w:hint="eastAsia"/>
          <w:sz w:val="24"/>
          <w:szCs w:val="24"/>
        </w:rPr>
        <w:t>、证券、期货交易所交易时间非正常停市，导致基金管理人无法计算当日基金资产净值。</w:t>
      </w:r>
    </w:p>
    <w:p w14:paraId="4E04DF74"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4</w:t>
      </w:r>
      <w:r>
        <w:rPr>
          <w:rFonts w:asciiTheme="minorEastAsia" w:hAnsiTheme="minorEastAsia" w:cs="Arial" w:hint="eastAsia"/>
          <w:sz w:val="24"/>
          <w:szCs w:val="24"/>
        </w:rPr>
        <w:t>、基金管理人接受某笔或某些申购申请会损害现有基金份额持有人利益或对存量基金份额持有人利益构成潜在重大不利影响时。</w:t>
      </w:r>
    </w:p>
    <w:p w14:paraId="2BFD4247"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5</w:t>
      </w:r>
      <w:r>
        <w:rPr>
          <w:rFonts w:asciiTheme="minorEastAsia" w:hAnsiTheme="minorEastAsia" w:cs="Arial" w:hint="eastAsia"/>
          <w:sz w:val="24"/>
          <w:szCs w:val="24"/>
        </w:rPr>
        <w:t>、基金资产规模过大，使基金管理人无法找到合适的投资品种，或其他可能对基金业绩产生负面影响，或发生其他损害现有基金份额持有人利益的情形。</w:t>
      </w:r>
    </w:p>
    <w:p w14:paraId="2DE46F2B"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sz w:val="24"/>
          <w:szCs w:val="24"/>
        </w:rPr>
        <w:t>6</w:t>
      </w:r>
      <w:r>
        <w:rPr>
          <w:rFonts w:asciiTheme="minorEastAsia" w:hAnsiTheme="minorEastAsia" w:cs="Arial" w:hint="eastAsia"/>
          <w:sz w:val="24"/>
          <w:szCs w:val="24"/>
        </w:rPr>
        <w:t>、基金管理人、基金托管人、销售机构或登记机构的技术故障等异常情况导致基金销售系统、基金注册登记系统或基金会计系统无法正常运行。</w:t>
      </w:r>
    </w:p>
    <w:p w14:paraId="2F898223" w14:textId="77777777" w:rsidR="0046184B" w:rsidRDefault="00000000">
      <w:pPr>
        <w:spacing w:line="360" w:lineRule="auto"/>
        <w:ind w:firstLineChars="200" w:firstLine="480"/>
        <w:rPr>
          <w:bCs/>
          <w:sz w:val="24"/>
          <w:szCs w:val="24"/>
        </w:rPr>
      </w:pPr>
      <w:r>
        <w:rPr>
          <w:rFonts w:hint="eastAsia"/>
          <w:bCs/>
          <w:sz w:val="24"/>
          <w:szCs w:val="24"/>
        </w:rPr>
        <w:t>7</w:t>
      </w:r>
      <w:r>
        <w:rPr>
          <w:rFonts w:hint="eastAsia"/>
          <w:bCs/>
          <w:sz w:val="24"/>
          <w:szCs w:val="24"/>
        </w:rPr>
        <w:t>、基金管理人接受某笔或者某些申购申请有可能导致单一投资者持有基金份额的比例达到或者超过</w:t>
      </w:r>
      <w:r>
        <w:rPr>
          <w:rFonts w:hint="eastAsia"/>
          <w:bCs/>
          <w:sz w:val="24"/>
          <w:szCs w:val="24"/>
        </w:rPr>
        <w:t>50%</w:t>
      </w:r>
      <w:r>
        <w:rPr>
          <w:rFonts w:hint="eastAsia"/>
          <w:bCs/>
          <w:sz w:val="24"/>
          <w:szCs w:val="24"/>
        </w:rPr>
        <w:t>，或者变相规避</w:t>
      </w:r>
      <w:r>
        <w:rPr>
          <w:rFonts w:hint="eastAsia"/>
          <w:bCs/>
          <w:sz w:val="24"/>
          <w:szCs w:val="24"/>
        </w:rPr>
        <w:t>50%</w:t>
      </w:r>
      <w:r>
        <w:rPr>
          <w:rFonts w:hint="eastAsia"/>
          <w:bCs/>
          <w:sz w:val="24"/>
          <w:szCs w:val="24"/>
        </w:rPr>
        <w:t>集中度的情形时。</w:t>
      </w:r>
    </w:p>
    <w:p w14:paraId="4952576D" w14:textId="77777777" w:rsidR="0046184B" w:rsidRDefault="00000000">
      <w:pPr>
        <w:spacing w:line="360" w:lineRule="auto"/>
        <w:ind w:firstLineChars="200" w:firstLine="480"/>
        <w:rPr>
          <w:bCs/>
          <w:sz w:val="24"/>
          <w:szCs w:val="24"/>
        </w:rPr>
      </w:pPr>
      <w:r>
        <w:rPr>
          <w:rFonts w:hint="eastAsia"/>
          <w:bCs/>
          <w:sz w:val="24"/>
          <w:szCs w:val="24"/>
        </w:rPr>
        <w:t>8</w:t>
      </w:r>
      <w:r>
        <w:rPr>
          <w:rFonts w:hint="eastAsia"/>
          <w:bCs/>
          <w:sz w:val="24"/>
          <w:szCs w:val="24"/>
        </w:rPr>
        <w:t>、当前一估值日基金资产净值</w:t>
      </w:r>
      <w:r>
        <w:rPr>
          <w:rFonts w:hint="eastAsia"/>
          <w:bCs/>
          <w:sz w:val="24"/>
          <w:szCs w:val="24"/>
        </w:rPr>
        <w:t>50%</w:t>
      </w:r>
      <w:r>
        <w:rPr>
          <w:rFonts w:hint="eastAsia"/>
          <w:bCs/>
          <w:sz w:val="24"/>
          <w:szCs w:val="24"/>
        </w:rPr>
        <w:t>以上的资产出现无可参考的活跃市场价格且采用估值技术</w:t>
      </w:r>
      <w:proofErr w:type="gramStart"/>
      <w:r>
        <w:rPr>
          <w:rFonts w:hint="eastAsia"/>
          <w:bCs/>
          <w:sz w:val="24"/>
          <w:szCs w:val="24"/>
        </w:rPr>
        <w:t>仍导致</w:t>
      </w:r>
      <w:proofErr w:type="gramEnd"/>
      <w:r>
        <w:rPr>
          <w:rFonts w:hint="eastAsia"/>
          <w:bCs/>
          <w:sz w:val="24"/>
          <w:szCs w:val="24"/>
        </w:rPr>
        <w:t>公允价值存在重大不确定性时，经与基金托管人协商确认后，基金管理人应当采取延缓支付赎回款项或暂停接受基金申购赎回申请的措施。</w:t>
      </w:r>
    </w:p>
    <w:p w14:paraId="76F0BAD9" w14:textId="77777777" w:rsidR="0046184B" w:rsidRDefault="00000000">
      <w:pPr>
        <w:spacing w:line="360" w:lineRule="auto"/>
        <w:ind w:firstLineChars="200" w:firstLine="480"/>
        <w:rPr>
          <w:bCs/>
          <w:sz w:val="24"/>
          <w:szCs w:val="24"/>
        </w:rPr>
      </w:pPr>
      <w:r>
        <w:rPr>
          <w:rFonts w:hint="eastAsia"/>
          <w:bCs/>
          <w:sz w:val="24"/>
          <w:szCs w:val="24"/>
        </w:rPr>
        <w:t>9</w:t>
      </w:r>
      <w:r>
        <w:rPr>
          <w:rFonts w:hint="eastAsia"/>
          <w:bCs/>
          <w:sz w:val="24"/>
          <w:szCs w:val="24"/>
        </w:rPr>
        <w:t>、</w:t>
      </w:r>
      <w:r>
        <w:rPr>
          <w:bCs/>
          <w:sz w:val="24"/>
          <w:szCs w:val="24"/>
        </w:rPr>
        <w:t>法律法规规定或中国证监会认定的其他情形。</w:t>
      </w:r>
    </w:p>
    <w:p w14:paraId="0C3D1743" w14:textId="77777777" w:rsidR="0046184B" w:rsidRDefault="00000000">
      <w:pPr>
        <w:spacing w:line="360" w:lineRule="auto"/>
        <w:ind w:firstLineChars="200" w:firstLine="480"/>
        <w:rPr>
          <w:bCs/>
          <w:sz w:val="24"/>
          <w:szCs w:val="24"/>
        </w:rPr>
      </w:pPr>
      <w:r>
        <w:rPr>
          <w:bCs/>
          <w:sz w:val="24"/>
          <w:szCs w:val="24"/>
        </w:rPr>
        <w:t>发生上述第</w:t>
      </w:r>
      <w:r>
        <w:rPr>
          <w:bCs/>
          <w:sz w:val="24"/>
          <w:szCs w:val="24"/>
        </w:rPr>
        <w:t>1</w:t>
      </w:r>
      <w:r>
        <w:rPr>
          <w:bCs/>
          <w:sz w:val="24"/>
          <w:szCs w:val="24"/>
        </w:rPr>
        <w:t>、</w:t>
      </w:r>
      <w:r>
        <w:rPr>
          <w:bCs/>
          <w:sz w:val="24"/>
          <w:szCs w:val="24"/>
        </w:rPr>
        <w:t>2</w:t>
      </w:r>
      <w:r>
        <w:rPr>
          <w:bCs/>
          <w:sz w:val="24"/>
          <w:szCs w:val="24"/>
        </w:rPr>
        <w:t>、</w:t>
      </w:r>
      <w:r>
        <w:rPr>
          <w:rFonts w:hint="eastAsia"/>
          <w:bCs/>
          <w:sz w:val="24"/>
          <w:szCs w:val="24"/>
        </w:rPr>
        <w:t>3</w:t>
      </w:r>
      <w:r>
        <w:rPr>
          <w:bCs/>
          <w:sz w:val="24"/>
          <w:szCs w:val="24"/>
        </w:rPr>
        <w:t>、</w:t>
      </w:r>
      <w:r>
        <w:rPr>
          <w:bCs/>
          <w:sz w:val="24"/>
          <w:szCs w:val="24"/>
        </w:rPr>
        <w:t>5</w:t>
      </w:r>
      <w:r>
        <w:rPr>
          <w:rFonts w:hint="eastAsia"/>
          <w:bCs/>
          <w:sz w:val="24"/>
          <w:szCs w:val="24"/>
        </w:rPr>
        <w:t>、</w:t>
      </w:r>
      <w:r>
        <w:rPr>
          <w:rFonts w:hint="eastAsia"/>
          <w:bCs/>
          <w:sz w:val="24"/>
          <w:szCs w:val="24"/>
        </w:rPr>
        <w:t>6</w:t>
      </w:r>
      <w:r>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Pr>
          <w:bCs/>
          <w:sz w:val="24"/>
          <w:szCs w:val="24"/>
        </w:rPr>
        <w:t>项暂停申购情形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管理人决定暂停接受投资人的申购申请</w:t>
      </w:r>
      <w:r>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1EB225B5" w14:textId="77777777" w:rsidR="0046184B" w:rsidRDefault="00000000">
      <w:pPr>
        <w:adjustRightInd w:val="0"/>
        <w:snapToGrid w:val="0"/>
        <w:spacing w:line="360" w:lineRule="auto"/>
        <w:ind w:firstLineChars="200" w:firstLine="482"/>
        <w:rPr>
          <w:rFonts w:asciiTheme="minorEastAsia" w:hAnsiTheme="minorEastAsia" w:cs="Arial" w:hint="eastAsia"/>
          <w:b/>
          <w:bCs/>
          <w:sz w:val="24"/>
          <w:szCs w:val="24"/>
        </w:rPr>
      </w:pPr>
      <w:r>
        <w:rPr>
          <w:rFonts w:asciiTheme="minorEastAsia" w:hAnsiTheme="minorEastAsia" w:cs="Arial" w:hint="eastAsia"/>
          <w:b/>
          <w:bCs/>
          <w:sz w:val="24"/>
          <w:szCs w:val="24"/>
        </w:rPr>
        <w:t>十、暂停赎回或延缓支付赎回款项的情形及处理</w:t>
      </w:r>
    </w:p>
    <w:p w14:paraId="335D455B"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发生下列情形时，基金管理人可暂停接受投资人的赎回申请或延缓支付赎回款项：</w:t>
      </w:r>
    </w:p>
    <w:p w14:paraId="1C3A7B2B"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1、因不可抗力导致基金管理人不能支付赎回款项。</w:t>
      </w:r>
    </w:p>
    <w:p w14:paraId="0A93E290"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66675BCB"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26395E67"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4、连续两个或两个以上开放日发生巨额赎回。</w:t>
      </w:r>
    </w:p>
    <w:p w14:paraId="01E75F3A"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5、继续接受赎回申请将损害现有基金份额持有人利益的情形时，基金管理人可暂停接受投资人的赎回申请。</w:t>
      </w:r>
    </w:p>
    <w:p w14:paraId="243CE453"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6、当前一估值日基金资产净值50%以上的资产出现无可参考的活跃市场价格且采用估值技术</w:t>
      </w:r>
      <w:proofErr w:type="gramStart"/>
      <w:r>
        <w:rPr>
          <w:rFonts w:asciiTheme="minorEastAsia" w:hAnsiTheme="minorEastAsia" w:cs="Arial" w:hint="eastAsia"/>
          <w:sz w:val="24"/>
          <w:szCs w:val="24"/>
        </w:rPr>
        <w:t>仍导致</w:t>
      </w:r>
      <w:proofErr w:type="gramEnd"/>
      <w:r>
        <w:rPr>
          <w:rFonts w:asciiTheme="minorEastAsia" w:hAnsiTheme="minorEastAsia" w:cs="Arial" w:hint="eastAsia"/>
          <w:sz w:val="24"/>
          <w:szCs w:val="24"/>
        </w:rPr>
        <w:t>公允价值存在重大不确定性时，经与基金托管人协商确认后，基金管理人暂停基金估值并采取延缓支付赎回款项或暂停接受基金赎回申请的措施。</w:t>
      </w:r>
    </w:p>
    <w:p w14:paraId="4F101D18"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7、法律法规规定或中国证监会认定的其他情形。</w:t>
      </w:r>
    </w:p>
    <w:p w14:paraId="38390380"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管理人决定拒绝接受或暂停接受基金份额持有人的赎回申请时，基金管理人应在当日报中国证监会备案，已确认的赎回申请，基金管理人应足额支付；如暂时不能足额支付，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rFonts w:asciiTheme="minorEastAsia" w:hAnsiTheme="minorEastAsia" w:cs="Arial" w:hint="eastAsia"/>
          <w:sz w:val="24"/>
          <w:szCs w:val="24"/>
        </w:rPr>
        <w:t>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bookmarkStart w:id="185" w:name="_Toc416264545"/>
      <w:bookmarkStart w:id="186" w:name="_Toc141703890"/>
      <w:bookmarkStart w:id="187" w:name="_Toc32092"/>
      <w:bookmarkStart w:id="188" w:name="_Toc20976"/>
      <w:bookmarkStart w:id="189" w:name="_Toc3329"/>
      <w:bookmarkStart w:id="190" w:name="_Toc48649708"/>
      <w:bookmarkStart w:id="191" w:name="_Toc739"/>
      <w:bookmarkStart w:id="192" w:name="_Toc21237"/>
      <w:bookmarkStart w:id="193" w:name="_Toc17920"/>
      <w:bookmarkStart w:id="194" w:name="_Toc123112238"/>
      <w:bookmarkStart w:id="195" w:name="_Toc139991740"/>
      <w:bookmarkStart w:id="196" w:name="_Toc98560356"/>
      <w:bookmarkStart w:id="197" w:name="_Toc352229756"/>
      <w:bookmarkStart w:id="198" w:name="_Toc17198"/>
      <w:bookmarkStart w:id="199" w:name="_Toc29408"/>
      <w:bookmarkStart w:id="200" w:name="_Toc123102457"/>
      <w:bookmarkStart w:id="201" w:name="_Toc123051456"/>
      <w:bookmarkStart w:id="202" w:name="_Toc32584"/>
      <w:bookmarkStart w:id="203" w:name="_Toc8791"/>
      <w:bookmarkStart w:id="204" w:name="_Toc5170"/>
      <w:bookmarkStart w:id="205" w:name="_Toc79392622"/>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7E4820E9" w14:textId="77777777" w:rsidR="0046184B"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十一、巨额赎回的情形及处理方式</w:t>
      </w:r>
    </w:p>
    <w:p w14:paraId="30237B90"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1、巨额赎回的认定</w:t>
      </w:r>
    </w:p>
    <w:p w14:paraId="5C4812F6"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540C446D"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2、巨额赎回的处理方式</w:t>
      </w:r>
    </w:p>
    <w:p w14:paraId="75A9FA5D"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14F6A9CA"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（1）全额赎回：当基金管理人认为有能力支付投资人的全部赎回申请时，按正常赎回程序执行。</w:t>
      </w:r>
    </w:p>
    <w:p w14:paraId="55DC625A" w14:textId="77777777" w:rsidR="0046184B" w:rsidRDefault="00000000">
      <w:pPr>
        <w:spacing w:line="360" w:lineRule="auto"/>
        <w:ind w:firstLineChars="200" w:firstLine="480"/>
        <w:rPr>
          <w:bCs/>
          <w:sz w:val="24"/>
          <w:szCs w:val="24"/>
        </w:rPr>
      </w:pPr>
      <w:r>
        <w:rPr>
          <w:bCs/>
          <w:sz w:val="24"/>
          <w:szCs w:val="24"/>
        </w:rPr>
        <w:lastRenderedPageBreak/>
        <w:t>（</w:t>
      </w:r>
      <w:r>
        <w:rPr>
          <w:rFonts w:hint="eastAsia"/>
          <w:bCs/>
          <w:sz w:val="24"/>
          <w:szCs w:val="24"/>
        </w:rPr>
        <w:t>2</w:t>
      </w:r>
      <w:r>
        <w:rPr>
          <w:bCs/>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szCs w:val="24"/>
        </w:rPr>
        <w:t>10%</w:t>
      </w:r>
      <w:r>
        <w:rPr>
          <w:bCs/>
          <w:sz w:val="24"/>
          <w:szCs w:val="24"/>
        </w:rPr>
        <w:t>的前提下，可对其余赎回申请延期办理。</w:t>
      </w:r>
      <w:r>
        <w:rPr>
          <w:rFonts w:hint="eastAsia"/>
          <w:bCs/>
          <w:sz w:val="24"/>
          <w:szCs w:val="24"/>
        </w:rPr>
        <w:t>若进行上述延期办理，</w:t>
      </w:r>
      <w:r>
        <w:rPr>
          <w:bCs/>
          <w:sz w:val="24"/>
          <w:szCs w:val="24"/>
        </w:rPr>
        <w:t>对于</w:t>
      </w:r>
      <w:r>
        <w:rPr>
          <w:rFonts w:hint="eastAsia"/>
          <w:bCs/>
          <w:sz w:val="24"/>
          <w:szCs w:val="24"/>
        </w:rPr>
        <w:t>单个基金份额持有人</w:t>
      </w:r>
      <w:r>
        <w:rPr>
          <w:bCs/>
          <w:sz w:val="24"/>
          <w:szCs w:val="24"/>
        </w:rPr>
        <w:t>当日</w:t>
      </w:r>
      <w:r>
        <w:rPr>
          <w:rFonts w:hint="eastAsia"/>
          <w:bCs/>
          <w:sz w:val="24"/>
          <w:szCs w:val="24"/>
        </w:rPr>
        <w:t>赎回申请超过上一开放日基金总份额</w:t>
      </w:r>
      <w:r>
        <w:rPr>
          <w:bCs/>
          <w:sz w:val="24"/>
          <w:szCs w:val="24"/>
        </w:rPr>
        <w:t>50</w:t>
      </w:r>
      <w:r>
        <w:rPr>
          <w:rFonts w:hint="eastAsia"/>
          <w:bCs/>
          <w:sz w:val="24"/>
          <w:szCs w:val="24"/>
        </w:rPr>
        <w:t>%</w:t>
      </w:r>
      <w:r>
        <w:rPr>
          <w:rFonts w:hint="eastAsia"/>
          <w:bCs/>
          <w:sz w:val="24"/>
          <w:szCs w:val="24"/>
        </w:rPr>
        <w:t>以上的部分，将自动进行延期办理。对于其余当日非自动延期办理</w:t>
      </w:r>
      <w:r>
        <w:rPr>
          <w:bCs/>
          <w:sz w:val="24"/>
          <w:szCs w:val="24"/>
        </w:rPr>
        <w:t>的赎回申请，</w:t>
      </w:r>
      <w:r>
        <w:rPr>
          <w:rFonts w:hint="eastAsia"/>
          <w:bCs/>
          <w:sz w:val="24"/>
          <w:szCs w:val="24"/>
        </w:rPr>
        <w:t>有权</w:t>
      </w:r>
      <w:r>
        <w:rPr>
          <w:bCs/>
          <w:sz w:val="24"/>
          <w:szCs w:val="24"/>
        </w:rPr>
        <w:t>按单个账户</w:t>
      </w:r>
      <w:r>
        <w:rPr>
          <w:rFonts w:hint="eastAsia"/>
          <w:bCs/>
          <w:sz w:val="24"/>
          <w:szCs w:val="24"/>
        </w:rPr>
        <w:t>非自动延期办理的</w:t>
      </w:r>
      <w:r>
        <w:rPr>
          <w:bCs/>
          <w:sz w:val="24"/>
          <w:szCs w:val="24"/>
        </w:rPr>
        <w:t>赎回申请量占</w:t>
      </w:r>
      <w:r>
        <w:rPr>
          <w:rFonts w:hint="eastAsia"/>
          <w:bCs/>
          <w:sz w:val="24"/>
          <w:szCs w:val="24"/>
        </w:rPr>
        <w:t>非自动延期办理的</w:t>
      </w:r>
      <w:r>
        <w:rPr>
          <w:bCs/>
          <w:sz w:val="24"/>
          <w:szCs w:val="24"/>
        </w:rPr>
        <w:t>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szCs w:val="24"/>
        </w:rPr>
        <w:t>并以下</w:t>
      </w:r>
      <w:proofErr w:type="gramEnd"/>
      <w:r>
        <w:rPr>
          <w:bCs/>
          <w:sz w:val="24"/>
          <w:szCs w:val="24"/>
        </w:rPr>
        <w:t>一</w:t>
      </w:r>
      <w:proofErr w:type="gramStart"/>
      <w:r>
        <w:rPr>
          <w:bCs/>
          <w:sz w:val="24"/>
          <w:szCs w:val="24"/>
        </w:rPr>
        <w:t>开放日</w:t>
      </w:r>
      <w:r>
        <w:rPr>
          <w:rFonts w:hint="eastAsia"/>
          <w:bCs/>
          <w:sz w:val="24"/>
          <w:szCs w:val="24"/>
        </w:rPr>
        <w:t>某一类</w:t>
      </w:r>
      <w:proofErr w:type="gramEnd"/>
      <w:r>
        <w:rPr>
          <w:rFonts w:hint="eastAsia"/>
          <w:bCs/>
          <w:sz w:val="24"/>
          <w:szCs w:val="24"/>
        </w:rPr>
        <w:t>别</w:t>
      </w:r>
      <w:r>
        <w:rPr>
          <w:bCs/>
          <w:sz w:val="24"/>
          <w:szCs w:val="24"/>
        </w:rPr>
        <w:t>的基金份额净值为基础计算赎回金额，以此类推，直到全部赎回为止。如投资人在提交赎回申请时未作明确选择，投资人未能赎回部分作自动延期赎回处理。</w:t>
      </w:r>
    </w:p>
    <w:p w14:paraId="02B60AD7"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暂停赎回：连续2个开放日以上（含本数）发生巨额赎回，如基金管理人认为有必要，可暂停接受基金的赎回申请；已经接受的赎回申请可以延缓支付赎回款项，但不得超过20个工作日，并应当在指定媒介上进行公告。</w:t>
      </w:r>
    </w:p>
    <w:p w14:paraId="1CCA7C0D"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3、巨额赎回的公告</w:t>
      </w:r>
    </w:p>
    <w:p w14:paraId="1F05BD11"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w:t>
      </w:r>
      <w:r>
        <w:rPr>
          <w:rFonts w:hint="eastAsia"/>
          <w:bCs/>
          <w:kern w:val="0"/>
          <w:sz w:val="24"/>
        </w:rPr>
        <w:t>并在</w:t>
      </w:r>
      <w:r>
        <w:rPr>
          <w:bCs/>
          <w:kern w:val="0"/>
          <w:sz w:val="24"/>
        </w:rPr>
        <w:t>2</w:t>
      </w:r>
      <w:r>
        <w:rPr>
          <w:rFonts w:hint="eastAsia"/>
          <w:bCs/>
          <w:kern w:val="0"/>
          <w:sz w:val="24"/>
        </w:rPr>
        <w:t>日内在指定媒介上刊登公告</w:t>
      </w:r>
      <w:r>
        <w:rPr>
          <w:rFonts w:asciiTheme="minorEastAsia" w:hAnsiTheme="minorEastAsia" w:cs="Arial" w:hint="eastAsia"/>
          <w:sz w:val="24"/>
          <w:szCs w:val="24"/>
        </w:rPr>
        <w:t>。</w:t>
      </w:r>
    </w:p>
    <w:p w14:paraId="3A330473" w14:textId="77777777" w:rsidR="0046184B"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十二、暂停申购或赎回的公告和重新开放申购或赎回的公告</w:t>
      </w:r>
    </w:p>
    <w:p w14:paraId="523E905C"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1、发生上述暂停申购或赎回情况的，</w:t>
      </w:r>
      <w:r>
        <w:rPr>
          <w:rFonts w:hint="eastAsia"/>
          <w:bCs/>
          <w:sz w:val="24"/>
          <w:szCs w:val="24"/>
        </w:rPr>
        <w:t>基金管理人应在规定期限内在指定媒介上刊登暂停公告。</w:t>
      </w:r>
    </w:p>
    <w:p w14:paraId="4534F86E"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2、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1C2B7A17"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3、上述暂停申购或赎回情况消除的，基金管理人应于重新开放日公布最近1个工作日两类基金份额净值。</w:t>
      </w:r>
    </w:p>
    <w:p w14:paraId="4AF78DEF" w14:textId="77777777" w:rsidR="0046184B"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十三、基金转换</w:t>
      </w:r>
    </w:p>
    <w:p w14:paraId="160CF1E7"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09A8E9DD" w14:textId="77777777" w:rsidR="0046184B"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十四、基金份额的转让</w:t>
      </w:r>
    </w:p>
    <w:p w14:paraId="30206694"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660C0472" w14:textId="77777777" w:rsidR="0046184B"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十五、基金的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76136A98"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61ED399C"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64C80131" w14:textId="77777777" w:rsidR="0046184B"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十六、基金的转托管</w:t>
      </w:r>
    </w:p>
    <w:p w14:paraId="67E2A7BD"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7D49EFEC" w14:textId="77777777" w:rsidR="0046184B"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t>十七、定期定额投资计划</w:t>
      </w:r>
    </w:p>
    <w:p w14:paraId="18863104"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F1318BA" w14:textId="77777777" w:rsidR="0046184B" w:rsidRDefault="00000000">
      <w:pPr>
        <w:widowControl/>
        <w:spacing w:line="360" w:lineRule="auto"/>
        <w:ind w:firstLineChars="200" w:firstLine="482"/>
        <w:jc w:val="left"/>
        <w:rPr>
          <w:rFonts w:asciiTheme="minorEastAsia" w:hAnsiTheme="minorEastAsia" w:cs="Arial" w:hint="eastAsia"/>
          <w:b/>
          <w:sz w:val="24"/>
          <w:szCs w:val="24"/>
        </w:rPr>
      </w:pPr>
      <w:r>
        <w:rPr>
          <w:rFonts w:asciiTheme="minorEastAsia" w:hAnsiTheme="minorEastAsia" w:cs="Arial" w:hint="eastAsia"/>
          <w:b/>
          <w:sz w:val="24"/>
          <w:szCs w:val="24"/>
        </w:rPr>
        <w:lastRenderedPageBreak/>
        <w:t>十八、基金份额的冻结、解冻与质押</w:t>
      </w:r>
    </w:p>
    <w:p w14:paraId="4AA89334" w14:textId="77777777" w:rsidR="0046184B" w:rsidRDefault="00000000">
      <w:pPr>
        <w:widowControl/>
        <w:spacing w:line="360" w:lineRule="auto"/>
        <w:ind w:firstLineChars="200" w:firstLine="480"/>
        <w:jc w:val="left"/>
        <w:rPr>
          <w:rFonts w:asciiTheme="minorEastAsia" w:hAnsiTheme="minorEastAsia" w:cs="Arial" w:hint="eastAsia"/>
          <w:sz w:val="24"/>
          <w:szCs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p>
    <w:p w14:paraId="402400A4" w14:textId="77777777" w:rsidR="0046184B" w:rsidRDefault="00000000">
      <w:pPr>
        <w:spacing w:line="360" w:lineRule="auto"/>
        <w:ind w:firstLineChars="200" w:firstLine="480"/>
        <w:rPr>
          <w:bCs/>
          <w:sz w:val="24"/>
        </w:rPr>
      </w:pPr>
      <w:r>
        <w:rPr>
          <w:rFonts w:hint="eastAsia"/>
          <w:bCs/>
          <w:sz w:val="24"/>
        </w:rPr>
        <w:t>基金份额被冻结的，被冻结部分产生的权益一并冻结，被冻结部分份额仍然参与收益分配。法律法规或监管机构另有规定的除外。</w:t>
      </w:r>
    </w:p>
    <w:p w14:paraId="15AA0B70" w14:textId="77777777" w:rsidR="0046184B" w:rsidRDefault="00000000">
      <w:pPr>
        <w:widowControl/>
        <w:spacing w:line="360" w:lineRule="auto"/>
        <w:ind w:firstLineChars="200" w:firstLine="480"/>
        <w:jc w:val="left"/>
        <w:rPr>
          <w:rFonts w:ascii="Arial" w:eastAsia="宋体" w:hAnsi="Arial" w:cs="Arial"/>
          <w:szCs w:val="21"/>
        </w:rPr>
        <w:sectPr w:rsidR="0046184B">
          <w:footerReference w:type="default" r:id="rId28"/>
          <w:pgSz w:w="11906" w:h="16838"/>
          <w:pgMar w:top="1440" w:right="1800" w:bottom="1440" w:left="1800" w:header="851" w:footer="992" w:gutter="0"/>
          <w:pgNumType w:chapStyle="1"/>
          <w:cols w:space="720"/>
          <w:docGrid w:type="lines" w:linePitch="312"/>
        </w:sectPr>
      </w:pPr>
      <w:r>
        <w:rPr>
          <w:rFonts w:asciiTheme="minorEastAsia" w:hAnsiTheme="minorEastAsia" w:cs="Arial" w:hint="eastAsia"/>
          <w:sz w:val="24"/>
          <w:szCs w:val="24"/>
        </w:rPr>
        <w:t>如相关法律法规允许基金管理人办理基金份额的质押业务或其他基金业务，基金管理人将制定和实施相应的业务规则。</w:t>
      </w:r>
    </w:p>
    <w:p w14:paraId="505376F9" w14:textId="77777777" w:rsidR="0046184B" w:rsidRDefault="00000000">
      <w:pPr>
        <w:pStyle w:val="1"/>
        <w:jc w:val="center"/>
        <w:rPr>
          <w:sz w:val="30"/>
          <w:szCs w:val="30"/>
        </w:rPr>
      </w:pPr>
      <w:bookmarkStart w:id="206" w:name="_Toc37770212"/>
      <w:r>
        <w:rPr>
          <w:rFonts w:hint="eastAsia"/>
          <w:sz w:val="30"/>
          <w:szCs w:val="30"/>
        </w:rPr>
        <w:lastRenderedPageBreak/>
        <w:t>第九部分</w:t>
      </w:r>
      <w:r>
        <w:rPr>
          <w:sz w:val="30"/>
          <w:szCs w:val="30"/>
        </w:rPr>
        <w:t xml:space="preserve">  </w:t>
      </w:r>
      <w:r>
        <w:rPr>
          <w:rFonts w:hint="eastAsia"/>
          <w:sz w:val="30"/>
          <w:szCs w:val="30"/>
        </w:rPr>
        <w:t>基金的投资</w:t>
      </w:r>
      <w:bookmarkEnd w:id="185"/>
      <w:bookmarkEnd w:id="206"/>
    </w:p>
    <w:p w14:paraId="2D0806A6" w14:textId="77777777" w:rsidR="0046184B"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一、投资目标</w:t>
      </w:r>
    </w:p>
    <w:p w14:paraId="27F3E021" w14:textId="77777777" w:rsidR="0046184B"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本基金通过对多种投资策略的有机结合，在严格控制风险的基础上，力求取得超越基金业绩比较基准的收益。</w:t>
      </w:r>
    </w:p>
    <w:p w14:paraId="51EA12F3" w14:textId="77777777" w:rsidR="0046184B"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二、投资范围</w:t>
      </w:r>
    </w:p>
    <w:p w14:paraId="1BE5E0A0"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Times New Roman" w:hint="eastAsia"/>
          <w:bCs/>
          <w:sz w:val="24"/>
          <w:szCs w:val="24"/>
        </w:rPr>
        <w:t>、存托凭证</w:t>
      </w:r>
      <w:r>
        <w:rPr>
          <w:rFonts w:hint="eastAsia"/>
          <w:bCs/>
          <w:sz w:val="24"/>
        </w:rPr>
        <w:t>，债券（含国债、金融债、企业债、公司债、央行票据、中期票据、短期融资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5CE726A0" w14:textId="77777777" w:rsidR="0046184B" w:rsidRDefault="00000000">
      <w:pPr>
        <w:spacing w:line="360" w:lineRule="auto"/>
        <w:ind w:firstLineChars="200" w:firstLine="480"/>
        <w:rPr>
          <w:rFonts w:asciiTheme="minorEastAsia" w:hAnsiTheme="minorEastAsia" w:cs="Times New Roman" w:hint="eastAsia"/>
          <w:bCs/>
          <w:sz w:val="24"/>
          <w:szCs w:val="24"/>
        </w:rPr>
      </w:pPr>
      <w:r>
        <w:rPr>
          <w:rFonts w:hint="eastAsia"/>
          <w:bCs/>
          <w:sz w:val="24"/>
        </w:rPr>
        <w:t>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asciiTheme="minorEastAsia" w:hAnsiTheme="minorEastAsia" w:cs="Times New Roman" w:hint="eastAsia"/>
          <w:bCs/>
          <w:sz w:val="24"/>
          <w:szCs w:val="24"/>
        </w:rPr>
        <w:t>，其中现金不包括结算备付金、存出保证金、应收申购款等</w:t>
      </w:r>
      <w:r>
        <w:rPr>
          <w:rFonts w:hint="eastAsia"/>
          <w:bCs/>
          <w:sz w:val="24"/>
        </w:rPr>
        <w:t>；权证投资占基金资产净值的</w:t>
      </w:r>
      <w:r>
        <w:rPr>
          <w:rFonts w:hint="eastAsia"/>
          <w:bCs/>
          <w:sz w:val="24"/>
        </w:rPr>
        <w:t>0-3%</w:t>
      </w:r>
      <w:r>
        <w:rPr>
          <w:rFonts w:asciiTheme="minorEastAsia" w:hAnsiTheme="minorEastAsia" w:cs="Times New Roman" w:hint="eastAsia"/>
          <w:bCs/>
          <w:sz w:val="24"/>
          <w:szCs w:val="24"/>
        </w:rPr>
        <w:t>。</w:t>
      </w:r>
    </w:p>
    <w:p w14:paraId="2AC1B36D" w14:textId="77777777" w:rsidR="0046184B" w:rsidRDefault="00000000">
      <w:pPr>
        <w:spacing w:line="360" w:lineRule="auto"/>
        <w:ind w:firstLineChars="200" w:firstLine="480"/>
        <w:rPr>
          <w:rFonts w:asciiTheme="minorEastAsia" w:hAnsiTheme="minorEastAsia" w:cs="Times New Roman" w:hint="eastAsia"/>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40D1444" w14:textId="77777777" w:rsidR="0046184B"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三、投资策略</w:t>
      </w:r>
    </w:p>
    <w:p w14:paraId="64CF735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（一）资产配置策略</w:t>
      </w:r>
    </w:p>
    <w:p w14:paraId="05885CAC"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本基金将通过跟踪</w:t>
      </w:r>
      <w:proofErr w:type="gramStart"/>
      <w:r>
        <w:rPr>
          <w:rFonts w:hint="eastAsia"/>
          <w:bCs/>
          <w:sz w:val="24"/>
        </w:rPr>
        <w:t>考量</w:t>
      </w:r>
      <w:proofErr w:type="gramEnd"/>
      <w:r>
        <w:rPr>
          <w:rFonts w:hint="eastAsia"/>
          <w:bCs/>
          <w:sz w:val="24"/>
        </w:rPr>
        <w:t>通常的宏观经济变量（包括</w:t>
      </w:r>
      <w:r>
        <w:rPr>
          <w:rFonts w:hint="eastAsia"/>
          <w:bCs/>
          <w:sz w:val="24"/>
        </w:rPr>
        <w:t>GDP</w:t>
      </w:r>
      <w:r>
        <w:rPr>
          <w:rFonts w:hint="eastAsia"/>
          <w:bCs/>
          <w:sz w:val="24"/>
        </w:rPr>
        <w:t>增长率、</w:t>
      </w:r>
      <w:r>
        <w:rPr>
          <w:rFonts w:hint="eastAsia"/>
          <w:bCs/>
          <w:sz w:val="24"/>
        </w:rPr>
        <w:t>CPI</w:t>
      </w:r>
      <w:r>
        <w:rPr>
          <w:rFonts w:hint="eastAsia"/>
          <w:bCs/>
          <w:sz w:val="24"/>
        </w:rPr>
        <w:t>走势、</w:t>
      </w:r>
      <w:r>
        <w:rPr>
          <w:rFonts w:hint="eastAsia"/>
          <w:bCs/>
          <w:sz w:val="24"/>
        </w:rPr>
        <w:t>M2</w:t>
      </w:r>
      <w:r>
        <w:rPr>
          <w:rFonts w:hint="eastAsia"/>
          <w:bCs/>
          <w:sz w:val="24"/>
        </w:rPr>
        <w:t>的绝对水平和增长率、利率水平与走势等）以及各项国家政策（包括财政、税收、货币、汇率政策等），并</w:t>
      </w:r>
      <w:proofErr w:type="gramStart"/>
      <w:r>
        <w:rPr>
          <w:rFonts w:hint="eastAsia"/>
          <w:bCs/>
          <w:sz w:val="24"/>
        </w:rPr>
        <w:t>结合美</w:t>
      </w:r>
      <w:proofErr w:type="gramEnd"/>
      <w:r>
        <w:rPr>
          <w:rFonts w:hint="eastAsia"/>
          <w:bCs/>
          <w:sz w:val="24"/>
        </w:rPr>
        <w:t>林时钟等科学严谨的资产配置模型，动态评估不同资产大类在不同时期的投资价值及其风险收益特征，追求股票、债券和货币等大类资产的灵活配置和稳健收益。</w:t>
      </w:r>
    </w:p>
    <w:p w14:paraId="5B57EF53" w14:textId="77777777" w:rsidR="0046184B" w:rsidRDefault="00000000">
      <w:pPr>
        <w:autoSpaceDE w:val="0"/>
        <w:autoSpaceDN w:val="0"/>
        <w:spacing w:line="360" w:lineRule="auto"/>
        <w:ind w:firstLineChars="200" w:firstLine="480"/>
        <w:textAlignment w:val="bottom"/>
        <w:rPr>
          <w:bCs/>
          <w:sz w:val="24"/>
        </w:rPr>
      </w:pPr>
      <w:r>
        <w:rPr>
          <w:rFonts w:hint="eastAsia"/>
          <w:bCs/>
          <w:sz w:val="24"/>
        </w:rPr>
        <w:t>（二）债券投资策略</w:t>
      </w:r>
    </w:p>
    <w:p w14:paraId="57852FD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本基金债券投资将</w:t>
      </w:r>
      <w:proofErr w:type="gramStart"/>
      <w:r>
        <w:rPr>
          <w:rFonts w:hint="eastAsia"/>
          <w:bCs/>
          <w:sz w:val="24"/>
        </w:rPr>
        <w:t>采取久期策略</w:t>
      </w:r>
      <w:proofErr w:type="gramEnd"/>
      <w:r>
        <w:rPr>
          <w:rFonts w:hint="eastAsia"/>
          <w:bCs/>
          <w:sz w:val="24"/>
        </w:rPr>
        <w:t>、收益率曲线策略、骑乘策略、息差策略、</w:t>
      </w:r>
      <w:proofErr w:type="gramStart"/>
      <w:r>
        <w:rPr>
          <w:rFonts w:hint="eastAsia"/>
          <w:bCs/>
          <w:sz w:val="24"/>
        </w:rPr>
        <w:lastRenderedPageBreak/>
        <w:t>个券</w:t>
      </w:r>
      <w:proofErr w:type="gramEnd"/>
      <w:r>
        <w:rPr>
          <w:rFonts w:hint="eastAsia"/>
          <w:bCs/>
          <w:sz w:val="24"/>
        </w:rPr>
        <w:t>选择策略、信用策略、中小企业私募债投资策略、可转债投资策略等积极投资策略，灵活地调整组合的券种搭配，精选个</w:t>
      </w:r>
      <w:proofErr w:type="gramStart"/>
      <w:r>
        <w:rPr>
          <w:rFonts w:hint="eastAsia"/>
          <w:bCs/>
          <w:sz w:val="24"/>
        </w:rPr>
        <w:t>券</w:t>
      </w:r>
      <w:proofErr w:type="gramEnd"/>
      <w:r>
        <w:rPr>
          <w:rFonts w:hint="eastAsia"/>
          <w:bCs/>
          <w:sz w:val="24"/>
        </w:rPr>
        <w:t>，力争实现投资组合的保值增值。</w:t>
      </w:r>
    </w:p>
    <w:p w14:paraId="2B8A6D5B" w14:textId="77777777" w:rsidR="0046184B"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w:t>
      </w:r>
      <w:proofErr w:type="gramStart"/>
      <w:r>
        <w:rPr>
          <w:rFonts w:hint="eastAsia"/>
          <w:bCs/>
          <w:sz w:val="24"/>
        </w:rPr>
        <w:t>久期策略</w:t>
      </w:r>
      <w:proofErr w:type="gramEnd"/>
    </w:p>
    <w:p w14:paraId="789212BF" w14:textId="77777777" w:rsidR="0046184B" w:rsidRDefault="00000000">
      <w:pPr>
        <w:autoSpaceDE w:val="0"/>
        <w:autoSpaceDN w:val="0"/>
        <w:spacing w:line="360" w:lineRule="auto"/>
        <w:ind w:firstLineChars="200" w:firstLine="480"/>
        <w:textAlignment w:val="bottom"/>
        <w:rPr>
          <w:bCs/>
          <w:sz w:val="24"/>
        </w:rPr>
      </w:pPr>
      <w:proofErr w:type="gramStart"/>
      <w:r>
        <w:rPr>
          <w:rFonts w:hint="eastAsia"/>
          <w:bCs/>
          <w:sz w:val="24"/>
        </w:rPr>
        <w:t>久期管理</w:t>
      </w:r>
      <w:proofErr w:type="gramEnd"/>
      <w:r>
        <w:rPr>
          <w:rFonts w:hint="eastAsia"/>
          <w:bCs/>
          <w:sz w:val="24"/>
        </w:rPr>
        <w:t>是债券投资的重要</w:t>
      </w:r>
      <w:proofErr w:type="gramStart"/>
      <w:r>
        <w:rPr>
          <w:rFonts w:hint="eastAsia"/>
          <w:bCs/>
          <w:sz w:val="24"/>
        </w:rPr>
        <w:t>考量</w:t>
      </w:r>
      <w:proofErr w:type="gramEnd"/>
      <w:r>
        <w:rPr>
          <w:rFonts w:hint="eastAsia"/>
          <w:bCs/>
          <w:sz w:val="24"/>
        </w:rPr>
        <w:t>因素，本基金将采用以“目标久期”为中心、</w:t>
      </w:r>
      <w:r>
        <w:rPr>
          <w:rFonts w:hint="eastAsia"/>
          <w:bCs/>
          <w:sz w:val="24"/>
        </w:rPr>
        <w:t xml:space="preserve"> </w:t>
      </w:r>
      <w:r>
        <w:rPr>
          <w:rFonts w:hint="eastAsia"/>
          <w:bCs/>
          <w:sz w:val="24"/>
        </w:rPr>
        <w:t>自上而下的</w:t>
      </w:r>
      <w:proofErr w:type="gramStart"/>
      <w:r>
        <w:rPr>
          <w:rFonts w:hint="eastAsia"/>
          <w:bCs/>
          <w:sz w:val="24"/>
        </w:rPr>
        <w:t>组合久期管理</w:t>
      </w:r>
      <w:proofErr w:type="gramEnd"/>
      <w:r>
        <w:rPr>
          <w:rFonts w:hint="eastAsia"/>
          <w:bCs/>
          <w:sz w:val="24"/>
        </w:rPr>
        <w:t>策略。</w:t>
      </w:r>
    </w:p>
    <w:p w14:paraId="16E62FA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、收益率曲线策略</w:t>
      </w:r>
    </w:p>
    <w:p w14:paraId="17BF2D0E"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收益率曲线的形状变化是判断市场整体走向的一个重要依据，本基金将据此调整组合长、中、短期债券的搭配，并进行动态调整。</w:t>
      </w:r>
    </w:p>
    <w:p w14:paraId="1C30309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、骑乘策略</w:t>
      </w:r>
    </w:p>
    <w:p w14:paraId="7FC463F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本基金将采用基于收益率曲线分析对债券组合进行适时调整的骑乘策略，</w:t>
      </w:r>
      <w:r>
        <w:rPr>
          <w:rFonts w:hint="eastAsia"/>
          <w:bCs/>
          <w:sz w:val="24"/>
        </w:rPr>
        <w:t xml:space="preserve"> </w:t>
      </w:r>
      <w:r>
        <w:rPr>
          <w:rFonts w:hint="eastAsia"/>
          <w:bCs/>
          <w:sz w:val="24"/>
        </w:rPr>
        <w:t>以达到增强组合的持有期收益的目的。</w:t>
      </w:r>
    </w:p>
    <w:p w14:paraId="2C3C28DE" w14:textId="77777777" w:rsidR="0046184B"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、息差策略</w:t>
      </w:r>
    </w:p>
    <w:p w14:paraId="1AF8853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本基金将</w:t>
      </w:r>
      <w:proofErr w:type="gramStart"/>
      <w:r>
        <w:rPr>
          <w:rFonts w:hint="eastAsia"/>
          <w:bCs/>
          <w:sz w:val="24"/>
        </w:rPr>
        <w:t>采用息</w:t>
      </w:r>
      <w:proofErr w:type="gramEnd"/>
      <w:r>
        <w:rPr>
          <w:rFonts w:hint="eastAsia"/>
          <w:bCs/>
          <w:sz w:val="24"/>
        </w:rPr>
        <w:t>差策略，以达到更好地利用杠杆放大债券投资的收益的目的。</w:t>
      </w:r>
    </w:p>
    <w:p w14:paraId="4B1B9481" w14:textId="77777777" w:rsidR="0046184B"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w:t>
      </w:r>
      <w:proofErr w:type="gramStart"/>
      <w:r>
        <w:rPr>
          <w:rFonts w:hint="eastAsia"/>
          <w:bCs/>
          <w:sz w:val="24"/>
        </w:rPr>
        <w:t>个券</w:t>
      </w:r>
      <w:proofErr w:type="gramEnd"/>
      <w:r>
        <w:rPr>
          <w:rFonts w:hint="eastAsia"/>
          <w:bCs/>
          <w:sz w:val="24"/>
        </w:rPr>
        <w:t>选择策略</w:t>
      </w:r>
    </w:p>
    <w:p w14:paraId="7C1CE690"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本基金将根据单个债券到期收益率相对于市场收益率曲线的偏离程度，结合信用等级、流动性、选择权条款、税赋特点等因素，确定其投资价值，选择定价合理或价值被低估的债券进行投资。</w:t>
      </w:r>
    </w:p>
    <w:p w14:paraId="7BC60A03" w14:textId="77777777" w:rsidR="0046184B"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、信用策略</w:t>
      </w:r>
    </w:p>
    <w:p w14:paraId="777AFDE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Pr>
          <w:rFonts w:hint="eastAsia"/>
          <w:bCs/>
          <w:sz w:val="24"/>
        </w:rPr>
        <w:t>债进行</w:t>
      </w:r>
      <w:proofErr w:type="gramEnd"/>
      <w:r>
        <w:rPr>
          <w:rFonts w:hint="eastAsia"/>
          <w:bCs/>
          <w:sz w:val="24"/>
        </w:rPr>
        <w:t>投资。</w:t>
      </w:r>
    </w:p>
    <w:p w14:paraId="446BD85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、中小企业私募债券策略</w:t>
      </w:r>
    </w:p>
    <w:p w14:paraId="785775D1" w14:textId="77777777" w:rsidR="0046184B" w:rsidRDefault="00000000">
      <w:pPr>
        <w:autoSpaceDE w:val="0"/>
        <w:autoSpaceDN w:val="0"/>
        <w:spacing w:line="360" w:lineRule="auto"/>
        <w:ind w:firstLineChars="200" w:firstLine="480"/>
        <w:textAlignment w:val="bottom"/>
        <w:rPr>
          <w:bCs/>
          <w:sz w:val="24"/>
        </w:rPr>
      </w:pPr>
      <w:r>
        <w:rPr>
          <w:rFonts w:hint="eastAsia"/>
          <w:bCs/>
          <w:sz w:val="24"/>
        </w:rPr>
        <w:t>中小企业私募债券是在中国境内以非公开方式发行和转让，约定在一定期限还本付息的公司债券。由于其非公开性及条款可协商性，普遍具有较高收益。</w:t>
      </w:r>
      <w:r>
        <w:rPr>
          <w:rFonts w:hint="eastAsia"/>
          <w:bCs/>
          <w:sz w:val="24"/>
        </w:rPr>
        <w:t xml:space="preserve"> </w:t>
      </w:r>
      <w:r>
        <w:rPr>
          <w:rFonts w:hint="eastAsia"/>
          <w:bCs/>
          <w:sz w:val="24"/>
        </w:rPr>
        <w:t>本基金将深入研究发行人资信及公司运营情况，合理合</w:t>
      </w:r>
      <w:proofErr w:type="gramStart"/>
      <w:r>
        <w:rPr>
          <w:rFonts w:hint="eastAsia"/>
          <w:bCs/>
          <w:sz w:val="24"/>
        </w:rPr>
        <w:t>规</w:t>
      </w:r>
      <w:proofErr w:type="gramEnd"/>
      <w:r>
        <w:rPr>
          <w:rFonts w:hint="eastAsia"/>
          <w:bCs/>
          <w:sz w:val="24"/>
        </w:rPr>
        <w:t>合格地进行中小企业私募债券投资。本基金在投资过程中密切监控债券信用等级或发行人信用等级变化情况，尽力规避风险，并获取超额收益。</w:t>
      </w:r>
    </w:p>
    <w:p w14:paraId="4E4FC890" w14:textId="77777777" w:rsidR="0046184B" w:rsidRDefault="00000000">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、可转债投资策略</w:t>
      </w:r>
    </w:p>
    <w:p w14:paraId="65CE1D0B"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可转债兼具权益类证券与固定收益类证券的特性，本基金一方面将对发债主</w:t>
      </w:r>
      <w:r>
        <w:rPr>
          <w:rFonts w:hint="eastAsia"/>
          <w:bCs/>
          <w:sz w:val="24"/>
        </w:rPr>
        <w:lastRenderedPageBreak/>
        <w:t>体的信用基本面进行深入挖掘以明确该可转债</w:t>
      </w:r>
      <w:proofErr w:type="gramStart"/>
      <w:r>
        <w:rPr>
          <w:rFonts w:hint="eastAsia"/>
          <w:bCs/>
          <w:sz w:val="24"/>
        </w:rPr>
        <w:t>的债底保护</w:t>
      </w:r>
      <w:proofErr w:type="gramEnd"/>
      <w:r>
        <w:rPr>
          <w:rFonts w:hint="eastAsia"/>
          <w:bCs/>
          <w:sz w:val="24"/>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Pr>
          <w:rFonts w:hint="eastAsia"/>
          <w:bCs/>
          <w:sz w:val="24"/>
        </w:rPr>
        <w:t>债进行</w:t>
      </w:r>
      <w:proofErr w:type="gramEnd"/>
      <w:r>
        <w:rPr>
          <w:rFonts w:hint="eastAsia"/>
          <w:bCs/>
          <w:sz w:val="24"/>
        </w:rPr>
        <w:t>投资。</w:t>
      </w:r>
    </w:p>
    <w:p w14:paraId="2F3D1BF1" w14:textId="77777777" w:rsidR="0046184B" w:rsidRDefault="00000000">
      <w:pPr>
        <w:autoSpaceDE w:val="0"/>
        <w:autoSpaceDN w:val="0"/>
        <w:spacing w:line="360" w:lineRule="auto"/>
        <w:ind w:firstLineChars="200" w:firstLine="480"/>
        <w:textAlignment w:val="bottom"/>
        <w:rPr>
          <w:bCs/>
          <w:sz w:val="24"/>
        </w:rPr>
      </w:pPr>
      <w:r>
        <w:rPr>
          <w:rFonts w:hint="eastAsia"/>
          <w:bCs/>
          <w:sz w:val="24"/>
        </w:rPr>
        <w:t>（三）股票投资策略</w:t>
      </w:r>
    </w:p>
    <w:p w14:paraId="5665CA6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Pr>
          <w:rFonts w:hint="eastAsia"/>
          <w:bCs/>
          <w:sz w:val="24"/>
        </w:rPr>
        <w:t>研</w:t>
      </w:r>
      <w:proofErr w:type="gramEnd"/>
      <w:r>
        <w:rPr>
          <w:rFonts w:hint="eastAsia"/>
          <w:bCs/>
          <w:sz w:val="24"/>
        </w:rPr>
        <w:t>判，力争实现组合的保值增值。</w:t>
      </w:r>
    </w:p>
    <w:p w14:paraId="1A13F50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、自上而下的行业遴选</w:t>
      </w:r>
    </w:p>
    <w:p w14:paraId="0AAB7B7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Pr>
          <w:rFonts w:hint="eastAsia"/>
          <w:bCs/>
          <w:sz w:val="24"/>
        </w:rPr>
        <w:t xml:space="preserve"> </w:t>
      </w:r>
      <w:r>
        <w:rPr>
          <w:rFonts w:hint="eastAsia"/>
          <w:bCs/>
          <w:sz w:val="24"/>
        </w:rPr>
        <w:t>特别是业内竞争的方式、业内竞争的激烈程度、以及业内厂商的谈判能力等。基于对行业结构的分析形成对业内竞争的关键成功要素的判断，为预测企业经营环境的变化建立起扎实的基础。</w:t>
      </w:r>
    </w:p>
    <w:p w14:paraId="6FAD2680" w14:textId="77777777" w:rsidR="0046184B"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、自下而上的个股选择</w:t>
      </w:r>
    </w:p>
    <w:p w14:paraId="60AAF043"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Pr>
          <w:rFonts w:hint="eastAsia"/>
          <w:bCs/>
          <w:sz w:val="24"/>
        </w:rPr>
        <w:t>就核心</w:t>
      </w:r>
      <w:proofErr w:type="gramEnd"/>
      <w:r>
        <w:rPr>
          <w:rFonts w:hint="eastAsia"/>
          <w:bCs/>
          <w:sz w:val="24"/>
        </w:rPr>
        <w:t>竞争力，分析公司的现有核心竞争力，并判断公司能否利用现有的资源、能力和定位取得可持续竞争优势。</w:t>
      </w:r>
    </w:p>
    <w:p w14:paraId="18D02C9C"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另一方面是管理层分析，在国内监管体系落后、公司治理结构不完善的基础上，上市公司的命运对管理团队的依赖度大大增加。本基金将着重考察公司的管理层以及管理制度。</w:t>
      </w:r>
    </w:p>
    <w:p w14:paraId="054C103A" w14:textId="77777777" w:rsidR="0046184B"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、综合</w:t>
      </w:r>
      <w:proofErr w:type="gramStart"/>
      <w:r>
        <w:rPr>
          <w:rFonts w:hint="eastAsia"/>
          <w:bCs/>
          <w:sz w:val="24"/>
        </w:rPr>
        <w:t>研</w:t>
      </w:r>
      <w:proofErr w:type="gramEnd"/>
      <w:r>
        <w:rPr>
          <w:rFonts w:hint="eastAsia"/>
          <w:bCs/>
          <w:sz w:val="24"/>
        </w:rPr>
        <w:t>判</w:t>
      </w:r>
    </w:p>
    <w:p w14:paraId="5217335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本基金在自上而下和自下而上的基础上，结合估值分析，力争实现组合的保值增值。通过对估值方法的选择和估值倍数的比较，选择股价相对低估的股票。</w:t>
      </w:r>
      <w:r>
        <w:rPr>
          <w:rFonts w:hint="eastAsia"/>
          <w:bCs/>
          <w:sz w:val="24"/>
        </w:rPr>
        <w:lastRenderedPageBreak/>
        <w:t>就估值方法而言，基于行业的特点确定对股价最有影响力的关键估值方法（包括</w:t>
      </w:r>
      <w:r>
        <w:rPr>
          <w:rFonts w:hint="eastAsia"/>
          <w:bCs/>
          <w:sz w:val="24"/>
        </w:rPr>
        <w:t>PE</w:t>
      </w:r>
      <w:r>
        <w:rPr>
          <w:rFonts w:hint="eastAsia"/>
          <w:bCs/>
          <w:sz w:val="24"/>
        </w:rPr>
        <w:t>、</w:t>
      </w:r>
      <w:r>
        <w:rPr>
          <w:rFonts w:hint="eastAsia"/>
          <w:bCs/>
          <w:sz w:val="24"/>
        </w:rPr>
        <w:t>PEG</w:t>
      </w:r>
      <w:r>
        <w:rPr>
          <w:rFonts w:hint="eastAsia"/>
          <w:bCs/>
          <w:sz w:val="24"/>
        </w:rPr>
        <w:t>、</w:t>
      </w:r>
      <w:r>
        <w:rPr>
          <w:rFonts w:hint="eastAsia"/>
          <w:bCs/>
          <w:sz w:val="24"/>
        </w:rPr>
        <w:t>PB</w:t>
      </w:r>
      <w:r>
        <w:rPr>
          <w:rFonts w:hint="eastAsia"/>
          <w:bCs/>
          <w:sz w:val="24"/>
        </w:rPr>
        <w:t>、</w:t>
      </w:r>
      <w:r>
        <w:rPr>
          <w:rFonts w:hint="eastAsia"/>
          <w:bCs/>
          <w:sz w:val="24"/>
        </w:rPr>
        <w:t>PS</w:t>
      </w:r>
      <w:r>
        <w:rPr>
          <w:rFonts w:hint="eastAsia"/>
          <w:bCs/>
          <w:sz w:val="24"/>
        </w:rPr>
        <w:t>、</w:t>
      </w:r>
      <w:r>
        <w:rPr>
          <w:rFonts w:hint="eastAsia"/>
          <w:bCs/>
          <w:sz w:val="24"/>
        </w:rPr>
        <w:t>EV/EBITDA</w:t>
      </w:r>
      <w:r>
        <w:rPr>
          <w:rFonts w:hint="eastAsia"/>
          <w:bCs/>
          <w:sz w:val="24"/>
        </w:rPr>
        <w:t>等）；就估值倍数而言，通过业内比较、历史比较和增长性分析，确定具有上升基础的股价水平。</w:t>
      </w:r>
    </w:p>
    <w:p w14:paraId="5F19B299" w14:textId="77777777" w:rsidR="0046184B" w:rsidRDefault="00000000">
      <w:pPr>
        <w:autoSpaceDE w:val="0"/>
        <w:autoSpaceDN w:val="0"/>
        <w:spacing w:line="360" w:lineRule="auto"/>
        <w:ind w:firstLineChars="200" w:firstLine="480"/>
        <w:textAlignment w:val="bottom"/>
        <w:rPr>
          <w:bCs/>
          <w:sz w:val="24"/>
        </w:rPr>
      </w:pPr>
      <w:bookmarkStart w:id="207" w:name="_Toc386095938"/>
      <w:r>
        <w:rPr>
          <w:rFonts w:hint="eastAsia"/>
          <w:bCs/>
          <w:sz w:val="24"/>
        </w:rPr>
        <w:t>（四）金融衍生</w:t>
      </w:r>
      <w:proofErr w:type="gramStart"/>
      <w:r>
        <w:rPr>
          <w:rFonts w:hint="eastAsia"/>
          <w:bCs/>
          <w:sz w:val="24"/>
        </w:rPr>
        <w:t>品投资</w:t>
      </w:r>
      <w:proofErr w:type="gramEnd"/>
      <w:r>
        <w:rPr>
          <w:rFonts w:hint="eastAsia"/>
          <w:bCs/>
          <w:sz w:val="24"/>
        </w:rPr>
        <w:t>策略</w:t>
      </w:r>
      <w:bookmarkEnd w:id="207"/>
    </w:p>
    <w:p w14:paraId="77E58C8B" w14:textId="77777777" w:rsidR="0046184B" w:rsidRDefault="00000000">
      <w:pPr>
        <w:autoSpaceDE w:val="0"/>
        <w:autoSpaceDN w:val="0"/>
        <w:spacing w:line="360" w:lineRule="auto"/>
        <w:ind w:firstLineChars="200" w:firstLine="480"/>
        <w:textAlignment w:val="bottom"/>
        <w:rPr>
          <w:bCs/>
          <w:sz w:val="24"/>
        </w:rPr>
      </w:pPr>
      <w:r>
        <w:rPr>
          <w:bCs/>
          <w:sz w:val="24"/>
        </w:rPr>
        <w:t>1</w:t>
      </w:r>
      <w:r>
        <w:rPr>
          <w:rFonts w:hint="eastAsia"/>
          <w:bCs/>
          <w:sz w:val="24"/>
        </w:rPr>
        <w:t>、权证投资策略</w:t>
      </w:r>
    </w:p>
    <w:p w14:paraId="3C4D9F17" w14:textId="77777777" w:rsidR="0046184B" w:rsidRDefault="00000000">
      <w:pPr>
        <w:autoSpaceDE w:val="0"/>
        <w:autoSpaceDN w:val="0"/>
        <w:spacing w:line="360" w:lineRule="auto"/>
        <w:ind w:firstLineChars="200" w:firstLine="480"/>
        <w:textAlignment w:val="bottom"/>
        <w:rPr>
          <w:bCs/>
          <w:sz w:val="24"/>
        </w:rPr>
      </w:pPr>
      <w:r>
        <w:rPr>
          <w:bCs/>
          <w:sz w:val="24"/>
        </w:rPr>
        <w:t>权证为本基金辅助性投资工具，投资原则为有利于基金资产增值、控制下跌风险。</w:t>
      </w:r>
      <w:r>
        <w:rPr>
          <w:rFonts w:hint="eastAsia"/>
          <w:bCs/>
          <w:sz w:val="24"/>
        </w:rPr>
        <w:t>本基金在权证投资方面将以价值分析为基础，在采用数量化模型分析其合理定价的基础上，立足于无风险套利，力求稳健的投资收益。</w:t>
      </w:r>
    </w:p>
    <w:p w14:paraId="08DD1318" w14:textId="77777777" w:rsidR="0046184B" w:rsidRDefault="00000000">
      <w:pPr>
        <w:autoSpaceDE w:val="0"/>
        <w:autoSpaceDN w:val="0"/>
        <w:spacing w:line="360" w:lineRule="auto"/>
        <w:ind w:firstLineChars="200" w:firstLine="480"/>
        <w:textAlignment w:val="bottom"/>
        <w:rPr>
          <w:bCs/>
          <w:sz w:val="24"/>
        </w:rPr>
      </w:pPr>
      <w:r>
        <w:rPr>
          <w:bCs/>
          <w:sz w:val="24"/>
        </w:rPr>
        <w:t>2</w:t>
      </w:r>
      <w:r>
        <w:rPr>
          <w:rFonts w:hint="eastAsia"/>
          <w:bCs/>
          <w:sz w:val="24"/>
        </w:rPr>
        <w:t>、股指期货投资策略</w:t>
      </w:r>
    </w:p>
    <w:p w14:paraId="24323C1D" w14:textId="77777777" w:rsidR="0046184B" w:rsidRDefault="00000000">
      <w:pPr>
        <w:autoSpaceDE w:val="0"/>
        <w:autoSpaceDN w:val="0"/>
        <w:spacing w:line="360" w:lineRule="auto"/>
        <w:ind w:firstLineChars="200" w:firstLine="480"/>
        <w:textAlignment w:val="bottom"/>
        <w:rPr>
          <w:bCs/>
          <w:sz w:val="24"/>
        </w:rPr>
      </w:pPr>
      <w:r>
        <w:rPr>
          <w:bCs/>
          <w:sz w:val="24"/>
        </w:rPr>
        <w:t>本基金将根据风险管理的原则，以套期保值为目的，在风险可控的前提下，本着谨慎原则，参与股指期货的投资，以管理投资组合的系统性风险，改善组合的风险收益特性。</w:t>
      </w:r>
    </w:p>
    <w:p w14:paraId="3638E772" w14:textId="77777777" w:rsidR="0046184B"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、股票期权投资策略</w:t>
      </w:r>
    </w:p>
    <w:p w14:paraId="4013E21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本基金按照风险管理的原则，在严格控制风险的前提下，</w:t>
      </w:r>
      <w:r>
        <w:rPr>
          <w:bCs/>
          <w:sz w:val="24"/>
        </w:rPr>
        <w:t>以套期保值为目的，</w:t>
      </w:r>
      <w:r>
        <w:rPr>
          <w:rFonts w:hint="eastAsia"/>
          <w:bCs/>
          <w:sz w:val="24"/>
        </w:rPr>
        <w:t>选择流动性好、交易活跃的股票期权合约进行投资。本基金基于证券市场的判断，结合期权定价模型，选择估值合理的股票期权合约。</w:t>
      </w:r>
    </w:p>
    <w:p w14:paraId="55D693B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本基金投资股票期权，基金管理人将根据审慎原则，建立期权交易决策部门或小组，授权特定的管理人员负责期权的投资审批事项，以防范期权投资的风险。</w:t>
      </w:r>
    </w:p>
    <w:p w14:paraId="23ED556E" w14:textId="77777777" w:rsidR="0046184B"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、国债期货投资策略</w:t>
      </w:r>
    </w:p>
    <w:p w14:paraId="62F32C2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本基金投资国债期货，将根据风险管理的原则，</w:t>
      </w:r>
      <w:r>
        <w:rPr>
          <w:bCs/>
          <w:sz w:val="24"/>
        </w:rPr>
        <w:t>以套期保值为目的，</w:t>
      </w:r>
      <w:r>
        <w:rPr>
          <w:rFonts w:hint="eastAsia"/>
          <w:bCs/>
          <w:sz w:val="24"/>
        </w:rPr>
        <w:t>充分考虑国债期货的流动性和风险收益特征，在风险可控的前提下，适度参与国债期货投资。</w:t>
      </w:r>
    </w:p>
    <w:p w14:paraId="25F1FA83"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未来，根据市场情况，基金可相应调整和更新相关投资策略，并在招募说明书更新中公告。</w:t>
      </w:r>
    </w:p>
    <w:p w14:paraId="4F24305B" w14:textId="77777777" w:rsidR="0046184B" w:rsidRDefault="00000000">
      <w:pPr>
        <w:autoSpaceDE w:val="0"/>
        <w:autoSpaceDN w:val="0"/>
        <w:spacing w:line="360" w:lineRule="auto"/>
        <w:ind w:firstLineChars="200" w:firstLine="480"/>
        <w:textAlignment w:val="bottom"/>
        <w:rPr>
          <w:bCs/>
          <w:sz w:val="24"/>
        </w:rPr>
      </w:pPr>
      <w:r>
        <w:rPr>
          <w:rFonts w:hint="eastAsia"/>
          <w:bCs/>
          <w:sz w:val="24"/>
        </w:rPr>
        <w:t>（五）资产支持证券投资策略</w:t>
      </w:r>
    </w:p>
    <w:p w14:paraId="3A5FF8D0"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0ED910AB" w14:textId="77777777" w:rsidR="0046184B" w:rsidRDefault="00000000">
      <w:pPr>
        <w:autoSpaceDE w:val="0"/>
        <w:autoSpaceDN w:val="0"/>
        <w:spacing w:line="360" w:lineRule="auto"/>
        <w:ind w:firstLineChars="200" w:firstLine="480"/>
        <w:textAlignment w:val="bottom"/>
        <w:rPr>
          <w:bCs/>
          <w:sz w:val="24"/>
        </w:rPr>
      </w:pPr>
      <w:r>
        <w:rPr>
          <w:rFonts w:hint="eastAsia"/>
          <w:bCs/>
          <w:sz w:val="24"/>
        </w:rPr>
        <w:lastRenderedPageBreak/>
        <w:t>（六）存托凭证投资策略</w:t>
      </w:r>
    </w:p>
    <w:p w14:paraId="38612013"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01185C56" w14:textId="77777777" w:rsidR="0046184B"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bCs/>
          <w:sz w:val="24"/>
        </w:rPr>
        <w:t>未来随着证券市场投资工具的发展和丰富，在符合有关法律法规规定的前提下，</w:t>
      </w:r>
      <w:r>
        <w:rPr>
          <w:rFonts w:hint="eastAsia"/>
          <w:bCs/>
          <w:sz w:val="24"/>
        </w:rPr>
        <w:t>本</w:t>
      </w:r>
      <w:r>
        <w:rPr>
          <w:bCs/>
          <w:sz w:val="24"/>
        </w:rPr>
        <w:t>基金可相应调整和更新相关投资策略。</w:t>
      </w:r>
    </w:p>
    <w:p w14:paraId="1E9B0425" w14:textId="77777777" w:rsidR="0046184B"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四、投资限制</w:t>
      </w:r>
    </w:p>
    <w:p w14:paraId="3BFABC0F"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、组合限制</w:t>
      </w:r>
    </w:p>
    <w:p w14:paraId="1D0D6EC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基金的投资组合应遵循以下限制：</w:t>
      </w:r>
    </w:p>
    <w:p w14:paraId="275F3929" w14:textId="77777777" w:rsidR="0046184B" w:rsidRDefault="00000000">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0B209936" w14:textId="77777777" w:rsidR="0046184B" w:rsidRDefault="00000000">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asciiTheme="minorEastAsia" w:hAnsiTheme="minorEastAsia" w:cs="Times New Roman" w:hint="eastAsia"/>
          <w:bCs/>
          <w:sz w:val="24"/>
          <w:szCs w:val="24"/>
        </w:rPr>
        <w:t>，其中现金不包括结算备付金、存出保证金、应收申购款等</w:t>
      </w:r>
      <w:r>
        <w:rPr>
          <w:bCs/>
          <w:sz w:val="24"/>
        </w:rPr>
        <w:t>；</w:t>
      </w:r>
    </w:p>
    <w:p w14:paraId="7CA272BF" w14:textId="77777777" w:rsidR="0046184B" w:rsidRDefault="00000000">
      <w:pPr>
        <w:spacing w:line="360" w:lineRule="auto"/>
        <w:ind w:firstLineChars="200" w:firstLine="480"/>
        <w:rPr>
          <w:bCs/>
          <w:sz w:val="24"/>
        </w:rPr>
      </w:pPr>
      <w:r>
        <w:rPr>
          <w:bCs/>
          <w:sz w:val="24"/>
        </w:rPr>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7F190A2F" w14:textId="77777777" w:rsidR="0046184B" w:rsidRDefault="00000000">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7EA8B690" w14:textId="77777777" w:rsidR="0046184B" w:rsidRDefault="00000000">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2970BE81" w14:textId="77777777" w:rsidR="0046184B" w:rsidRDefault="00000000">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65492F01" w14:textId="77777777" w:rsidR="0046184B" w:rsidRDefault="00000000">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439D38E4" w14:textId="77777777" w:rsidR="0046184B" w:rsidRDefault="00000000">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019C6284" w14:textId="77777777" w:rsidR="0046184B" w:rsidRDefault="00000000">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677C13B4" w14:textId="77777777" w:rsidR="0046184B" w:rsidRDefault="00000000">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1E0CD19C" w14:textId="77777777" w:rsidR="0046184B" w:rsidRDefault="00000000">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6CD21E38" w14:textId="77777777" w:rsidR="0046184B" w:rsidRDefault="00000000">
      <w:pPr>
        <w:spacing w:line="360" w:lineRule="auto"/>
        <w:ind w:firstLineChars="200" w:firstLine="480"/>
        <w:rPr>
          <w:bCs/>
          <w:sz w:val="24"/>
        </w:rPr>
      </w:pPr>
      <w:r>
        <w:rPr>
          <w:bCs/>
          <w:sz w:val="24"/>
        </w:rPr>
        <w:lastRenderedPageBreak/>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53DE2E4C" w14:textId="77777777" w:rsidR="0046184B" w:rsidRDefault="00000000">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0DA2FF71" w14:textId="77777777" w:rsidR="0046184B" w:rsidRDefault="00000000">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412E3FC2" w14:textId="77777777" w:rsidR="0046184B" w:rsidRDefault="00000000">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2650C7AD" w14:textId="77777777" w:rsidR="0046184B" w:rsidRDefault="00000000">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0408F54B"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66B6EF9F" w14:textId="77777777" w:rsidR="0046184B" w:rsidRDefault="00000000">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）本基金在任何交易日日终，持有的买入股指期货合约价值，不得超过基金资产净值的</w:t>
      </w:r>
      <w:r>
        <w:rPr>
          <w:rFonts w:hint="eastAsia"/>
          <w:bCs/>
          <w:sz w:val="24"/>
        </w:rPr>
        <w:t>10%</w:t>
      </w:r>
      <w:r>
        <w:rPr>
          <w:rFonts w:hint="eastAsia"/>
          <w:bCs/>
          <w:sz w:val="24"/>
        </w:rPr>
        <w:t>；</w:t>
      </w:r>
    </w:p>
    <w:p w14:paraId="13139B81" w14:textId="77777777" w:rsidR="0046184B" w:rsidRDefault="00000000">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2415730" w14:textId="77777777" w:rsidR="0046184B" w:rsidRDefault="00000000">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4FBAB689" w14:textId="77777777" w:rsidR="0046184B" w:rsidRDefault="00000000">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48F98767" w14:textId="77777777" w:rsidR="0046184B" w:rsidRDefault="00000000">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27CC47E5" w14:textId="77777777" w:rsidR="0046184B" w:rsidRDefault="00000000">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62EEEEFC" w14:textId="77777777" w:rsidR="0046184B" w:rsidRDefault="00000000">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03532EBD" w14:textId="77777777" w:rsidR="0046184B" w:rsidRDefault="00000000">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w:t>
      </w:r>
      <w:r>
        <w:rPr>
          <w:rFonts w:hint="eastAsia"/>
          <w:bCs/>
          <w:sz w:val="24"/>
        </w:rPr>
        <w:lastRenderedPageBreak/>
        <w:t>不得超过上一交易日基金资产净值的</w:t>
      </w:r>
      <w:r>
        <w:rPr>
          <w:rFonts w:hint="eastAsia"/>
          <w:bCs/>
          <w:sz w:val="24"/>
        </w:rPr>
        <w:t>30%</w:t>
      </w:r>
      <w:r>
        <w:rPr>
          <w:rFonts w:hint="eastAsia"/>
          <w:bCs/>
          <w:sz w:val="24"/>
        </w:rPr>
        <w:t>；</w:t>
      </w:r>
    </w:p>
    <w:p w14:paraId="2934BF6F" w14:textId="77777777" w:rsidR="0046184B" w:rsidRDefault="00000000">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67A0D6B2" w14:textId="77777777" w:rsidR="0046184B" w:rsidRDefault="00000000">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2059658C" w14:textId="77777777" w:rsidR="0046184B" w:rsidRDefault="00000000">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20998181" w14:textId="77777777" w:rsidR="0046184B" w:rsidRDefault="00000000">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3C09FCF1" w14:textId="77777777" w:rsidR="0046184B" w:rsidRDefault="00000000">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6639838A" w14:textId="77777777" w:rsidR="0046184B" w:rsidRDefault="00000000">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477824BE" w14:textId="77777777" w:rsidR="0046184B" w:rsidRDefault="00000000">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7265E2B" w14:textId="77777777" w:rsidR="0046184B" w:rsidRDefault="00000000">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5F78CF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44E77E1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7FDC8E6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4B4F9D52"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w:t>
      </w:r>
      <w:r>
        <w:rPr>
          <w:rFonts w:hint="eastAsia"/>
          <w:bCs/>
          <w:sz w:val="24"/>
        </w:rPr>
        <w:lastRenderedPageBreak/>
        <w:t>基金合同的有关约定。在上述期间内，本基金的投资范围、投资策略应当符合基金合同的约定。基金托管人对基金的投资的监督与检查自基金合同生效之日起开始。</w:t>
      </w:r>
    </w:p>
    <w:p w14:paraId="48532A8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法律法规或监管部门取消或调整上述限制，如适用于本基金，基金管理人在履行适当程序后，则本基金投资不再受相关限制或按调整后的规定执行。</w:t>
      </w:r>
    </w:p>
    <w:p w14:paraId="399371C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、禁止行为</w:t>
      </w:r>
    </w:p>
    <w:p w14:paraId="6880DF5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为维护基金份额持有人的合法权益，基金财产不得用于下列投资或者活动：</w:t>
      </w:r>
    </w:p>
    <w:p w14:paraId="33051D11"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）承销证券；</w:t>
      </w:r>
    </w:p>
    <w:p w14:paraId="6638F6CE"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）违反规定向他人贷款或者提供担保；</w:t>
      </w:r>
    </w:p>
    <w:p w14:paraId="326130A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）从事承担无限责任的投资；</w:t>
      </w:r>
    </w:p>
    <w:p w14:paraId="55952FA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）买卖其他基金份额，但是中国证监会另有规定的除外；</w:t>
      </w:r>
    </w:p>
    <w:p w14:paraId="57519BC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）向其基金管理人、基金托管人出资；</w:t>
      </w:r>
    </w:p>
    <w:p w14:paraId="70D18B56"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31DB59FB"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4717AFD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2C2047A" w14:textId="77777777" w:rsidR="0046184B"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法律、行政法规或监管部门取消上述禁止性规定，如适用于本基金，则本基金投资不再受相关限制。</w:t>
      </w:r>
    </w:p>
    <w:p w14:paraId="1832A4B3" w14:textId="77777777" w:rsidR="0046184B"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五、业绩比较基准</w:t>
      </w:r>
    </w:p>
    <w:p w14:paraId="69E51B8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本基金的业绩比较基准为：中</w:t>
      </w:r>
      <w:proofErr w:type="gramStart"/>
      <w:r>
        <w:rPr>
          <w:rFonts w:hint="eastAsia"/>
          <w:bCs/>
          <w:sz w:val="24"/>
        </w:rPr>
        <w:t>证全债指数</w:t>
      </w:r>
      <w:proofErr w:type="gramEnd"/>
      <w:r>
        <w:rPr>
          <w:rFonts w:hint="eastAsia"/>
          <w:bCs/>
          <w:sz w:val="24"/>
        </w:rPr>
        <w:t>收益率×</w:t>
      </w:r>
      <w:r>
        <w:rPr>
          <w:rFonts w:hint="eastAsia"/>
          <w:bCs/>
          <w:sz w:val="24"/>
        </w:rPr>
        <w:t>30%+</w:t>
      </w:r>
      <w:r>
        <w:rPr>
          <w:rFonts w:hint="eastAsia"/>
          <w:bCs/>
          <w:sz w:val="24"/>
        </w:rPr>
        <w:t>沪深</w:t>
      </w:r>
      <w:r>
        <w:rPr>
          <w:rFonts w:hint="eastAsia"/>
          <w:bCs/>
          <w:sz w:val="24"/>
        </w:rPr>
        <w:t>300</w:t>
      </w:r>
      <w:r>
        <w:rPr>
          <w:rFonts w:hint="eastAsia"/>
          <w:bCs/>
          <w:sz w:val="24"/>
        </w:rPr>
        <w:t>指数收益率×</w:t>
      </w:r>
      <w:r>
        <w:rPr>
          <w:rFonts w:hint="eastAsia"/>
          <w:bCs/>
          <w:sz w:val="24"/>
        </w:rPr>
        <w:t>70%</w:t>
      </w:r>
    </w:p>
    <w:p w14:paraId="155ED6BA" w14:textId="77777777" w:rsidR="0046184B" w:rsidRDefault="00000000">
      <w:pPr>
        <w:autoSpaceDE w:val="0"/>
        <w:autoSpaceDN w:val="0"/>
        <w:spacing w:line="360" w:lineRule="auto"/>
        <w:ind w:firstLineChars="200" w:firstLine="480"/>
        <w:textAlignment w:val="bottom"/>
        <w:rPr>
          <w:bCs/>
          <w:sz w:val="24"/>
        </w:rPr>
      </w:pPr>
      <w:r>
        <w:rPr>
          <w:rFonts w:hint="eastAsia"/>
          <w:bCs/>
          <w:sz w:val="24"/>
        </w:rPr>
        <w:t>中</w:t>
      </w:r>
      <w:proofErr w:type="gramStart"/>
      <w:r>
        <w:rPr>
          <w:rFonts w:hint="eastAsia"/>
          <w:bCs/>
          <w:sz w:val="24"/>
        </w:rPr>
        <w:t>证全债指数</w:t>
      </w:r>
      <w:proofErr w:type="gramEnd"/>
      <w:r>
        <w:rPr>
          <w:rFonts w:hint="eastAsia"/>
          <w:bCs/>
          <w:sz w:val="24"/>
        </w:rPr>
        <w:t>的选样债券的信用类别覆盖全面，期限构成宽泛，适于</w:t>
      </w:r>
      <w:proofErr w:type="gramStart"/>
      <w:r>
        <w:rPr>
          <w:rFonts w:hint="eastAsia"/>
          <w:bCs/>
          <w:sz w:val="24"/>
        </w:rPr>
        <w:t>做基金</w:t>
      </w:r>
      <w:proofErr w:type="gramEnd"/>
      <w:r>
        <w:rPr>
          <w:rFonts w:hint="eastAsia"/>
          <w:bCs/>
          <w:sz w:val="24"/>
        </w:rPr>
        <w:t>债券资产的业绩比较基准。沪深</w:t>
      </w:r>
      <w:r>
        <w:rPr>
          <w:rFonts w:hint="eastAsia"/>
          <w:bCs/>
          <w:sz w:val="24"/>
        </w:rPr>
        <w:t>300</w:t>
      </w:r>
      <w:r>
        <w:rPr>
          <w:rFonts w:hint="eastAsia"/>
          <w:bCs/>
          <w:sz w:val="24"/>
        </w:rPr>
        <w:t>指数选样科学客观，行业代表性好，流动性高，抗操纵性强，是目前市场上较有影响力的股票投资业绩比较基准。基于本基</w:t>
      </w:r>
      <w:r>
        <w:rPr>
          <w:rFonts w:hint="eastAsia"/>
          <w:bCs/>
          <w:sz w:val="24"/>
        </w:rPr>
        <w:lastRenderedPageBreak/>
        <w:t>金的投资范围和投资比例限制，选用上述业绩比较基准能够忠实反映本基金的风险收益特征。</w:t>
      </w:r>
    </w:p>
    <w:p w14:paraId="726063A0" w14:textId="77777777" w:rsidR="0046184B"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hint="eastAsia"/>
          <w:bCs/>
          <w:sz w:val="24"/>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76DAEAF5" w14:textId="77777777" w:rsidR="0046184B"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pPr>
      <w:r>
        <w:rPr>
          <w:rFonts w:asciiTheme="minorEastAsia" w:hAnsiTheme="minorEastAsia" w:cs="Times New Roman" w:hint="eastAsia"/>
          <w:bCs/>
          <w:sz w:val="24"/>
          <w:szCs w:val="24"/>
        </w:rPr>
        <w:t>六、风险收益特征</w:t>
      </w:r>
    </w:p>
    <w:p w14:paraId="4774A05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本基金属于混合型基金，其预期风险和预期收益高于货币市场基金、债券基金，低于股票型基金，属于证券投资基金中</w:t>
      </w:r>
      <w:proofErr w:type="gramStart"/>
      <w:r>
        <w:rPr>
          <w:rFonts w:hint="eastAsia"/>
          <w:bCs/>
          <w:sz w:val="24"/>
        </w:rPr>
        <w:t>中</w:t>
      </w:r>
      <w:proofErr w:type="gramEnd"/>
      <w:r>
        <w:rPr>
          <w:rFonts w:hint="eastAsia"/>
          <w:bCs/>
          <w:sz w:val="24"/>
        </w:rPr>
        <w:t>高风险、中高预期收益的品种。</w:t>
      </w:r>
    </w:p>
    <w:p w14:paraId="6037A2E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七、基金管理人代表基金行使股东和债权人权利的处理原则及方法</w:t>
      </w:r>
    </w:p>
    <w:p w14:paraId="5172A4A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、基金管理人按照国家有关规定代表基金独立行使股东和债权人权利，保护基金份额持有人的利益；</w:t>
      </w:r>
    </w:p>
    <w:p w14:paraId="3623A83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、不谋求对上市公司的控股，不参与所投资上市公司的经营管理；</w:t>
      </w:r>
    </w:p>
    <w:p w14:paraId="10F8D7AB" w14:textId="77777777" w:rsidR="0046184B"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、有利于基金财产的安全与增值；</w:t>
      </w:r>
    </w:p>
    <w:p w14:paraId="35766981" w14:textId="77777777" w:rsidR="0046184B" w:rsidRDefault="00000000">
      <w:pPr>
        <w:autoSpaceDE w:val="0"/>
        <w:autoSpaceDN w:val="0"/>
        <w:spacing w:line="360" w:lineRule="auto"/>
        <w:ind w:firstLineChars="200" w:firstLine="480"/>
        <w:textAlignment w:val="bottom"/>
        <w:rPr>
          <w:rFonts w:ascii="Times New Roman" w:eastAsia="宋体" w:hAnsi="Times New Roman" w:cs="Times New Roman"/>
          <w:b/>
          <w:kern w:val="0"/>
          <w:sz w:val="30"/>
          <w:szCs w:val="30"/>
        </w:rPr>
      </w:pPr>
      <w:r>
        <w:rPr>
          <w:rFonts w:hint="eastAsia"/>
          <w:bCs/>
          <w:sz w:val="24"/>
        </w:rPr>
        <w:t>4</w:t>
      </w:r>
      <w:r>
        <w:rPr>
          <w:rFonts w:hint="eastAsia"/>
          <w:bCs/>
          <w:sz w:val="24"/>
        </w:rPr>
        <w:t>、不通过关联交易为自身、雇员、授权代理人或任何存在利害关系的第三人牟取任何不当利益。</w:t>
      </w:r>
    </w:p>
    <w:p w14:paraId="1ABA3E0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八、基金投资组合报告</w:t>
      </w:r>
    </w:p>
    <w:p w14:paraId="75EB376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基金管理人的董事会、董事保证本报告所载资料不存在虚假记载、误导性陈述或重大遗漏，并对其内容的真实性、准确性和完整性承担个别及连带的法律责任。</w:t>
      </w:r>
    </w:p>
    <w:p w14:paraId="5BBA9ECD"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基金托管人平安银行股份有限公司根据本基金合同规定，已复核了本报告中的财务指标、净值表现和投资组合报告等内容，保证复核内容不存在虚假记载、误导性陈述或者重大遗漏。</w:t>
      </w:r>
    </w:p>
    <w:p w14:paraId="216AF385"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本投资组合报告所载数据截至</w:t>
      </w:r>
      <w:r>
        <w:rPr>
          <w:rFonts w:asciiTheme="minorEastAsia" w:hAnsiTheme="minorEastAsia"/>
          <w:bCs/>
          <w:sz w:val="24"/>
          <w:szCs w:val="24"/>
        </w:rPr>
        <w:t xml:space="preserve"> 202</w:t>
      </w:r>
      <w:r>
        <w:rPr>
          <w:rFonts w:asciiTheme="minorEastAsia" w:hAnsiTheme="minorEastAsia" w:hint="eastAsia"/>
          <w:bCs/>
          <w:sz w:val="24"/>
          <w:szCs w:val="24"/>
        </w:rPr>
        <w:t>4年</w:t>
      </w:r>
      <w:r>
        <w:rPr>
          <w:rFonts w:asciiTheme="minorEastAsia" w:hAnsiTheme="minorEastAsia"/>
          <w:bCs/>
          <w:sz w:val="24"/>
          <w:szCs w:val="24"/>
        </w:rPr>
        <w:t>3</w:t>
      </w:r>
      <w:r>
        <w:rPr>
          <w:rFonts w:asciiTheme="minorEastAsia" w:hAnsiTheme="minorEastAsia" w:hint="eastAsia"/>
          <w:bCs/>
          <w:sz w:val="24"/>
          <w:szCs w:val="24"/>
        </w:rPr>
        <w:t>月31日，本报告中所列财务数据未经审计。</w:t>
      </w:r>
    </w:p>
    <w:p w14:paraId="1F0CEF03"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1、报告期末基金资产组合情况</w:t>
      </w:r>
    </w:p>
    <w:tbl>
      <w:tblPr>
        <w:tblW w:w="8097" w:type="dxa"/>
        <w:tblInd w:w="108" w:type="dxa"/>
        <w:tblLayout w:type="fixed"/>
        <w:tblLook w:val="04A0" w:firstRow="1" w:lastRow="0" w:firstColumn="1" w:lastColumn="0" w:noHBand="0" w:noVBand="1"/>
      </w:tblPr>
      <w:tblGrid>
        <w:gridCol w:w="739"/>
        <w:gridCol w:w="2584"/>
        <w:gridCol w:w="2349"/>
        <w:gridCol w:w="2425"/>
      </w:tblGrid>
      <w:tr w:rsidR="0046184B" w14:paraId="55663E52" w14:textId="77777777">
        <w:trPr>
          <w:trHeight w:val="415"/>
        </w:trPr>
        <w:tc>
          <w:tcPr>
            <w:tcW w:w="739" w:type="dxa"/>
            <w:tcBorders>
              <w:top w:val="single" w:sz="8" w:space="0" w:color="000000"/>
              <w:left w:val="single" w:sz="8" w:space="0" w:color="000000"/>
              <w:bottom w:val="single" w:sz="4" w:space="0" w:color="000000"/>
              <w:right w:val="single" w:sz="8" w:space="0" w:color="000000"/>
            </w:tcBorders>
            <w:vAlign w:val="center"/>
          </w:tcPr>
          <w:p w14:paraId="4E3A1AAF"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rPr>
              <w:t>序号</w:t>
            </w:r>
          </w:p>
        </w:tc>
        <w:tc>
          <w:tcPr>
            <w:tcW w:w="2584" w:type="dxa"/>
            <w:tcBorders>
              <w:top w:val="single" w:sz="8" w:space="0" w:color="000000"/>
              <w:left w:val="single" w:sz="8" w:space="0" w:color="000000"/>
              <w:bottom w:val="single" w:sz="4" w:space="0" w:color="000000"/>
              <w:right w:val="single" w:sz="8" w:space="0" w:color="000000"/>
            </w:tcBorders>
            <w:vAlign w:val="center"/>
          </w:tcPr>
          <w:p w14:paraId="261E8830" w14:textId="77777777" w:rsidR="0046184B" w:rsidRDefault="00000000">
            <w:pPr>
              <w:pStyle w:val="biaogeleft"/>
              <w:rPr>
                <w:rFonts w:asciiTheme="minorEastAsia" w:eastAsiaTheme="minorEastAsia" w:hAnsiTheme="minorEastAsia" w:hint="eastAsia"/>
              </w:rPr>
            </w:pPr>
            <w:r>
              <w:rPr>
                <w:rFonts w:asciiTheme="minorEastAsia" w:eastAsiaTheme="minorEastAsia" w:hAnsiTheme="minorEastAsia" w:hint="eastAsia"/>
              </w:rPr>
              <w:t>项目</w:t>
            </w:r>
          </w:p>
        </w:tc>
        <w:tc>
          <w:tcPr>
            <w:tcW w:w="2349" w:type="dxa"/>
            <w:tcBorders>
              <w:top w:val="single" w:sz="8" w:space="0" w:color="000000"/>
              <w:left w:val="single" w:sz="8" w:space="0" w:color="000000"/>
              <w:bottom w:val="single" w:sz="4" w:space="0" w:color="000000"/>
              <w:right w:val="single" w:sz="8" w:space="0" w:color="000000"/>
            </w:tcBorders>
            <w:vAlign w:val="center"/>
          </w:tcPr>
          <w:p w14:paraId="7C5B6064" w14:textId="77777777" w:rsidR="0046184B" w:rsidRDefault="00000000">
            <w:pPr>
              <w:pStyle w:val="biaogeright"/>
              <w:rPr>
                <w:rFonts w:asciiTheme="minorEastAsia" w:eastAsiaTheme="minorEastAsia" w:hAnsiTheme="minorEastAsia" w:hint="eastAsia"/>
              </w:rPr>
            </w:pPr>
            <w:r>
              <w:rPr>
                <w:rFonts w:asciiTheme="minorEastAsia" w:eastAsiaTheme="minorEastAsia" w:hAnsiTheme="minorEastAsia" w:hint="eastAsia"/>
              </w:rPr>
              <w:t>金额(元)</w:t>
            </w:r>
          </w:p>
        </w:tc>
        <w:tc>
          <w:tcPr>
            <w:tcW w:w="2425" w:type="dxa"/>
            <w:tcBorders>
              <w:top w:val="single" w:sz="8" w:space="0" w:color="000000"/>
              <w:left w:val="single" w:sz="8" w:space="0" w:color="000000"/>
              <w:bottom w:val="single" w:sz="4" w:space="0" w:color="000000"/>
              <w:right w:val="single" w:sz="8" w:space="0" w:color="000000"/>
            </w:tcBorders>
            <w:vAlign w:val="center"/>
          </w:tcPr>
          <w:p w14:paraId="588DDD0E" w14:textId="77777777" w:rsidR="0046184B" w:rsidRDefault="00000000">
            <w:pPr>
              <w:pStyle w:val="biaogeright"/>
              <w:rPr>
                <w:rFonts w:asciiTheme="minorEastAsia" w:eastAsiaTheme="minorEastAsia" w:hAnsiTheme="minorEastAsia" w:hint="eastAsia"/>
              </w:rPr>
            </w:pPr>
            <w:r>
              <w:rPr>
                <w:rFonts w:asciiTheme="minorEastAsia" w:eastAsiaTheme="minorEastAsia" w:hAnsiTheme="minorEastAsia" w:hint="eastAsia"/>
              </w:rPr>
              <w:t>占基金总资产的比例（%）</w:t>
            </w:r>
          </w:p>
        </w:tc>
      </w:tr>
      <w:tr w:rsidR="0046184B" w14:paraId="75E1D86B"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E71C0A1" w14:textId="77777777" w:rsidR="0046184B" w:rsidRDefault="00000000">
            <w:pPr>
              <w:pStyle w:val="biaogecenter"/>
              <w:wordWrap w:val="0"/>
              <w:rPr>
                <w:rFonts w:asciiTheme="minorEastAsia" w:eastAsiaTheme="minorEastAsia" w:hAnsiTheme="minorEastAsia" w:hint="eastAsia"/>
              </w:rPr>
            </w:pPr>
            <w:r>
              <w:rPr>
                <w:rFonts w:hAnsi="Calibri" w:hint="eastAsia"/>
                <w:color w:val="000000"/>
              </w:rPr>
              <w:t>1</w:t>
            </w:r>
          </w:p>
        </w:tc>
        <w:tc>
          <w:tcPr>
            <w:tcW w:w="2584" w:type="dxa"/>
            <w:tcBorders>
              <w:top w:val="single" w:sz="8" w:space="0" w:color="000000"/>
              <w:left w:val="single" w:sz="8" w:space="0" w:color="000000"/>
              <w:bottom w:val="single" w:sz="6" w:space="0" w:color="000000"/>
              <w:right w:val="single" w:sz="8" w:space="0" w:color="000000"/>
            </w:tcBorders>
            <w:vAlign w:val="center"/>
          </w:tcPr>
          <w:p w14:paraId="7CF7CF74" w14:textId="77777777" w:rsidR="0046184B" w:rsidRDefault="00000000">
            <w:pPr>
              <w:pStyle w:val="biaogeleft"/>
              <w:wordWrap w:val="0"/>
              <w:rPr>
                <w:rFonts w:asciiTheme="minorEastAsia" w:eastAsiaTheme="minorEastAsia" w:hAnsiTheme="minorEastAsia" w:hint="eastAsia"/>
              </w:rPr>
            </w:pPr>
            <w:r>
              <w:rPr>
                <w:rFonts w:hint="eastAsia"/>
              </w:rPr>
              <w:t>权益投资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49DE95B8" w14:textId="77777777" w:rsidR="0046184B" w:rsidRDefault="00000000">
            <w:pPr>
              <w:pStyle w:val="biaogeright"/>
              <w:wordWrap w:val="0"/>
              <w:rPr>
                <w:rFonts w:asciiTheme="minorEastAsia" w:eastAsiaTheme="minorEastAsia" w:hAnsiTheme="minorEastAsia" w:hint="eastAsia"/>
              </w:rPr>
            </w:pPr>
            <w:r>
              <w:rPr>
                <w:rFonts w:hAnsi="等线"/>
                <w:color w:val="000000"/>
              </w:rPr>
              <w:t>163,335,693.01</w:t>
            </w:r>
          </w:p>
        </w:tc>
        <w:tc>
          <w:tcPr>
            <w:tcW w:w="2425" w:type="dxa"/>
            <w:tcBorders>
              <w:top w:val="single" w:sz="8" w:space="0" w:color="000000"/>
              <w:left w:val="single" w:sz="8" w:space="0" w:color="000000"/>
              <w:bottom w:val="single" w:sz="6" w:space="0" w:color="000000"/>
              <w:right w:val="single" w:sz="8" w:space="0" w:color="000000"/>
            </w:tcBorders>
            <w:vAlign w:val="center"/>
          </w:tcPr>
          <w:p w14:paraId="7B2281FE" w14:textId="77777777" w:rsidR="0046184B" w:rsidRDefault="00000000">
            <w:pPr>
              <w:pStyle w:val="biaogeright"/>
              <w:wordWrap w:val="0"/>
              <w:rPr>
                <w:rFonts w:asciiTheme="minorEastAsia" w:eastAsiaTheme="minorEastAsia" w:hAnsiTheme="minorEastAsia" w:hint="eastAsia"/>
              </w:rPr>
            </w:pPr>
            <w:r>
              <w:rPr>
                <w:rFonts w:hAnsi="等线"/>
                <w:color w:val="000000"/>
              </w:rPr>
              <w:t>80.76</w:t>
            </w:r>
          </w:p>
        </w:tc>
      </w:tr>
      <w:tr w:rsidR="0046184B" w14:paraId="536B5F12"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7438777B" w14:textId="77777777" w:rsidR="0046184B" w:rsidRDefault="0046184B">
            <w:pPr>
              <w:pStyle w:val="biaogecenter"/>
              <w:wordWrap w:val="0"/>
              <w:rPr>
                <w:rFonts w:asciiTheme="minorEastAsia" w:eastAsiaTheme="minorEastAsia" w:hAnsiTheme="minorEastAsia" w:hint="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354C9834" w14:textId="77777777" w:rsidR="0046184B" w:rsidRDefault="00000000">
            <w:pPr>
              <w:pStyle w:val="biaogeleft"/>
              <w:wordWrap w:val="0"/>
              <w:rPr>
                <w:rFonts w:asciiTheme="minorEastAsia" w:eastAsiaTheme="minorEastAsia" w:hAnsiTheme="minorEastAsia" w:hint="eastAsia"/>
              </w:rPr>
            </w:pPr>
            <w:r>
              <w:rPr>
                <w:rFonts w:hint="eastAsia"/>
              </w:rPr>
              <w:t>其中：股票</w:t>
            </w:r>
          </w:p>
        </w:tc>
        <w:tc>
          <w:tcPr>
            <w:tcW w:w="2349" w:type="dxa"/>
            <w:tcBorders>
              <w:top w:val="single" w:sz="8" w:space="0" w:color="000000"/>
              <w:left w:val="single" w:sz="8" w:space="0" w:color="000000"/>
              <w:bottom w:val="single" w:sz="6" w:space="0" w:color="000000"/>
              <w:right w:val="single" w:sz="8" w:space="0" w:color="000000"/>
            </w:tcBorders>
            <w:vAlign w:val="center"/>
          </w:tcPr>
          <w:p w14:paraId="5677D9BB" w14:textId="77777777" w:rsidR="0046184B" w:rsidRDefault="00000000">
            <w:pPr>
              <w:pStyle w:val="biaogeright"/>
              <w:wordWrap w:val="0"/>
              <w:rPr>
                <w:rFonts w:asciiTheme="minorEastAsia" w:eastAsiaTheme="minorEastAsia" w:hAnsiTheme="minorEastAsia" w:hint="eastAsia"/>
              </w:rPr>
            </w:pPr>
            <w:r>
              <w:rPr>
                <w:rFonts w:hAnsi="等线"/>
                <w:color w:val="000000"/>
              </w:rPr>
              <w:t>163,335,693.01</w:t>
            </w:r>
          </w:p>
        </w:tc>
        <w:tc>
          <w:tcPr>
            <w:tcW w:w="2425" w:type="dxa"/>
            <w:tcBorders>
              <w:top w:val="single" w:sz="8" w:space="0" w:color="000000"/>
              <w:left w:val="single" w:sz="8" w:space="0" w:color="000000"/>
              <w:bottom w:val="single" w:sz="6" w:space="0" w:color="000000"/>
              <w:right w:val="single" w:sz="8" w:space="0" w:color="000000"/>
            </w:tcBorders>
            <w:vAlign w:val="center"/>
          </w:tcPr>
          <w:p w14:paraId="4EE8C8C7" w14:textId="77777777" w:rsidR="0046184B" w:rsidRDefault="00000000">
            <w:pPr>
              <w:pStyle w:val="biaogeright"/>
              <w:wordWrap w:val="0"/>
              <w:rPr>
                <w:rFonts w:asciiTheme="minorEastAsia" w:eastAsiaTheme="minorEastAsia" w:hAnsiTheme="minorEastAsia" w:hint="eastAsia"/>
              </w:rPr>
            </w:pPr>
            <w:r>
              <w:rPr>
                <w:rFonts w:hAnsi="等线"/>
                <w:color w:val="000000"/>
              </w:rPr>
              <w:t>80.76</w:t>
            </w:r>
          </w:p>
        </w:tc>
      </w:tr>
      <w:tr w:rsidR="0046184B" w14:paraId="04EFF8D3"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592B1B24" w14:textId="77777777" w:rsidR="0046184B" w:rsidRDefault="00000000">
            <w:pPr>
              <w:pStyle w:val="biaogecenter"/>
              <w:wordWrap w:val="0"/>
              <w:rPr>
                <w:rFonts w:asciiTheme="minorEastAsia" w:eastAsiaTheme="minorEastAsia" w:hAnsiTheme="minorEastAsia" w:hint="eastAsia"/>
              </w:rPr>
            </w:pPr>
            <w:r>
              <w:rPr>
                <w:rFonts w:hAnsi="Calibri" w:hint="eastAsia"/>
                <w:color w:val="000000"/>
              </w:rPr>
              <w:lastRenderedPageBreak/>
              <w:t>2</w:t>
            </w:r>
          </w:p>
        </w:tc>
        <w:tc>
          <w:tcPr>
            <w:tcW w:w="2584" w:type="dxa"/>
            <w:tcBorders>
              <w:top w:val="single" w:sz="8" w:space="0" w:color="000000"/>
              <w:left w:val="single" w:sz="8" w:space="0" w:color="000000"/>
              <w:bottom w:val="single" w:sz="6" w:space="0" w:color="000000"/>
              <w:right w:val="single" w:sz="8" w:space="0" w:color="000000"/>
            </w:tcBorders>
            <w:vAlign w:val="center"/>
          </w:tcPr>
          <w:p w14:paraId="65BD199B" w14:textId="77777777" w:rsidR="0046184B" w:rsidRDefault="00000000">
            <w:pPr>
              <w:pStyle w:val="biaogeleft"/>
              <w:wordWrap w:val="0"/>
              <w:rPr>
                <w:rFonts w:asciiTheme="minorEastAsia" w:eastAsiaTheme="minorEastAsia" w:hAnsiTheme="minorEastAsia" w:hint="eastAsia"/>
              </w:rPr>
            </w:pPr>
            <w:r>
              <w:rPr>
                <w:rFonts w:hint="eastAsia"/>
              </w:rPr>
              <w:t>基金投资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228C2DDF"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76C88053"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r>
      <w:tr w:rsidR="0046184B" w14:paraId="11FDD5AF"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0529761F" w14:textId="77777777" w:rsidR="0046184B" w:rsidRDefault="00000000">
            <w:pPr>
              <w:pStyle w:val="biaogecenter"/>
              <w:wordWrap w:val="0"/>
              <w:rPr>
                <w:rFonts w:asciiTheme="minorEastAsia" w:eastAsiaTheme="minorEastAsia" w:hAnsiTheme="minorEastAsia" w:hint="eastAsia"/>
              </w:rPr>
            </w:pPr>
            <w:r>
              <w:rPr>
                <w:rFonts w:hAnsi="Calibri" w:hint="eastAsia"/>
                <w:color w:val="000000"/>
              </w:rPr>
              <w:t>3</w:t>
            </w:r>
          </w:p>
        </w:tc>
        <w:tc>
          <w:tcPr>
            <w:tcW w:w="2584" w:type="dxa"/>
            <w:tcBorders>
              <w:top w:val="single" w:sz="8" w:space="0" w:color="000000"/>
              <w:left w:val="single" w:sz="8" w:space="0" w:color="000000"/>
              <w:bottom w:val="single" w:sz="6" w:space="0" w:color="000000"/>
              <w:right w:val="single" w:sz="8" w:space="0" w:color="000000"/>
            </w:tcBorders>
            <w:vAlign w:val="center"/>
          </w:tcPr>
          <w:p w14:paraId="22A530F8" w14:textId="77777777" w:rsidR="0046184B" w:rsidRDefault="00000000">
            <w:pPr>
              <w:pStyle w:val="biaogeleft"/>
              <w:wordWrap w:val="0"/>
              <w:rPr>
                <w:rFonts w:asciiTheme="minorEastAsia" w:eastAsiaTheme="minorEastAsia" w:hAnsiTheme="minorEastAsia" w:hint="eastAsia"/>
              </w:rPr>
            </w:pPr>
            <w:r>
              <w:rPr>
                <w:rFonts w:hint="eastAsia"/>
              </w:rPr>
              <w:t>固定收益投资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36546C4A"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5FCB36B0"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r>
      <w:tr w:rsidR="0046184B" w14:paraId="34E58ADB"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51FB4296" w14:textId="77777777" w:rsidR="0046184B" w:rsidRDefault="0046184B">
            <w:pPr>
              <w:pStyle w:val="biaogecenter"/>
              <w:rPr>
                <w:rFonts w:asciiTheme="minorEastAsia" w:eastAsiaTheme="minorEastAsia" w:hAnsiTheme="minorEastAsia" w:hint="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2F364E2F" w14:textId="77777777" w:rsidR="0046184B" w:rsidRDefault="00000000">
            <w:pPr>
              <w:pStyle w:val="biaogeleft"/>
              <w:wordWrap w:val="0"/>
              <w:rPr>
                <w:rFonts w:asciiTheme="minorEastAsia" w:eastAsiaTheme="minorEastAsia" w:hAnsiTheme="minorEastAsia" w:hint="eastAsia"/>
              </w:rPr>
            </w:pPr>
            <w:r>
              <w:rPr>
                <w:rFonts w:hint="eastAsia"/>
              </w:rPr>
              <w:t>其中：债券</w:t>
            </w:r>
          </w:p>
        </w:tc>
        <w:tc>
          <w:tcPr>
            <w:tcW w:w="2349" w:type="dxa"/>
            <w:tcBorders>
              <w:top w:val="single" w:sz="8" w:space="0" w:color="000000"/>
              <w:left w:val="single" w:sz="8" w:space="0" w:color="000000"/>
              <w:bottom w:val="single" w:sz="6" w:space="0" w:color="000000"/>
              <w:right w:val="single" w:sz="8" w:space="0" w:color="000000"/>
            </w:tcBorders>
            <w:vAlign w:val="center"/>
          </w:tcPr>
          <w:p w14:paraId="516224CF"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3D2AFAD5"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r>
      <w:tr w:rsidR="0046184B" w14:paraId="471CF449"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650CC65A" w14:textId="77777777" w:rsidR="0046184B" w:rsidRDefault="0046184B">
            <w:pPr>
              <w:pStyle w:val="biaogecenter"/>
              <w:wordWrap w:val="0"/>
              <w:rPr>
                <w:rFonts w:asciiTheme="minorEastAsia" w:eastAsiaTheme="minorEastAsia" w:hAnsiTheme="minorEastAsia" w:hint="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36225FE2" w14:textId="77777777" w:rsidR="0046184B" w:rsidRDefault="00000000">
            <w:pPr>
              <w:pStyle w:val="biaogeleft"/>
              <w:jc w:val="center"/>
              <w:rPr>
                <w:rFonts w:asciiTheme="minorEastAsia" w:eastAsiaTheme="minorEastAsia" w:hAnsiTheme="minorEastAsia" w:hint="eastAsia"/>
              </w:rPr>
            </w:pPr>
            <w:r>
              <w:rPr>
                <w:rFonts w:hint="eastAsia"/>
              </w:rPr>
              <w:t>资产支持证券</w:t>
            </w:r>
          </w:p>
        </w:tc>
        <w:tc>
          <w:tcPr>
            <w:tcW w:w="2349" w:type="dxa"/>
            <w:tcBorders>
              <w:top w:val="single" w:sz="8" w:space="0" w:color="000000"/>
              <w:left w:val="single" w:sz="8" w:space="0" w:color="000000"/>
              <w:bottom w:val="single" w:sz="6" w:space="0" w:color="000000"/>
              <w:right w:val="single" w:sz="8" w:space="0" w:color="000000"/>
            </w:tcBorders>
            <w:vAlign w:val="center"/>
          </w:tcPr>
          <w:p w14:paraId="5FC53E3C"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2CF17B89"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r>
      <w:tr w:rsidR="0046184B" w14:paraId="0A801ACC"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3CD4733B" w14:textId="77777777" w:rsidR="0046184B" w:rsidRDefault="00000000">
            <w:pPr>
              <w:pStyle w:val="biaogecenter"/>
              <w:wordWrap w:val="0"/>
              <w:rPr>
                <w:rFonts w:asciiTheme="minorEastAsia" w:eastAsiaTheme="minorEastAsia" w:hAnsiTheme="minorEastAsia" w:hint="eastAsia"/>
              </w:rPr>
            </w:pPr>
            <w:r>
              <w:rPr>
                <w:rFonts w:hAnsi="Calibri" w:hint="eastAsia"/>
                <w:color w:val="000000"/>
              </w:rPr>
              <w:t>4</w:t>
            </w:r>
          </w:p>
        </w:tc>
        <w:tc>
          <w:tcPr>
            <w:tcW w:w="2584" w:type="dxa"/>
            <w:tcBorders>
              <w:top w:val="single" w:sz="8" w:space="0" w:color="000000"/>
              <w:left w:val="single" w:sz="8" w:space="0" w:color="000000"/>
              <w:bottom w:val="single" w:sz="6" w:space="0" w:color="000000"/>
              <w:right w:val="single" w:sz="8" w:space="0" w:color="000000"/>
            </w:tcBorders>
            <w:vAlign w:val="center"/>
          </w:tcPr>
          <w:p w14:paraId="3D5568B0" w14:textId="77777777" w:rsidR="0046184B" w:rsidRDefault="00000000">
            <w:pPr>
              <w:pStyle w:val="biaogeleft"/>
              <w:wordWrap w:val="0"/>
              <w:rPr>
                <w:rFonts w:asciiTheme="minorEastAsia" w:eastAsiaTheme="minorEastAsia" w:hAnsiTheme="minorEastAsia" w:hint="eastAsia"/>
              </w:rPr>
            </w:pPr>
            <w:r>
              <w:rPr>
                <w:rFonts w:hint="eastAsia"/>
              </w:rPr>
              <w:t>贵金属投资</w:t>
            </w:r>
          </w:p>
        </w:tc>
        <w:tc>
          <w:tcPr>
            <w:tcW w:w="2349" w:type="dxa"/>
            <w:tcBorders>
              <w:top w:val="single" w:sz="8" w:space="0" w:color="000000"/>
              <w:left w:val="single" w:sz="8" w:space="0" w:color="000000"/>
              <w:bottom w:val="single" w:sz="6" w:space="0" w:color="000000"/>
              <w:right w:val="single" w:sz="8" w:space="0" w:color="000000"/>
            </w:tcBorders>
            <w:vAlign w:val="center"/>
          </w:tcPr>
          <w:p w14:paraId="109E0201"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18BFA094"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r>
      <w:tr w:rsidR="0046184B" w14:paraId="79AE9647"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6F90AD18" w14:textId="77777777" w:rsidR="0046184B" w:rsidRDefault="00000000">
            <w:pPr>
              <w:pStyle w:val="biaogecenter"/>
              <w:wordWrap w:val="0"/>
              <w:rPr>
                <w:rFonts w:asciiTheme="minorEastAsia" w:eastAsiaTheme="minorEastAsia" w:hAnsiTheme="minorEastAsia" w:hint="eastAsia"/>
              </w:rPr>
            </w:pPr>
            <w:r>
              <w:rPr>
                <w:rFonts w:hAnsi="Calibri" w:hint="eastAsia"/>
                <w:color w:val="000000"/>
              </w:rPr>
              <w:t>5</w:t>
            </w:r>
          </w:p>
        </w:tc>
        <w:tc>
          <w:tcPr>
            <w:tcW w:w="2584" w:type="dxa"/>
            <w:tcBorders>
              <w:top w:val="single" w:sz="8" w:space="0" w:color="000000"/>
              <w:left w:val="single" w:sz="8" w:space="0" w:color="000000"/>
              <w:bottom w:val="single" w:sz="6" w:space="0" w:color="000000"/>
              <w:right w:val="single" w:sz="8" w:space="0" w:color="000000"/>
            </w:tcBorders>
            <w:vAlign w:val="center"/>
          </w:tcPr>
          <w:p w14:paraId="1C4D5946" w14:textId="77777777" w:rsidR="0046184B" w:rsidRDefault="00000000">
            <w:pPr>
              <w:pStyle w:val="biaogeleft"/>
              <w:wordWrap w:val="0"/>
              <w:rPr>
                <w:rFonts w:asciiTheme="minorEastAsia" w:eastAsiaTheme="minorEastAsia" w:hAnsiTheme="minorEastAsia" w:hint="eastAsia"/>
              </w:rPr>
            </w:pPr>
            <w:r>
              <w:rPr>
                <w:rFonts w:hint="eastAsia"/>
              </w:rPr>
              <w:t>金融衍生</w:t>
            </w:r>
            <w:proofErr w:type="gramStart"/>
            <w:r>
              <w:rPr>
                <w:rFonts w:hint="eastAsia"/>
              </w:rPr>
              <w:t>品投资</w:t>
            </w:r>
            <w:proofErr w:type="gramEnd"/>
          </w:p>
        </w:tc>
        <w:tc>
          <w:tcPr>
            <w:tcW w:w="2349" w:type="dxa"/>
            <w:tcBorders>
              <w:top w:val="single" w:sz="8" w:space="0" w:color="000000"/>
              <w:left w:val="single" w:sz="8" w:space="0" w:color="000000"/>
              <w:bottom w:val="single" w:sz="6" w:space="0" w:color="000000"/>
              <w:right w:val="single" w:sz="8" w:space="0" w:color="000000"/>
            </w:tcBorders>
            <w:vAlign w:val="center"/>
          </w:tcPr>
          <w:p w14:paraId="5E66871A"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1E59E4E3"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r>
      <w:tr w:rsidR="0046184B" w14:paraId="08A69049"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39C81C60" w14:textId="77777777" w:rsidR="0046184B" w:rsidRDefault="00000000">
            <w:pPr>
              <w:pStyle w:val="biaogecenter"/>
              <w:wordWrap w:val="0"/>
              <w:rPr>
                <w:rFonts w:asciiTheme="minorEastAsia" w:eastAsiaTheme="minorEastAsia" w:hAnsiTheme="minorEastAsia" w:hint="eastAsia"/>
              </w:rPr>
            </w:pPr>
            <w:r>
              <w:rPr>
                <w:rFonts w:hAnsi="Calibri" w:hint="eastAsia"/>
                <w:color w:val="000000"/>
              </w:rPr>
              <w:t>6</w:t>
            </w:r>
          </w:p>
        </w:tc>
        <w:tc>
          <w:tcPr>
            <w:tcW w:w="2584" w:type="dxa"/>
            <w:tcBorders>
              <w:top w:val="single" w:sz="8" w:space="0" w:color="000000"/>
              <w:left w:val="single" w:sz="8" w:space="0" w:color="000000"/>
              <w:bottom w:val="single" w:sz="6" w:space="0" w:color="000000"/>
              <w:right w:val="single" w:sz="8" w:space="0" w:color="000000"/>
            </w:tcBorders>
            <w:vAlign w:val="center"/>
          </w:tcPr>
          <w:p w14:paraId="4CF56F02" w14:textId="77777777" w:rsidR="0046184B" w:rsidRDefault="00000000">
            <w:pPr>
              <w:pStyle w:val="biaogeleft"/>
              <w:wordWrap w:val="0"/>
              <w:rPr>
                <w:rFonts w:asciiTheme="minorEastAsia" w:eastAsiaTheme="minorEastAsia" w:hAnsiTheme="minorEastAsia" w:hint="eastAsia"/>
              </w:rPr>
            </w:pPr>
            <w:r>
              <w:rPr>
                <w:rFonts w:hint="eastAsia"/>
              </w:rPr>
              <w:t>买入返售金融资产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7EB07B49"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53769E5F"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r>
      <w:tr w:rsidR="0046184B" w14:paraId="2A831B55"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78F9F7F7" w14:textId="77777777" w:rsidR="0046184B" w:rsidRDefault="0046184B">
            <w:pPr>
              <w:pStyle w:val="biaogecenter"/>
              <w:wordWrap w:val="0"/>
              <w:rPr>
                <w:rFonts w:asciiTheme="minorEastAsia" w:eastAsiaTheme="minorEastAsia" w:hAnsiTheme="minorEastAsia" w:hint="eastAsia"/>
              </w:rPr>
            </w:pPr>
          </w:p>
        </w:tc>
        <w:tc>
          <w:tcPr>
            <w:tcW w:w="2584" w:type="dxa"/>
            <w:tcBorders>
              <w:top w:val="single" w:sz="8" w:space="0" w:color="000000"/>
              <w:left w:val="single" w:sz="8" w:space="0" w:color="000000"/>
              <w:bottom w:val="single" w:sz="6" w:space="0" w:color="000000"/>
              <w:right w:val="single" w:sz="8" w:space="0" w:color="000000"/>
            </w:tcBorders>
            <w:vAlign w:val="center"/>
          </w:tcPr>
          <w:p w14:paraId="28AAA875" w14:textId="77777777" w:rsidR="0046184B" w:rsidRDefault="00000000">
            <w:pPr>
              <w:pStyle w:val="biaogeleft"/>
              <w:wordWrap w:val="0"/>
              <w:rPr>
                <w:rFonts w:asciiTheme="minorEastAsia" w:eastAsiaTheme="minorEastAsia" w:hAnsiTheme="minorEastAsia" w:hint="eastAsia"/>
              </w:rPr>
            </w:pPr>
            <w:r>
              <w:rPr>
                <w:rFonts w:hint="eastAsia"/>
              </w:rPr>
              <w:t>其中：买断式回购的买入返售金融资产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360D4F5F"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c>
          <w:tcPr>
            <w:tcW w:w="2425" w:type="dxa"/>
            <w:tcBorders>
              <w:top w:val="single" w:sz="8" w:space="0" w:color="000000"/>
              <w:left w:val="single" w:sz="8" w:space="0" w:color="000000"/>
              <w:bottom w:val="single" w:sz="6" w:space="0" w:color="000000"/>
              <w:right w:val="single" w:sz="8" w:space="0" w:color="000000"/>
            </w:tcBorders>
            <w:vAlign w:val="center"/>
          </w:tcPr>
          <w:p w14:paraId="37AAB233"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r>
      <w:tr w:rsidR="0046184B" w14:paraId="2641FEA2"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02BC4654" w14:textId="77777777" w:rsidR="0046184B" w:rsidRDefault="00000000">
            <w:pPr>
              <w:pStyle w:val="biaogecenter"/>
              <w:wordWrap w:val="0"/>
              <w:rPr>
                <w:rFonts w:asciiTheme="minorEastAsia" w:eastAsiaTheme="minorEastAsia" w:hAnsiTheme="minorEastAsia" w:hint="eastAsia"/>
              </w:rPr>
            </w:pPr>
            <w:r>
              <w:rPr>
                <w:rFonts w:hAnsi="Calibri" w:hint="eastAsia"/>
                <w:color w:val="000000"/>
              </w:rPr>
              <w:t>7</w:t>
            </w:r>
          </w:p>
        </w:tc>
        <w:tc>
          <w:tcPr>
            <w:tcW w:w="2584" w:type="dxa"/>
            <w:tcBorders>
              <w:top w:val="single" w:sz="8" w:space="0" w:color="000000"/>
              <w:left w:val="single" w:sz="8" w:space="0" w:color="000000"/>
              <w:bottom w:val="single" w:sz="6" w:space="0" w:color="000000"/>
              <w:right w:val="single" w:sz="8" w:space="0" w:color="000000"/>
            </w:tcBorders>
            <w:vAlign w:val="center"/>
          </w:tcPr>
          <w:p w14:paraId="0BE2ABB5" w14:textId="77777777" w:rsidR="0046184B" w:rsidRDefault="00000000">
            <w:pPr>
              <w:pStyle w:val="biaogeleft"/>
              <w:wordWrap w:val="0"/>
              <w:rPr>
                <w:rFonts w:asciiTheme="minorEastAsia" w:eastAsiaTheme="minorEastAsia" w:hAnsiTheme="minorEastAsia" w:hint="eastAsia"/>
              </w:rPr>
            </w:pPr>
            <w:r>
              <w:rPr>
                <w:rFonts w:hint="eastAsia"/>
              </w:rPr>
              <w:t>银行存款和结算备付金合计</w:t>
            </w:r>
          </w:p>
        </w:tc>
        <w:tc>
          <w:tcPr>
            <w:tcW w:w="2349" w:type="dxa"/>
            <w:tcBorders>
              <w:top w:val="single" w:sz="8" w:space="0" w:color="000000"/>
              <w:left w:val="single" w:sz="8" w:space="0" w:color="000000"/>
              <w:bottom w:val="single" w:sz="6" w:space="0" w:color="000000"/>
              <w:right w:val="single" w:sz="8" w:space="0" w:color="000000"/>
            </w:tcBorders>
            <w:vAlign w:val="center"/>
          </w:tcPr>
          <w:p w14:paraId="11E1F229" w14:textId="77777777" w:rsidR="0046184B" w:rsidRDefault="00000000">
            <w:pPr>
              <w:pStyle w:val="biaogeright"/>
              <w:wordWrap w:val="0"/>
              <w:rPr>
                <w:rFonts w:asciiTheme="minorEastAsia" w:eastAsiaTheme="minorEastAsia" w:hAnsiTheme="minorEastAsia" w:hint="eastAsia"/>
              </w:rPr>
            </w:pPr>
            <w:r>
              <w:rPr>
                <w:rFonts w:hAnsi="等线"/>
                <w:color w:val="000000"/>
              </w:rPr>
              <w:t>38,349,321.99</w:t>
            </w:r>
          </w:p>
        </w:tc>
        <w:tc>
          <w:tcPr>
            <w:tcW w:w="2425" w:type="dxa"/>
            <w:tcBorders>
              <w:top w:val="single" w:sz="8" w:space="0" w:color="000000"/>
              <w:left w:val="single" w:sz="8" w:space="0" w:color="000000"/>
              <w:bottom w:val="single" w:sz="6" w:space="0" w:color="000000"/>
              <w:right w:val="single" w:sz="8" w:space="0" w:color="000000"/>
            </w:tcBorders>
            <w:vAlign w:val="center"/>
          </w:tcPr>
          <w:p w14:paraId="2413CA3B" w14:textId="77777777" w:rsidR="0046184B" w:rsidRDefault="00000000">
            <w:pPr>
              <w:pStyle w:val="biaogeright"/>
              <w:wordWrap w:val="0"/>
              <w:rPr>
                <w:rFonts w:asciiTheme="minorEastAsia" w:eastAsiaTheme="minorEastAsia" w:hAnsiTheme="minorEastAsia" w:hint="eastAsia"/>
              </w:rPr>
            </w:pPr>
            <w:r>
              <w:rPr>
                <w:rFonts w:hAnsi="等线"/>
                <w:color w:val="000000"/>
              </w:rPr>
              <w:t>18.96</w:t>
            </w:r>
          </w:p>
        </w:tc>
      </w:tr>
      <w:tr w:rsidR="0046184B" w14:paraId="0D12FF25"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4CD249BB" w14:textId="77777777" w:rsidR="0046184B" w:rsidRDefault="00000000">
            <w:pPr>
              <w:pStyle w:val="biaogecenter"/>
              <w:wordWrap w:val="0"/>
              <w:rPr>
                <w:rFonts w:asciiTheme="minorEastAsia" w:eastAsiaTheme="minorEastAsia" w:hAnsiTheme="minorEastAsia" w:hint="eastAsia"/>
              </w:rPr>
            </w:pPr>
            <w:r>
              <w:rPr>
                <w:rFonts w:hint="eastAsia"/>
              </w:rPr>
              <w:t>8</w:t>
            </w:r>
          </w:p>
        </w:tc>
        <w:tc>
          <w:tcPr>
            <w:tcW w:w="2584" w:type="dxa"/>
            <w:tcBorders>
              <w:top w:val="single" w:sz="8" w:space="0" w:color="000000"/>
              <w:left w:val="single" w:sz="8" w:space="0" w:color="000000"/>
              <w:bottom w:val="single" w:sz="6" w:space="0" w:color="000000"/>
              <w:right w:val="single" w:sz="8" w:space="0" w:color="000000"/>
            </w:tcBorders>
            <w:vAlign w:val="center"/>
          </w:tcPr>
          <w:p w14:paraId="3A6367F5" w14:textId="77777777" w:rsidR="0046184B" w:rsidRDefault="00000000">
            <w:pPr>
              <w:pStyle w:val="biaogeleft"/>
              <w:wordWrap w:val="0"/>
              <w:rPr>
                <w:rFonts w:asciiTheme="minorEastAsia" w:eastAsiaTheme="minorEastAsia" w:hAnsiTheme="minorEastAsia" w:hint="eastAsia"/>
              </w:rPr>
            </w:pPr>
            <w:r>
              <w:rPr>
                <w:rFonts w:hint="eastAsia"/>
              </w:rPr>
              <w:t>其他资产</w:t>
            </w:r>
          </w:p>
        </w:tc>
        <w:tc>
          <w:tcPr>
            <w:tcW w:w="2349" w:type="dxa"/>
            <w:tcBorders>
              <w:top w:val="single" w:sz="8" w:space="0" w:color="000000"/>
              <w:left w:val="single" w:sz="8" w:space="0" w:color="000000"/>
              <w:bottom w:val="single" w:sz="6" w:space="0" w:color="000000"/>
              <w:right w:val="single" w:sz="8" w:space="0" w:color="000000"/>
            </w:tcBorders>
            <w:vAlign w:val="center"/>
          </w:tcPr>
          <w:p w14:paraId="1297FC12" w14:textId="77777777" w:rsidR="0046184B" w:rsidRDefault="00000000">
            <w:pPr>
              <w:pStyle w:val="biaogeright"/>
              <w:wordWrap w:val="0"/>
              <w:rPr>
                <w:rFonts w:asciiTheme="minorEastAsia" w:eastAsiaTheme="minorEastAsia" w:hAnsiTheme="minorEastAsia" w:hint="eastAsia"/>
              </w:rPr>
            </w:pPr>
            <w:r>
              <w:rPr>
                <w:rFonts w:hAnsi="等线"/>
                <w:color w:val="000000"/>
              </w:rPr>
              <w:t>560,301.54</w:t>
            </w:r>
          </w:p>
        </w:tc>
        <w:tc>
          <w:tcPr>
            <w:tcW w:w="2425" w:type="dxa"/>
            <w:tcBorders>
              <w:top w:val="single" w:sz="8" w:space="0" w:color="000000"/>
              <w:left w:val="single" w:sz="8" w:space="0" w:color="000000"/>
              <w:bottom w:val="single" w:sz="6" w:space="0" w:color="000000"/>
              <w:right w:val="single" w:sz="8" w:space="0" w:color="000000"/>
            </w:tcBorders>
            <w:vAlign w:val="center"/>
          </w:tcPr>
          <w:p w14:paraId="6BADFEC0" w14:textId="77777777" w:rsidR="0046184B" w:rsidRDefault="00000000">
            <w:pPr>
              <w:pStyle w:val="biaogeright"/>
              <w:wordWrap w:val="0"/>
              <w:rPr>
                <w:rFonts w:asciiTheme="minorEastAsia" w:eastAsiaTheme="minorEastAsia" w:hAnsiTheme="minorEastAsia" w:hint="eastAsia"/>
              </w:rPr>
            </w:pPr>
            <w:r>
              <w:rPr>
                <w:rFonts w:hAnsi="等线"/>
                <w:color w:val="000000"/>
              </w:rPr>
              <w:t>0.28</w:t>
            </w:r>
          </w:p>
        </w:tc>
      </w:tr>
      <w:tr w:rsidR="0046184B" w14:paraId="2C4E84E5" w14:textId="77777777">
        <w:trPr>
          <w:trHeight w:val="415"/>
        </w:trPr>
        <w:tc>
          <w:tcPr>
            <w:tcW w:w="739" w:type="dxa"/>
            <w:tcBorders>
              <w:top w:val="single" w:sz="8" w:space="0" w:color="000000"/>
              <w:left w:val="single" w:sz="8" w:space="0" w:color="000000"/>
              <w:bottom w:val="single" w:sz="6" w:space="0" w:color="000000"/>
              <w:right w:val="single" w:sz="8" w:space="0" w:color="000000"/>
            </w:tcBorders>
            <w:vAlign w:val="center"/>
          </w:tcPr>
          <w:p w14:paraId="2CD2D76E" w14:textId="77777777" w:rsidR="0046184B" w:rsidRDefault="00000000">
            <w:pPr>
              <w:pStyle w:val="biaogecenter"/>
              <w:wordWrap w:val="0"/>
              <w:rPr>
                <w:rFonts w:asciiTheme="minorEastAsia" w:eastAsiaTheme="minorEastAsia" w:hAnsiTheme="minorEastAsia" w:hint="eastAsia"/>
              </w:rPr>
            </w:pPr>
            <w:r>
              <w:rPr>
                <w:rFonts w:hint="eastAsia"/>
              </w:rPr>
              <w:t>9</w:t>
            </w:r>
          </w:p>
        </w:tc>
        <w:tc>
          <w:tcPr>
            <w:tcW w:w="2584" w:type="dxa"/>
            <w:tcBorders>
              <w:top w:val="single" w:sz="8" w:space="0" w:color="000000"/>
              <w:left w:val="single" w:sz="8" w:space="0" w:color="000000"/>
              <w:bottom w:val="single" w:sz="6" w:space="0" w:color="000000"/>
              <w:right w:val="single" w:sz="8" w:space="0" w:color="000000"/>
            </w:tcBorders>
            <w:vAlign w:val="center"/>
          </w:tcPr>
          <w:p w14:paraId="2F9F5826" w14:textId="77777777" w:rsidR="0046184B" w:rsidRDefault="00000000">
            <w:pPr>
              <w:pStyle w:val="biaogeleft"/>
              <w:wordWrap w:val="0"/>
              <w:rPr>
                <w:rFonts w:asciiTheme="minorEastAsia" w:eastAsiaTheme="minorEastAsia" w:hAnsiTheme="minorEastAsia" w:hint="eastAsia"/>
              </w:rPr>
            </w:pPr>
            <w:r>
              <w:rPr>
                <w:rFonts w:hint="eastAsia"/>
              </w:rPr>
              <w:t>合计</w:t>
            </w:r>
          </w:p>
        </w:tc>
        <w:tc>
          <w:tcPr>
            <w:tcW w:w="2349" w:type="dxa"/>
            <w:tcBorders>
              <w:top w:val="single" w:sz="8" w:space="0" w:color="000000"/>
              <w:left w:val="single" w:sz="8" w:space="0" w:color="000000"/>
              <w:bottom w:val="single" w:sz="6" w:space="0" w:color="000000"/>
              <w:right w:val="single" w:sz="8" w:space="0" w:color="000000"/>
            </w:tcBorders>
            <w:vAlign w:val="center"/>
          </w:tcPr>
          <w:p w14:paraId="0F0584B2" w14:textId="77777777" w:rsidR="0046184B" w:rsidRDefault="00000000">
            <w:pPr>
              <w:pStyle w:val="biaogeright"/>
              <w:wordWrap w:val="0"/>
              <w:rPr>
                <w:rFonts w:asciiTheme="minorEastAsia" w:eastAsiaTheme="minorEastAsia" w:hAnsiTheme="minorEastAsia" w:hint="eastAsia"/>
              </w:rPr>
            </w:pPr>
            <w:r>
              <w:rPr>
                <w:rFonts w:hAnsi="等线"/>
                <w:color w:val="000000"/>
              </w:rPr>
              <w:t>202,245,316.54</w:t>
            </w:r>
          </w:p>
        </w:tc>
        <w:tc>
          <w:tcPr>
            <w:tcW w:w="2425" w:type="dxa"/>
            <w:tcBorders>
              <w:top w:val="single" w:sz="8" w:space="0" w:color="000000"/>
              <w:left w:val="single" w:sz="8" w:space="0" w:color="000000"/>
              <w:bottom w:val="single" w:sz="6" w:space="0" w:color="000000"/>
              <w:right w:val="single" w:sz="8" w:space="0" w:color="000000"/>
            </w:tcBorders>
            <w:vAlign w:val="center"/>
          </w:tcPr>
          <w:p w14:paraId="61C060CD" w14:textId="77777777" w:rsidR="0046184B" w:rsidRDefault="00000000">
            <w:pPr>
              <w:pStyle w:val="biaogeright"/>
              <w:wordWrap w:val="0"/>
              <w:rPr>
                <w:rFonts w:asciiTheme="minorEastAsia" w:eastAsiaTheme="minorEastAsia" w:hAnsiTheme="minorEastAsia" w:hint="eastAsia"/>
              </w:rPr>
            </w:pPr>
            <w:r>
              <w:rPr>
                <w:rFonts w:hAnsi="等线"/>
                <w:color w:val="000000"/>
              </w:rPr>
              <w:t>100.00</w:t>
            </w:r>
          </w:p>
        </w:tc>
      </w:tr>
    </w:tbl>
    <w:p w14:paraId="5B4D18A9" w14:textId="77777777" w:rsidR="0046184B" w:rsidRDefault="0046184B">
      <w:pPr>
        <w:autoSpaceDE w:val="0"/>
        <w:autoSpaceDN w:val="0"/>
        <w:spacing w:line="360" w:lineRule="auto"/>
        <w:textAlignment w:val="bottom"/>
        <w:rPr>
          <w:rFonts w:asciiTheme="minorEastAsia" w:hAnsiTheme="minorEastAsia" w:hint="eastAsia"/>
          <w:bCs/>
          <w:sz w:val="24"/>
          <w:szCs w:val="24"/>
        </w:rPr>
      </w:pPr>
    </w:p>
    <w:p w14:paraId="37B7F292"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、报告期末按行业分类的股票投资组合</w:t>
      </w:r>
    </w:p>
    <w:p w14:paraId="26E1A973"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1）报告期末按行业分类的境内股票投资组合</w:t>
      </w:r>
    </w:p>
    <w:tbl>
      <w:tblPr>
        <w:tblW w:w="8512" w:type="dxa"/>
        <w:tblInd w:w="108" w:type="dxa"/>
        <w:tblLook w:val="04A0" w:firstRow="1" w:lastRow="0" w:firstColumn="1" w:lastColumn="0" w:noHBand="0" w:noVBand="1"/>
      </w:tblPr>
      <w:tblGrid>
        <w:gridCol w:w="786"/>
        <w:gridCol w:w="2550"/>
        <w:gridCol w:w="2550"/>
        <w:gridCol w:w="2626"/>
      </w:tblGrid>
      <w:tr w:rsidR="0046184B" w14:paraId="03A2C69A" w14:textId="77777777">
        <w:tc>
          <w:tcPr>
            <w:tcW w:w="786" w:type="dxa"/>
            <w:tcBorders>
              <w:top w:val="single" w:sz="8" w:space="0" w:color="000000"/>
              <w:left w:val="single" w:sz="8" w:space="0" w:color="000000"/>
              <w:bottom w:val="single" w:sz="6" w:space="0" w:color="000000"/>
              <w:right w:val="single" w:sz="8" w:space="0" w:color="000000"/>
            </w:tcBorders>
            <w:vAlign w:val="center"/>
          </w:tcPr>
          <w:p w14:paraId="3A2E7586" w14:textId="77777777" w:rsidR="0046184B" w:rsidRDefault="00000000">
            <w:pPr>
              <w:pStyle w:val="biaogecenter"/>
              <w:wordWrap w:val="0"/>
              <w:rPr>
                <w:rFonts w:hint="eastAsia"/>
              </w:rPr>
            </w:pPr>
            <w:r>
              <w:rPr>
                <w:rFonts w:hAnsi="等线"/>
                <w:color w:val="000000"/>
              </w:rPr>
              <w:t>代码</w:t>
            </w:r>
          </w:p>
        </w:tc>
        <w:tc>
          <w:tcPr>
            <w:tcW w:w="2550" w:type="dxa"/>
            <w:tcBorders>
              <w:top w:val="single" w:sz="8" w:space="0" w:color="000000"/>
              <w:left w:val="single" w:sz="8" w:space="0" w:color="000000"/>
              <w:bottom w:val="single" w:sz="6" w:space="0" w:color="000000"/>
              <w:right w:val="single" w:sz="8" w:space="0" w:color="000000"/>
            </w:tcBorders>
            <w:vAlign w:val="center"/>
          </w:tcPr>
          <w:p w14:paraId="235F59DE" w14:textId="77777777" w:rsidR="0046184B" w:rsidRDefault="00000000">
            <w:pPr>
              <w:pStyle w:val="biaogecenter"/>
              <w:wordWrap w:val="0"/>
              <w:rPr>
                <w:rFonts w:hint="eastAsia"/>
              </w:rPr>
            </w:pPr>
            <w:r>
              <w:rPr>
                <w:rFonts w:hAnsi="等线"/>
                <w:color w:val="000000"/>
              </w:rPr>
              <w:t>行业类别</w:t>
            </w:r>
          </w:p>
        </w:tc>
        <w:tc>
          <w:tcPr>
            <w:tcW w:w="2550" w:type="dxa"/>
            <w:tcBorders>
              <w:top w:val="single" w:sz="8" w:space="0" w:color="000000"/>
              <w:left w:val="single" w:sz="8" w:space="0" w:color="000000"/>
              <w:bottom w:val="single" w:sz="6" w:space="0" w:color="000000"/>
              <w:right w:val="single" w:sz="8" w:space="0" w:color="000000"/>
            </w:tcBorders>
            <w:vAlign w:val="center"/>
          </w:tcPr>
          <w:p w14:paraId="1C07585E" w14:textId="77777777" w:rsidR="0046184B" w:rsidRDefault="00000000">
            <w:pPr>
              <w:pStyle w:val="biaogecenter"/>
              <w:wordWrap w:val="0"/>
              <w:rPr>
                <w:rFonts w:hint="eastAsia"/>
              </w:rPr>
            </w:pPr>
            <w:r>
              <w:rPr>
                <w:rFonts w:hAnsi="等线"/>
                <w:color w:val="000000"/>
              </w:rPr>
              <w:t>公允价值(元)</w:t>
            </w:r>
          </w:p>
        </w:tc>
        <w:tc>
          <w:tcPr>
            <w:tcW w:w="2626" w:type="dxa"/>
            <w:tcBorders>
              <w:top w:val="single" w:sz="8" w:space="0" w:color="000000"/>
              <w:left w:val="single" w:sz="8" w:space="0" w:color="000000"/>
              <w:bottom w:val="single" w:sz="6" w:space="0" w:color="000000"/>
              <w:right w:val="single" w:sz="8" w:space="0" w:color="000000"/>
            </w:tcBorders>
            <w:vAlign w:val="center"/>
          </w:tcPr>
          <w:p w14:paraId="60D5C2E5" w14:textId="77777777" w:rsidR="0046184B" w:rsidRDefault="00000000">
            <w:pPr>
              <w:pStyle w:val="biaogecenter"/>
              <w:wordWrap w:val="0"/>
              <w:rPr>
                <w:rFonts w:hint="eastAsia"/>
              </w:rPr>
            </w:pPr>
            <w:r>
              <w:rPr>
                <w:rFonts w:hAnsi="等线"/>
                <w:color w:val="000000"/>
              </w:rPr>
              <w:t>占基金资产净值比例（%）</w:t>
            </w:r>
          </w:p>
        </w:tc>
      </w:tr>
      <w:tr w:rsidR="0046184B" w14:paraId="1285B38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6A9BBA5" w14:textId="77777777" w:rsidR="0046184B" w:rsidRDefault="00000000">
            <w:pPr>
              <w:pStyle w:val="biaogecenter"/>
              <w:wordWrap w:val="0"/>
              <w:rPr>
                <w:rFonts w:hint="eastAsia"/>
              </w:rPr>
            </w:pPr>
            <w:r>
              <w:t>A</w:t>
            </w:r>
          </w:p>
        </w:tc>
        <w:tc>
          <w:tcPr>
            <w:tcW w:w="2550" w:type="dxa"/>
            <w:tcBorders>
              <w:top w:val="single" w:sz="8" w:space="0" w:color="000000"/>
              <w:left w:val="single" w:sz="8" w:space="0" w:color="000000"/>
              <w:bottom w:val="single" w:sz="6" w:space="0" w:color="000000"/>
              <w:right w:val="single" w:sz="8" w:space="0" w:color="000000"/>
            </w:tcBorders>
            <w:vAlign w:val="center"/>
          </w:tcPr>
          <w:p w14:paraId="0890572D" w14:textId="77777777" w:rsidR="0046184B" w:rsidRDefault="00000000">
            <w:pPr>
              <w:pStyle w:val="biaogeleft"/>
              <w:wordWrap w:val="0"/>
              <w:rPr>
                <w:rFonts w:hint="eastAsia"/>
              </w:rPr>
            </w:pPr>
            <w:r>
              <w:t>农、林、牧、渔业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246D0F99" w14:textId="77777777" w:rsidR="0046184B" w:rsidRDefault="00000000">
            <w:pPr>
              <w:pStyle w:val="biaogeright"/>
              <w:wordWrap w:val="0"/>
              <w:rPr>
                <w:rFonts w:hint="eastAsia"/>
              </w:rPr>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06FC278B" w14:textId="77777777" w:rsidR="0046184B" w:rsidRDefault="00000000">
            <w:pPr>
              <w:pStyle w:val="biaogeright"/>
              <w:wordWrap w:val="0"/>
              <w:rPr>
                <w:rFonts w:hint="eastAsia"/>
              </w:rPr>
            </w:pPr>
            <w:r>
              <w:t>-</w:t>
            </w:r>
          </w:p>
        </w:tc>
      </w:tr>
      <w:tr w:rsidR="0046184B" w14:paraId="0B9E35D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E43EB3A" w14:textId="77777777" w:rsidR="0046184B" w:rsidRDefault="00000000">
            <w:pPr>
              <w:pStyle w:val="biaogecenter"/>
              <w:wordWrap w:val="0"/>
              <w:rPr>
                <w:rFonts w:hint="eastAsia"/>
              </w:rPr>
            </w:pPr>
            <w:r>
              <w:t>B</w:t>
            </w:r>
          </w:p>
        </w:tc>
        <w:tc>
          <w:tcPr>
            <w:tcW w:w="2550" w:type="dxa"/>
            <w:tcBorders>
              <w:top w:val="single" w:sz="8" w:space="0" w:color="000000"/>
              <w:left w:val="single" w:sz="8" w:space="0" w:color="000000"/>
              <w:bottom w:val="single" w:sz="6" w:space="0" w:color="000000"/>
              <w:right w:val="single" w:sz="8" w:space="0" w:color="000000"/>
            </w:tcBorders>
            <w:vAlign w:val="center"/>
          </w:tcPr>
          <w:p w14:paraId="7EA3CC9C" w14:textId="77777777" w:rsidR="0046184B" w:rsidRDefault="00000000">
            <w:pPr>
              <w:pStyle w:val="biaogeleft"/>
              <w:wordWrap w:val="0"/>
              <w:rPr>
                <w:rFonts w:hint="eastAsia"/>
              </w:rPr>
            </w:pPr>
            <w:r>
              <w:t>采矿业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CED73E1" w14:textId="77777777" w:rsidR="0046184B" w:rsidRDefault="00000000">
            <w:pPr>
              <w:pStyle w:val="biaogeright"/>
              <w:wordWrap w:val="0"/>
              <w:rPr>
                <w:rFonts w:hint="eastAsia"/>
              </w:rPr>
            </w:pPr>
            <w:r>
              <w:t>21,677,097.72</w:t>
            </w:r>
          </w:p>
        </w:tc>
        <w:tc>
          <w:tcPr>
            <w:tcW w:w="2626" w:type="dxa"/>
            <w:tcBorders>
              <w:top w:val="single" w:sz="8" w:space="0" w:color="000000"/>
              <w:left w:val="single" w:sz="8" w:space="0" w:color="000000"/>
              <w:bottom w:val="single" w:sz="6" w:space="0" w:color="000000"/>
              <w:right w:val="single" w:sz="8" w:space="0" w:color="000000"/>
            </w:tcBorders>
            <w:vAlign w:val="center"/>
          </w:tcPr>
          <w:p w14:paraId="6C837EA3" w14:textId="77777777" w:rsidR="0046184B" w:rsidRDefault="00000000">
            <w:pPr>
              <w:pStyle w:val="biaogeright"/>
              <w:wordWrap w:val="0"/>
              <w:rPr>
                <w:rFonts w:hint="eastAsia"/>
              </w:rPr>
            </w:pPr>
            <w:r>
              <w:t>10.73</w:t>
            </w:r>
          </w:p>
        </w:tc>
      </w:tr>
      <w:tr w:rsidR="0046184B" w14:paraId="7DBA374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F835D7B" w14:textId="77777777" w:rsidR="0046184B" w:rsidRDefault="00000000">
            <w:pPr>
              <w:pStyle w:val="biaogecenter"/>
              <w:wordWrap w:val="0"/>
              <w:rPr>
                <w:rFonts w:hint="eastAsia"/>
              </w:rPr>
            </w:pPr>
            <w:r>
              <w:t>C</w:t>
            </w:r>
          </w:p>
        </w:tc>
        <w:tc>
          <w:tcPr>
            <w:tcW w:w="2550" w:type="dxa"/>
            <w:tcBorders>
              <w:top w:val="single" w:sz="8" w:space="0" w:color="000000"/>
              <w:left w:val="single" w:sz="8" w:space="0" w:color="000000"/>
              <w:bottom w:val="single" w:sz="6" w:space="0" w:color="000000"/>
              <w:right w:val="single" w:sz="8" w:space="0" w:color="000000"/>
            </w:tcBorders>
            <w:vAlign w:val="center"/>
          </w:tcPr>
          <w:p w14:paraId="7DA60741" w14:textId="77777777" w:rsidR="0046184B" w:rsidRDefault="00000000">
            <w:pPr>
              <w:pStyle w:val="biaogeleft"/>
              <w:wordWrap w:val="0"/>
              <w:rPr>
                <w:rFonts w:hint="eastAsia"/>
              </w:rPr>
            </w:pPr>
            <w:r>
              <w:t>制造业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5714511" w14:textId="77777777" w:rsidR="0046184B" w:rsidRDefault="00000000">
            <w:pPr>
              <w:pStyle w:val="biaogeright"/>
              <w:wordWrap w:val="0"/>
              <w:rPr>
                <w:rFonts w:hint="eastAsia"/>
              </w:rPr>
            </w:pPr>
            <w:r>
              <w:t>110,047,293.15</w:t>
            </w:r>
          </w:p>
        </w:tc>
        <w:tc>
          <w:tcPr>
            <w:tcW w:w="2626" w:type="dxa"/>
            <w:tcBorders>
              <w:top w:val="single" w:sz="8" w:space="0" w:color="000000"/>
              <w:left w:val="single" w:sz="8" w:space="0" w:color="000000"/>
              <w:bottom w:val="single" w:sz="6" w:space="0" w:color="000000"/>
              <w:right w:val="single" w:sz="8" w:space="0" w:color="000000"/>
            </w:tcBorders>
            <w:vAlign w:val="center"/>
          </w:tcPr>
          <w:p w14:paraId="45739224" w14:textId="77777777" w:rsidR="0046184B" w:rsidRDefault="00000000">
            <w:pPr>
              <w:pStyle w:val="biaogeright"/>
              <w:wordWrap w:val="0"/>
              <w:rPr>
                <w:rFonts w:hint="eastAsia"/>
              </w:rPr>
            </w:pPr>
            <w:r>
              <w:t>54.48</w:t>
            </w:r>
          </w:p>
        </w:tc>
      </w:tr>
      <w:tr w:rsidR="0046184B" w14:paraId="46CB59A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BE8AF6F" w14:textId="77777777" w:rsidR="0046184B" w:rsidRDefault="00000000">
            <w:pPr>
              <w:pStyle w:val="biaogecenter"/>
              <w:wordWrap w:val="0"/>
              <w:rPr>
                <w:rFonts w:hint="eastAsia"/>
              </w:rPr>
            </w:pPr>
            <w:r>
              <w:rPr>
                <w:rFonts w:hAnsi="等线"/>
                <w:color w:val="000000"/>
              </w:rPr>
              <w:t>D</w:t>
            </w:r>
          </w:p>
        </w:tc>
        <w:tc>
          <w:tcPr>
            <w:tcW w:w="2550" w:type="dxa"/>
            <w:tcBorders>
              <w:top w:val="single" w:sz="8" w:space="0" w:color="000000"/>
              <w:left w:val="single" w:sz="8" w:space="0" w:color="000000"/>
              <w:bottom w:val="single" w:sz="6" w:space="0" w:color="000000"/>
              <w:right w:val="single" w:sz="8" w:space="0" w:color="000000"/>
            </w:tcBorders>
            <w:vAlign w:val="center"/>
          </w:tcPr>
          <w:p w14:paraId="589F1827" w14:textId="77777777" w:rsidR="0046184B" w:rsidRDefault="00000000">
            <w:pPr>
              <w:pStyle w:val="biaogeleft"/>
              <w:wordWrap w:val="0"/>
              <w:rPr>
                <w:rFonts w:hint="eastAsia"/>
              </w:rPr>
            </w:pPr>
            <w:r>
              <w:t>电力、热力、燃气及水生产和供应业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A6E807C" w14:textId="77777777" w:rsidR="0046184B" w:rsidRDefault="00000000">
            <w:pPr>
              <w:pStyle w:val="biaogeright"/>
              <w:wordWrap w:val="0"/>
              <w:rPr>
                <w:rFonts w:hint="eastAsia"/>
              </w:rPr>
            </w:pPr>
            <w:r>
              <w:t>2,523,646.98</w:t>
            </w:r>
          </w:p>
        </w:tc>
        <w:tc>
          <w:tcPr>
            <w:tcW w:w="2626" w:type="dxa"/>
            <w:tcBorders>
              <w:top w:val="single" w:sz="8" w:space="0" w:color="000000"/>
              <w:left w:val="single" w:sz="8" w:space="0" w:color="000000"/>
              <w:bottom w:val="single" w:sz="6" w:space="0" w:color="000000"/>
              <w:right w:val="single" w:sz="8" w:space="0" w:color="000000"/>
            </w:tcBorders>
            <w:vAlign w:val="center"/>
          </w:tcPr>
          <w:p w14:paraId="2C43F99A" w14:textId="77777777" w:rsidR="0046184B" w:rsidRDefault="00000000">
            <w:pPr>
              <w:pStyle w:val="biaogeright"/>
              <w:wordWrap w:val="0"/>
              <w:rPr>
                <w:rFonts w:hint="eastAsia"/>
              </w:rPr>
            </w:pPr>
            <w:r>
              <w:t>1.25</w:t>
            </w:r>
          </w:p>
        </w:tc>
      </w:tr>
      <w:tr w:rsidR="0046184B" w14:paraId="74869AC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23ADA79" w14:textId="77777777" w:rsidR="0046184B" w:rsidRDefault="00000000">
            <w:pPr>
              <w:pStyle w:val="biaogecenter"/>
              <w:wordWrap w:val="0"/>
              <w:rPr>
                <w:rFonts w:hint="eastAsia"/>
              </w:rPr>
            </w:pPr>
            <w:r>
              <w:t>E</w:t>
            </w:r>
          </w:p>
        </w:tc>
        <w:tc>
          <w:tcPr>
            <w:tcW w:w="2550" w:type="dxa"/>
            <w:tcBorders>
              <w:top w:val="single" w:sz="8" w:space="0" w:color="000000"/>
              <w:left w:val="single" w:sz="8" w:space="0" w:color="000000"/>
              <w:bottom w:val="single" w:sz="6" w:space="0" w:color="000000"/>
              <w:right w:val="single" w:sz="8" w:space="0" w:color="000000"/>
            </w:tcBorders>
            <w:vAlign w:val="center"/>
          </w:tcPr>
          <w:p w14:paraId="26DC0B08" w14:textId="77777777" w:rsidR="0046184B" w:rsidRDefault="00000000">
            <w:pPr>
              <w:pStyle w:val="biaogeleft"/>
              <w:wordWrap w:val="0"/>
              <w:rPr>
                <w:rFonts w:hint="eastAsia"/>
              </w:rPr>
            </w:pPr>
            <w:r>
              <w:t>建筑业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29FF8CA" w14:textId="77777777" w:rsidR="0046184B" w:rsidRDefault="00000000">
            <w:pPr>
              <w:pStyle w:val="biaogeright"/>
              <w:wordWrap w:val="0"/>
              <w:rPr>
                <w:rFonts w:hint="eastAsia"/>
              </w:rPr>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2E1847C8" w14:textId="77777777" w:rsidR="0046184B" w:rsidRDefault="00000000">
            <w:pPr>
              <w:pStyle w:val="biaogeright"/>
              <w:wordWrap w:val="0"/>
              <w:rPr>
                <w:rFonts w:hint="eastAsia"/>
              </w:rPr>
            </w:pPr>
            <w:r>
              <w:t>-</w:t>
            </w:r>
          </w:p>
        </w:tc>
      </w:tr>
      <w:tr w:rsidR="0046184B" w14:paraId="2B74A93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AED6776" w14:textId="77777777" w:rsidR="0046184B" w:rsidRDefault="00000000">
            <w:pPr>
              <w:pStyle w:val="biaogecenter"/>
              <w:wordWrap w:val="0"/>
              <w:rPr>
                <w:rFonts w:hint="eastAsia"/>
              </w:rPr>
            </w:pPr>
            <w:r>
              <w:rPr>
                <w:rFonts w:hAnsi="等线"/>
                <w:color w:val="000000"/>
              </w:rPr>
              <w:t>F</w:t>
            </w:r>
          </w:p>
        </w:tc>
        <w:tc>
          <w:tcPr>
            <w:tcW w:w="2550" w:type="dxa"/>
            <w:tcBorders>
              <w:top w:val="single" w:sz="8" w:space="0" w:color="000000"/>
              <w:left w:val="single" w:sz="8" w:space="0" w:color="000000"/>
              <w:bottom w:val="single" w:sz="6" w:space="0" w:color="000000"/>
              <w:right w:val="single" w:sz="8" w:space="0" w:color="000000"/>
            </w:tcBorders>
            <w:vAlign w:val="center"/>
          </w:tcPr>
          <w:p w14:paraId="30A714AD" w14:textId="77777777" w:rsidR="0046184B" w:rsidRDefault="00000000">
            <w:pPr>
              <w:pStyle w:val="biaogeleft"/>
              <w:wordWrap w:val="0"/>
              <w:rPr>
                <w:rFonts w:hint="eastAsia"/>
              </w:rPr>
            </w:pPr>
            <w:r>
              <w:t>批发和零售业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14D0FF9A" w14:textId="77777777" w:rsidR="0046184B" w:rsidRDefault="00000000">
            <w:pPr>
              <w:pStyle w:val="biaogeright"/>
              <w:wordWrap w:val="0"/>
              <w:rPr>
                <w:rFonts w:hint="eastAsia"/>
              </w:rPr>
            </w:pPr>
            <w:r>
              <w:t>12,627.29</w:t>
            </w:r>
          </w:p>
        </w:tc>
        <w:tc>
          <w:tcPr>
            <w:tcW w:w="2626" w:type="dxa"/>
            <w:tcBorders>
              <w:top w:val="single" w:sz="8" w:space="0" w:color="000000"/>
              <w:left w:val="single" w:sz="8" w:space="0" w:color="000000"/>
              <w:bottom w:val="single" w:sz="6" w:space="0" w:color="000000"/>
              <w:right w:val="single" w:sz="8" w:space="0" w:color="000000"/>
            </w:tcBorders>
            <w:vAlign w:val="center"/>
          </w:tcPr>
          <w:p w14:paraId="30EA66C0" w14:textId="77777777" w:rsidR="0046184B" w:rsidRDefault="00000000">
            <w:pPr>
              <w:pStyle w:val="biaogeright"/>
              <w:wordWrap w:val="0"/>
              <w:rPr>
                <w:rFonts w:hint="eastAsia"/>
              </w:rPr>
            </w:pPr>
            <w:r>
              <w:t>0.01</w:t>
            </w:r>
          </w:p>
        </w:tc>
      </w:tr>
      <w:tr w:rsidR="0046184B" w14:paraId="3452653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58D9307" w14:textId="77777777" w:rsidR="0046184B" w:rsidRDefault="00000000">
            <w:pPr>
              <w:pStyle w:val="biaogecenter"/>
              <w:wordWrap w:val="0"/>
              <w:rPr>
                <w:rFonts w:hint="eastAsia"/>
              </w:rPr>
            </w:pPr>
            <w:r>
              <w:rPr>
                <w:rFonts w:hAnsi="等线"/>
                <w:color w:val="000000"/>
              </w:rPr>
              <w:t>G</w:t>
            </w:r>
          </w:p>
        </w:tc>
        <w:tc>
          <w:tcPr>
            <w:tcW w:w="2550" w:type="dxa"/>
            <w:tcBorders>
              <w:top w:val="single" w:sz="8" w:space="0" w:color="000000"/>
              <w:left w:val="single" w:sz="8" w:space="0" w:color="000000"/>
              <w:bottom w:val="single" w:sz="6" w:space="0" w:color="000000"/>
              <w:right w:val="single" w:sz="8" w:space="0" w:color="000000"/>
            </w:tcBorders>
            <w:vAlign w:val="center"/>
          </w:tcPr>
          <w:p w14:paraId="134E55C7" w14:textId="77777777" w:rsidR="0046184B" w:rsidRDefault="00000000">
            <w:pPr>
              <w:pStyle w:val="biaogeleft"/>
              <w:wordWrap w:val="0"/>
              <w:rPr>
                <w:rFonts w:hint="eastAsia"/>
              </w:rPr>
            </w:pPr>
            <w:r>
              <w:t>交通运输、仓储和邮政业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3F3D6BCA" w14:textId="77777777" w:rsidR="0046184B" w:rsidRDefault="00000000">
            <w:pPr>
              <w:pStyle w:val="biaogeright"/>
              <w:wordWrap w:val="0"/>
              <w:rPr>
                <w:rFonts w:hint="eastAsia"/>
              </w:rPr>
            </w:pPr>
            <w:r>
              <w:t>12,933.63</w:t>
            </w:r>
          </w:p>
        </w:tc>
        <w:tc>
          <w:tcPr>
            <w:tcW w:w="2626" w:type="dxa"/>
            <w:tcBorders>
              <w:top w:val="single" w:sz="8" w:space="0" w:color="000000"/>
              <w:left w:val="single" w:sz="8" w:space="0" w:color="000000"/>
              <w:bottom w:val="single" w:sz="6" w:space="0" w:color="000000"/>
              <w:right w:val="single" w:sz="8" w:space="0" w:color="000000"/>
            </w:tcBorders>
            <w:vAlign w:val="center"/>
          </w:tcPr>
          <w:p w14:paraId="325CFC93" w14:textId="77777777" w:rsidR="0046184B" w:rsidRDefault="00000000">
            <w:pPr>
              <w:pStyle w:val="biaogeright"/>
              <w:wordWrap w:val="0"/>
              <w:rPr>
                <w:rFonts w:hint="eastAsia"/>
              </w:rPr>
            </w:pPr>
            <w:r>
              <w:t>0.01</w:t>
            </w:r>
          </w:p>
        </w:tc>
      </w:tr>
      <w:tr w:rsidR="0046184B" w14:paraId="114AA86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8022308" w14:textId="77777777" w:rsidR="0046184B" w:rsidRDefault="00000000">
            <w:pPr>
              <w:pStyle w:val="biaogecenter"/>
              <w:wordWrap w:val="0"/>
              <w:rPr>
                <w:rFonts w:hint="eastAsia"/>
              </w:rPr>
            </w:pPr>
            <w:r>
              <w:rPr>
                <w:rFonts w:hAnsi="等线"/>
                <w:color w:val="000000"/>
              </w:rPr>
              <w:t>H</w:t>
            </w:r>
          </w:p>
        </w:tc>
        <w:tc>
          <w:tcPr>
            <w:tcW w:w="2550" w:type="dxa"/>
            <w:tcBorders>
              <w:top w:val="single" w:sz="8" w:space="0" w:color="000000"/>
              <w:left w:val="single" w:sz="8" w:space="0" w:color="000000"/>
              <w:bottom w:val="single" w:sz="6" w:space="0" w:color="000000"/>
              <w:right w:val="single" w:sz="8" w:space="0" w:color="000000"/>
            </w:tcBorders>
            <w:vAlign w:val="center"/>
          </w:tcPr>
          <w:p w14:paraId="6506D640" w14:textId="77777777" w:rsidR="0046184B" w:rsidRDefault="00000000">
            <w:pPr>
              <w:pStyle w:val="biaogeleft"/>
              <w:wordWrap w:val="0"/>
              <w:rPr>
                <w:rFonts w:hint="eastAsia"/>
              </w:rPr>
            </w:pPr>
            <w:r>
              <w:t>住宿和餐饮业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5256481D" w14:textId="77777777" w:rsidR="0046184B" w:rsidRDefault="00000000">
            <w:pPr>
              <w:pStyle w:val="biaogeright"/>
              <w:wordWrap w:val="0"/>
              <w:rPr>
                <w:rFonts w:hint="eastAsia"/>
              </w:rPr>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53196BD5" w14:textId="77777777" w:rsidR="0046184B" w:rsidRDefault="00000000">
            <w:pPr>
              <w:pStyle w:val="biaogeright"/>
              <w:wordWrap w:val="0"/>
              <w:rPr>
                <w:rFonts w:hint="eastAsia"/>
              </w:rPr>
            </w:pPr>
            <w:r>
              <w:t>-</w:t>
            </w:r>
          </w:p>
        </w:tc>
      </w:tr>
      <w:tr w:rsidR="0046184B" w14:paraId="4AC4298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82BC2C5" w14:textId="77777777" w:rsidR="0046184B" w:rsidRDefault="00000000">
            <w:pPr>
              <w:pStyle w:val="biaogecenter"/>
              <w:wordWrap w:val="0"/>
              <w:rPr>
                <w:rFonts w:hint="eastAsia"/>
              </w:rPr>
            </w:pPr>
            <w:r>
              <w:rPr>
                <w:rFonts w:hAnsi="等线"/>
                <w:color w:val="000000"/>
              </w:rPr>
              <w:t>I</w:t>
            </w:r>
          </w:p>
        </w:tc>
        <w:tc>
          <w:tcPr>
            <w:tcW w:w="2550" w:type="dxa"/>
            <w:tcBorders>
              <w:top w:val="single" w:sz="8" w:space="0" w:color="000000"/>
              <w:left w:val="single" w:sz="8" w:space="0" w:color="000000"/>
              <w:bottom w:val="single" w:sz="6" w:space="0" w:color="000000"/>
              <w:right w:val="single" w:sz="8" w:space="0" w:color="000000"/>
            </w:tcBorders>
            <w:vAlign w:val="center"/>
          </w:tcPr>
          <w:p w14:paraId="41DBFEB8" w14:textId="77777777" w:rsidR="0046184B" w:rsidRDefault="00000000">
            <w:pPr>
              <w:pStyle w:val="biaogeleft"/>
              <w:wordWrap w:val="0"/>
              <w:rPr>
                <w:rFonts w:hint="eastAsia"/>
              </w:rPr>
            </w:pPr>
            <w:r>
              <w:t>信息传输、软件和信息技术服务业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2FC7BC20" w14:textId="77777777" w:rsidR="0046184B" w:rsidRDefault="00000000">
            <w:pPr>
              <w:pStyle w:val="biaogeright"/>
              <w:wordWrap w:val="0"/>
              <w:rPr>
                <w:rFonts w:hint="eastAsia"/>
              </w:rPr>
            </w:pPr>
            <w:r>
              <w:t>2,195,488.70</w:t>
            </w:r>
          </w:p>
        </w:tc>
        <w:tc>
          <w:tcPr>
            <w:tcW w:w="2626" w:type="dxa"/>
            <w:tcBorders>
              <w:top w:val="single" w:sz="8" w:space="0" w:color="000000"/>
              <w:left w:val="single" w:sz="8" w:space="0" w:color="000000"/>
              <w:bottom w:val="single" w:sz="6" w:space="0" w:color="000000"/>
              <w:right w:val="single" w:sz="8" w:space="0" w:color="000000"/>
            </w:tcBorders>
            <w:vAlign w:val="center"/>
          </w:tcPr>
          <w:p w14:paraId="1C88E4F4" w14:textId="77777777" w:rsidR="0046184B" w:rsidRDefault="00000000">
            <w:pPr>
              <w:pStyle w:val="biaogeright"/>
              <w:wordWrap w:val="0"/>
              <w:rPr>
                <w:rFonts w:hint="eastAsia"/>
              </w:rPr>
            </w:pPr>
            <w:r>
              <w:t>1.09</w:t>
            </w:r>
          </w:p>
        </w:tc>
      </w:tr>
      <w:tr w:rsidR="0046184B" w14:paraId="35ACF31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278EA91" w14:textId="77777777" w:rsidR="0046184B" w:rsidRDefault="00000000">
            <w:pPr>
              <w:pStyle w:val="biaogecenter"/>
              <w:wordWrap w:val="0"/>
              <w:rPr>
                <w:rFonts w:hint="eastAsia"/>
              </w:rPr>
            </w:pPr>
            <w:r>
              <w:rPr>
                <w:rFonts w:hAnsi="等线"/>
                <w:color w:val="000000"/>
              </w:rPr>
              <w:t>J</w:t>
            </w:r>
          </w:p>
        </w:tc>
        <w:tc>
          <w:tcPr>
            <w:tcW w:w="2550" w:type="dxa"/>
            <w:tcBorders>
              <w:top w:val="single" w:sz="8" w:space="0" w:color="000000"/>
              <w:left w:val="single" w:sz="8" w:space="0" w:color="000000"/>
              <w:bottom w:val="single" w:sz="6" w:space="0" w:color="000000"/>
              <w:right w:val="single" w:sz="8" w:space="0" w:color="000000"/>
            </w:tcBorders>
            <w:vAlign w:val="center"/>
          </w:tcPr>
          <w:p w14:paraId="53CB9910" w14:textId="77777777" w:rsidR="0046184B" w:rsidRDefault="00000000">
            <w:pPr>
              <w:pStyle w:val="biaogeleft"/>
              <w:wordWrap w:val="0"/>
              <w:rPr>
                <w:rFonts w:hint="eastAsia"/>
              </w:rPr>
            </w:pPr>
            <w:r>
              <w:t>金融业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44BBD33A" w14:textId="77777777" w:rsidR="0046184B" w:rsidRDefault="00000000">
            <w:pPr>
              <w:pStyle w:val="biaogeright"/>
              <w:wordWrap w:val="0"/>
              <w:rPr>
                <w:rFonts w:hint="eastAsia"/>
              </w:rPr>
            </w:pPr>
            <w:r>
              <w:t>9,797,615.56</w:t>
            </w:r>
          </w:p>
        </w:tc>
        <w:tc>
          <w:tcPr>
            <w:tcW w:w="2626" w:type="dxa"/>
            <w:tcBorders>
              <w:top w:val="single" w:sz="8" w:space="0" w:color="000000"/>
              <w:left w:val="single" w:sz="8" w:space="0" w:color="000000"/>
              <w:bottom w:val="single" w:sz="6" w:space="0" w:color="000000"/>
              <w:right w:val="single" w:sz="8" w:space="0" w:color="000000"/>
            </w:tcBorders>
            <w:vAlign w:val="center"/>
          </w:tcPr>
          <w:p w14:paraId="74A33ECB" w14:textId="77777777" w:rsidR="0046184B" w:rsidRDefault="00000000">
            <w:pPr>
              <w:pStyle w:val="biaogeright"/>
              <w:wordWrap w:val="0"/>
              <w:rPr>
                <w:rFonts w:hint="eastAsia"/>
              </w:rPr>
            </w:pPr>
            <w:r>
              <w:t>4.85</w:t>
            </w:r>
          </w:p>
        </w:tc>
      </w:tr>
      <w:tr w:rsidR="0046184B" w14:paraId="0190014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6F5E729" w14:textId="77777777" w:rsidR="0046184B" w:rsidRDefault="00000000">
            <w:pPr>
              <w:pStyle w:val="biaogecenter"/>
              <w:wordWrap w:val="0"/>
              <w:rPr>
                <w:rFonts w:hint="eastAsia"/>
              </w:rPr>
            </w:pPr>
            <w:r>
              <w:rPr>
                <w:rFonts w:hAnsi="等线"/>
                <w:color w:val="000000"/>
              </w:rPr>
              <w:t>K</w:t>
            </w:r>
          </w:p>
        </w:tc>
        <w:tc>
          <w:tcPr>
            <w:tcW w:w="2550" w:type="dxa"/>
            <w:tcBorders>
              <w:top w:val="single" w:sz="8" w:space="0" w:color="000000"/>
              <w:left w:val="single" w:sz="8" w:space="0" w:color="000000"/>
              <w:bottom w:val="single" w:sz="6" w:space="0" w:color="000000"/>
              <w:right w:val="single" w:sz="8" w:space="0" w:color="000000"/>
            </w:tcBorders>
            <w:vAlign w:val="center"/>
          </w:tcPr>
          <w:p w14:paraId="62B1DFC4" w14:textId="77777777" w:rsidR="0046184B" w:rsidRDefault="00000000">
            <w:pPr>
              <w:pStyle w:val="biaogeleft"/>
              <w:wordWrap w:val="0"/>
              <w:rPr>
                <w:rFonts w:hint="eastAsia"/>
              </w:rPr>
            </w:pPr>
            <w:r>
              <w:t>房地产业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5CE2542B" w14:textId="77777777" w:rsidR="0046184B" w:rsidRDefault="00000000">
            <w:pPr>
              <w:pStyle w:val="biaogeright"/>
              <w:wordWrap w:val="0"/>
              <w:rPr>
                <w:rFonts w:hint="eastAsia"/>
              </w:rPr>
            </w:pPr>
            <w:r>
              <w:t>8,708,400.00</w:t>
            </w:r>
          </w:p>
        </w:tc>
        <w:tc>
          <w:tcPr>
            <w:tcW w:w="2626" w:type="dxa"/>
            <w:tcBorders>
              <w:top w:val="single" w:sz="8" w:space="0" w:color="000000"/>
              <w:left w:val="single" w:sz="8" w:space="0" w:color="000000"/>
              <w:bottom w:val="single" w:sz="6" w:space="0" w:color="000000"/>
              <w:right w:val="single" w:sz="8" w:space="0" w:color="000000"/>
            </w:tcBorders>
            <w:vAlign w:val="center"/>
          </w:tcPr>
          <w:p w14:paraId="71C3DA06" w14:textId="77777777" w:rsidR="0046184B" w:rsidRDefault="00000000">
            <w:pPr>
              <w:pStyle w:val="biaogeright"/>
              <w:wordWrap w:val="0"/>
              <w:rPr>
                <w:rFonts w:hint="eastAsia"/>
              </w:rPr>
            </w:pPr>
            <w:r>
              <w:t>4.31</w:t>
            </w:r>
          </w:p>
        </w:tc>
      </w:tr>
      <w:tr w:rsidR="0046184B" w14:paraId="2118C61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C8EE12F" w14:textId="77777777" w:rsidR="0046184B" w:rsidRDefault="00000000">
            <w:pPr>
              <w:pStyle w:val="biaogecenter"/>
              <w:wordWrap w:val="0"/>
              <w:rPr>
                <w:rFonts w:hint="eastAsia"/>
              </w:rPr>
            </w:pPr>
            <w:r>
              <w:rPr>
                <w:rFonts w:hAnsi="等线"/>
                <w:color w:val="000000"/>
              </w:rPr>
              <w:t>L</w:t>
            </w:r>
          </w:p>
        </w:tc>
        <w:tc>
          <w:tcPr>
            <w:tcW w:w="2550" w:type="dxa"/>
            <w:tcBorders>
              <w:top w:val="single" w:sz="8" w:space="0" w:color="000000"/>
              <w:left w:val="single" w:sz="8" w:space="0" w:color="000000"/>
              <w:bottom w:val="single" w:sz="6" w:space="0" w:color="000000"/>
              <w:right w:val="single" w:sz="8" w:space="0" w:color="000000"/>
            </w:tcBorders>
            <w:vAlign w:val="center"/>
          </w:tcPr>
          <w:p w14:paraId="6061855D" w14:textId="77777777" w:rsidR="0046184B" w:rsidRDefault="00000000">
            <w:pPr>
              <w:pStyle w:val="biaogeleft"/>
              <w:wordWrap w:val="0"/>
              <w:rPr>
                <w:rFonts w:hint="eastAsia"/>
              </w:rPr>
            </w:pPr>
            <w:r>
              <w:t>租赁和商务服务业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18463C75" w14:textId="77777777" w:rsidR="0046184B" w:rsidRDefault="00000000">
            <w:pPr>
              <w:pStyle w:val="biaogeright"/>
              <w:wordWrap w:val="0"/>
              <w:rPr>
                <w:rFonts w:hint="eastAsia"/>
              </w:rPr>
            </w:pPr>
            <w:r>
              <w:t>1,499,553.42</w:t>
            </w:r>
          </w:p>
        </w:tc>
        <w:tc>
          <w:tcPr>
            <w:tcW w:w="2626" w:type="dxa"/>
            <w:tcBorders>
              <w:top w:val="single" w:sz="8" w:space="0" w:color="000000"/>
              <w:left w:val="single" w:sz="8" w:space="0" w:color="000000"/>
              <w:bottom w:val="single" w:sz="6" w:space="0" w:color="000000"/>
              <w:right w:val="single" w:sz="8" w:space="0" w:color="000000"/>
            </w:tcBorders>
            <w:vAlign w:val="center"/>
          </w:tcPr>
          <w:p w14:paraId="598A1371" w14:textId="77777777" w:rsidR="0046184B" w:rsidRDefault="00000000">
            <w:pPr>
              <w:pStyle w:val="biaogeright"/>
              <w:wordWrap w:val="0"/>
              <w:rPr>
                <w:rFonts w:hint="eastAsia"/>
              </w:rPr>
            </w:pPr>
            <w:r>
              <w:t>0.74</w:t>
            </w:r>
          </w:p>
        </w:tc>
      </w:tr>
      <w:tr w:rsidR="0046184B" w14:paraId="4997976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E736938" w14:textId="77777777" w:rsidR="0046184B" w:rsidRDefault="00000000">
            <w:pPr>
              <w:pStyle w:val="biaogecenter"/>
              <w:wordWrap w:val="0"/>
              <w:rPr>
                <w:rFonts w:hint="eastAsia"/>
              </w:rPr>
            </w:pPr>
            <w:r>
              <w:rPr>
                <w:rFonts w:hAnsi="等线"/>
                <w:color w:val="000000"/>
              </w:rPr>
              <w:lastRenderedPageBreak/>
              <w:t>M</w:t>
            </w:r>
          </w:p>
        </w:tc>
        <w:tc>
          <w:tcPr>
            <w:tcW w:w="2550" w:type="dxa"/>
            <w:tcBorders>
              <w:top w:val="single" w:sz="8" w:space="0" w:color="000000"/>
              <w:left w:val="single" w:sz="8" w:space="0" w:color="000000"/>
              <w:bottom w:val="single" w:sz="6" w:space="0" w:color="000000"/>
              <w:right w:val="single" w:sz="8" w:space="0" w:color="000000"/>
            </w:tcBorders>
            <w:vAlign w:val="center"/>
          </w:tcPr>
          <w:p w14:paraId="3C986A87" w14:textId="77777777" w:rsidR="0046184B" w:rsidRDefault="00000000">
            <w:pPr>
              <w:pStyle w:val="biaogeleft"/>
              <w:wordWrap w:val="0"/>
              <w:rPr>
                <w:rFonts w:hint="eastAsia"/>
              </w:rPr>
            </w:pPr>
            <w:r>
              <w:t>科学研究和技术服务业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3E3B8713" w14:textId="77777777" w:rsidR="0046184B" w:rsidRDefault="00000000">
            <w:pPr>
              <w:pStyle w:val="biaogeright"/>
              <w:wordWrap w:val="0"/>
              <w:rPr>
                <w:rFonts w:hint="eastAsia"/>
              </w:rPr>
            </w:pPr>
            <w:r>
              <w:t>312,336.32</w:t>
            </w:r>
          </w:p>
        </w:tc>
        <w:tc>
          <w:tcPr>
            <w:tcW w:w="2626" w:type="dxa"/>
            <w:tcBorders>
              <w:top w:val="single" w:sz="8" w:space="0" w:color="000000"/>
              <w:left w:val="single" w:sz="8" w:space="0" w:color="000000"/>
              <w:bottom w:val="single" w:sz="6" w:space="0" w:color="000000"/>
              <w:right w:val="single" w:sz="8" w:space="0" w:color="000000"/>
            </w:tcBorders>
            <w:vAlign w:val="center"/>
          </w:tcPr>
          <w:p w14:paraId="0CB9A911" w14:textId="77777777" w:rsidR="0046184B" w:rsidRDefault="00000000">
            <w:pPr>
              <w:pStyle w:val="biaogeright"/>
              <w:wordWrap w:val="0"/>
              <w:rPr>
                <w:rFonts w:hint="eastAsia"/>
              </w:rPr>
            </w:pPr>
            <w:r>
              <w:t>0.15</w:t>
            </w:r>
          </w:p>
        </w:tc>
      </w:tr>
      <w:tr w:rsidR="0046184B" w14:paraId="1D7AA50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797A33B" w14:textId="77777777" w:rsidR="0046184B" w:rsidRDefault="00000000">
            <w:pPr>
              <w:pStyle w:val="biaogecenter"/>
              <w:wordWrap w:val="0"/>
              <w:rPr>
                <w:rFonts w:hint="eastAsia"/>
              </w:rPr>
            </w:pPr>
            <w:r>
              <w:rPr>
                <w:rFonts w:hAnsi="等线"/>
                <w:color w:val="000000"/>
              </w:rPr>
              <w:t>N</w:t>
            </w:r>
          </w:p>
        </w:tc>
        <w:tc>
          <w:tcPr>
            <w:tcW w:w="2550" w:type="dxa"/>
            <w:tcBorders>
              <w:top w:val="single" w:sz="8" w:space="0" w:color="000000"/>
              <w:left w:val="single" w:sz="8" w:space="0" w:color="000000"/>
              <w:bottom w:val="single" w:sz="6" w:space="0" w:color="000000"/>
              <w:right w:val="single" w:sz="8" w:space="0" w:color="000000"/>
            </w:tcBorders>
            <w:vAlign w:val="center"/>
          </w:tcPr>
          <w:p w14:paraId="6F5DE858" w14:textId="77777777" w:rsidR="0046184B" w:rsidRDefault="00000000">
            <w:pPr>
              <w:pStyle w:val="biaogeleft"/>
              <w:wordWrap w:val="0"/>
              <w:rPr>
                <w:rFonts w:hint="eastAsia"/>
              </w:rPr>
            </w:pPr>
            <w:r>
              <w:t>水利、环境和公共设施管理业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00A776FA" w14:textId="77777777" w:rsidR="0046184B" w:rsidRDefault="00000000">
            <w:pPr>
              <w:pStyle w:val="biaogeright"/>
              <w:wordWrap w:val="0"/>
              <w:rPr>
                <w:rFonts w:hint="eastAsia"/>
              </w:rPr>
            </w:pPr>
            <w:r>
              <w:t>306,857.04</w:t>
            </w:r>
          </w:p>
        </w:tc>
        <w:tc>
          <w:tcPr>
            <w:tcW w:w="2626" w:type="dxa"/>
            <w:tcBorders>
              <w:top w:val="single" w:sz="8" w:space="0" w:color="000000"/>
              <w:left w:val="single" w:sz="8" w:space="0" w:color="000000"/>
              <w:bottom w:val="single" w:sz="6" w:space="0" w:color="000000"/>
              <w:right w:val="single" w:sz="8" w:space="0" w:color="000000"/>
            </w:tcBorders>
            <w:vAlign w:val="center"/>
          </w:tcPr>
          <w:p w14:paraId="338C03CD" w14:textId="77777777" w:rsidR="0046184B" w:rsidRDefault="00000000">
            <w:pPr>
              <w:pStyle w:val="biaogeright"/>
              <w:wordWrap w:val="0"/>
              <w:rPr>
                <w:rFonts w:hint="eastAsia"/>
              </w:rPr>
            </w:pPr>
            <w:r>
              <w:t>0.15</w:t>
            </w:r>
          </w:p>
        </w:tc>
      </w:tr>
      <w:tr w:rsidR="0046184B" w14:paraId="7B4F219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51A669C" w14:textId="77777777" w:rsidR="0046184B" w:rsidRDefault="00000000">
            <w:pPr>
              <w:pStyle w:val="biaogecenter"/>
              <w:wordWrap w:val="0"/>
              <w:rPr>
                <w:rFonts w:hint="eastAsia"/>
              </w:rPr>
            </w:pPr>
            <w:r>
              <w:rPr>
                <w:rFonts w:hAnsi="等线"/>
                <w:color w:val="000000"/>
              </w:rPr>
              <w:t>O</w:t>
            </w:r>
          </w:p>
        </w:tc>
        <w:tc>
          <w:tcPr>
            <w:tcW w:w="2550" w:type="dxa"/>
            <w:tcBorders>
              <w:top w:val="single" w:sz="8" w:space="0" w:color="000000"/>
              <w:left w:val="single" w:sz="8" w:space="0" w:color="000000"/>
              <w:bottom w:val="single" w:sz="6" w:space="0" w:color="000000"/>
              <w:right w:val="single" w:sz="8" w:space="0" w:color="000000"/>
            </w:tcBorders>
            <w:vAlign w:val="center"/>
          </w:tcPr>
          <w:p w14:paraId="60DF3511" w14:textId="77777777" w:rsidR="0046184B" w:rsidRDefault="00000000">
            <w:pPr>
              <w:pStyle w:val="biaogeleft"/>
              <w:wordWrap w:val="0"/>
              <w:rPr>
                <w:rFonts w:hint="eastAsia"/>
              </w:rPr>
            </w:pPr>
            <w:r>
              <w:t>居民服务、修理和其他服务业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6E03ACD2" w14:textId="77777777" w:rsidR="0046184B" w:rsidRDefault="00000000">
            <w:pPr>
              <w:pStyle w:val="biaogeright"/>
              <w:wordWrap w:val="0"/>
              <w:rPr>
                <w:rFonts w:hint="eastAsia"/>
              </w:rPr>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1E09DC24" w14:textId="77777777" w:rsidR="0046184B" w:rsidRDefault="00000000">
            <w:pPr>
              <w:pStyle w:val="biaogeright"/>
              <w:wordWrap w:val="0"/>
              <w:rPr>
                <w:rFonts w:hint="eastAsia"/>
              </w:rPr>
            </w:pPr>
            <w:r>
              <w:t>-</w:t>
            </w:r>
          </w:p>
        </w:tc>
      </w:tr>
      <w:tr w:rsidR="0046184B" w14:paraId="74F57C9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5C9DB15" w14:textId="77777777" w:rsidR="0046184B" w:rsidRDefault="00000000">
            <w:pPr>
              <w:pStyle w:val="biaogecenter"/>
              <w:wordWrap w:val="0"/>
              <w:rPr>
                <w:rFonts w:hint="eastAsia"/>
              </w:rPr>
            </w:pPr>
            <w:r>
              <w:rPr>
                <w:rFonts w:hAnsi="等线"/>
                <w:color w:val="000000"/>
              </w:rPr>
              <w:t>P</w:t>
            </w:r>
          </w:p>
        </w:tc>
        <w:tc>
          <w:tcPr>
            <w:tcW w:w="2550" w:type="dxa"/>
            <w:tcBorders>
              <w:top w:val="single" w:sz="8" w:space="0" w:color="000000"/>
              <w:left w:val="single" w:sz="8" w:space="0" w:color="000000"/>
              <w:bottom w:val="single" w:sz="6" w:space="0" w:color="000000"/>
              <w:right w:val="single" w:sz="8" w:space="0" w:color="000000"/>
            </w:tcBorders>
            <w:vAlign w:val="center"/>
          </w:tcPr>
          <w:p w14:paraId="4BE67418" w14:textId="77777777" w:rsidR="0046184B" w:rsidRDefault="00000000">
            <w:pPr>
              <w:pStyle w:val="biaogeleft"/>
              <w:wordWrap w:val="0"/>
              <w:rPr>
                <w:rFonts w:hint="eastAsia"/>
              </w:rPr>
            </w:pPr>
            <w:r>
              <w:t>教育</w:t>
            </w:r>
          </w:p>
        </w:tc>
        <w:tc>
          <w:tcPr>
            <w:tcW w:w="2550" w:type="dxa"/>
            <w:tcBorders>
              <w:top w:val="single" w:sz="8" w:space="0" w:color="000000"/>
              <w:left w:val="single" w:sz="8" w:space="0" w:color="000000"/>
              <w:bottom w:val="single" w:sz="6" w:space="0" w:color="000000"/>
              <w:right w:val="single" w:sz="8" w:space="0" w:color="000000"/>
            </w:tcBorders>
            <w:vAlign w:val="center"/>
          </w:tcPr>
          <w:p w14:paraId="630090C9" w14:textId="77777777" w:rsidR="0046184B" w:rsidRDefault="00000000">
            <w:pPr>
              <w:pStyle w:val="biaogeright"/>
              <w:wordWrap w:val="0"/>
              <w:rPr>
                <w:rFonts w:hint="eastAsia"/>
              </w:rPr>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27BF6795" w14:textId="77777777" w:rsidR="0046184B" w:rsidRDefault="00000000">
            <w:pPr>
              <w:pStyle w:val="biaogeright"/>
              <w:wordWrap w:val="0"/>
              <w:rPr>
                <w:rFonts w:hint="eastAsia"/>
              </w:rPr>
            </w:pPr>
            <w:r>
              <w:t>-</w:t>
            </w:r>
          </w:p>
        </w:tc>
      </w:tr>
      <w:tr w:rsidR="0046184B" w14:paraId="4587F54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8B8C4C9" w14:textId="77777777" w:rsidR="0046184B" w:rsidRDefault="00000000">
            <w:pPr>
              <w:pStyle w:val="biaogecenter"/>
              <w:wordWrap w:val="0"/>
              <w:rPr>
                <w:rFonts w:hint="eastAsia"/>
              </w:rPr>
            </w:pPr>
            <w:r>
              <w:rPr>
                <w:rFonts w:hAnsi="等线"/>
                <w:color w:val="000000"/>
              </w:rPr>
              <w:t>Q</w:t>
            </w:r>
          </w:p>
        </w:tc>
        <w:tc>
          <w:tcPr>
            <w:tcW w:w="2550" w:type="dxa"/>
            <w:tcBorders>
              <w:top w:val="single" w:sz="8" w:space="0" w:color="000000"/>
              <w:left w:val="single" w:sz="8" w:space="0" w:color="000000"/>
              <w:bottom w:val="single" w:sz="6" w:space="0" w:color="000000"/>
              <w:right w:val="single" w:sz="8" w:space="0" w:color="000000"/>
            </w:tcBorders>
            <w:vAlign w:val="center"/>
          </w:tcPr>
          <w:p w14:paraId="3361FB1B" w14:textId="77777777" w:rsidR="0046184B" w:rsidRDefault="00000000">
            <w:pPr>
              <w:pStyle w:val="biaogeleft"/>
              <w:wordWrap w:val="0"/>
              <w:rPr>
                <w:rFonts w:hint="eastAsia"/>
              </w:rPr>
            </w:pPr>
            <w:r>
              <w:t>卫生和社会工作</w:t>
            </w:r>
          </w:p>
        </w:tc>
        <w:tc>
          <w:tcPr>
            <w:tcW w:w="2550" w:type="dxa"/>
            <w:tcBorders>
              <w:top w:val="single" w:sz="8" w:space="0" w:color="000000"/>
              <w:left w:val="single" w:sz="8" w:space="0" w:color="000000"/>
              <w:bottom w:val="single" w:sz="6" w:space="0" w:color="000000"/>
              <w:right w:val="single" w:sz="8" w:space="0" w:color="000000"/>
            </w:tcBorders>
            <w:vAlign w:val="center"/>
          </w:tcPr>
          <w:p w14:paraId="50EB1B77" w14:textId="77777777" w:rsidR="0046184B" w:rsidRDefault="00000000">
            <w:pPr>
              <w:pStyle w:val="biaogeright"/>
              <w:wordWrap w:val="0"/>
              <w:rPr>
                <w:rFonts w:hint="eastAsia"/>
              </w:rPr>
            </w:pPr>
            <w:r>
              <w:t>6,241,843.20</w:t>
            </w:r>
          </w:p>
        </w:tc>
        <w:tc>
          <w:tcPr>
            <w:tcW w:w="2626" w:type="dxa"/>
            <w:tcBorders>
              <w:top w:val="single" w:sz="8" w:space="0" w:color="000000"/>
              <w:left w:val="single" w:sz="8" w:space="0" w:color="000000"/>
              <w:bottom w:val="single" w:sz="6" w:space="0" w:color="000000"/>
              <w:right w:val="single" w:sz="8" w:space="0" w:color="000000"/>
            </w:tcBorders>
            <w:vAlign w:val="center"/>
          </w:tcPr>
          <w:p w14:paraId="66898A35" w14:textId="77777777" w:rsidR="0046184B" w:rsidRDefault="00000000">
            <w:pPr>
              <w:pStyle w:val="biaogeright"/>
              <w:wordWrap w:val="0"/>
              <w:rPr>
                <w:rFonts w:hint="eastAsia"/>
              </w:rPr>
            </w:pPr>
            <w:r>
              <w:t>3.09</w:t>
            </w:r>
          </w:p>
        </w:tc>
      </w:tr>
      <w:tr w:rsidR="0046184B" w14:paraId="202A910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BD8D54C" w14:textId="77777777" w:rsidR="0046184B" w:rsidRDefault="00000000">
            <w:pPr>
              <w:pStyle w:val="biaogecenter"/>
              <w:wordWrap w:val="0"/>
              <w:rPr>
                <w:rFonts w:hint="eastAsia"/>
              </w:rPr>
            </w:pPr>
            <w:r>
              <w:rPr>
                <w:rFonts w:hAnsi="等线"/>
                <w:color w:val="000000"/>
              </w:rPr>
              <w:t>R</w:t>
            </w:r>
          </w:p>
        </w:tc>
        <w:tc>
          <w:tcPr>
            <w:tcW w:w="2550" w:type="dxa"/>
            <w:tcBorders>
              <w:top w:val="single" w:sz="8" w:space="0" w:color="000000"/>
              <w:left w:val="single" w:sz="8" w:space="0" w:color="000000"/>
              <w:bottom w:val="single" w:sz="6" w:space="0" w:color="000000"/>
              <w:right w:val="single" w:sz="8" w:space="0" w:color="000000"/>
            </w:tcBorders>
            <w:vAlign w:val="center"/>
          </w:tcPr>
          <w:p w14:paraId="187B82CD" w14:textId="77777777" w:rsidR="0046184B" w:rsidRDefault="00000000">
            <w:pPr>
              <w:pStyle w:val="biaogeleft"/>
              <w:wordWrap w:val="0"/>
              <w:rPr>
                <w:rFonts w:hint="eastAsia"/>
              </w:rPr>
            </w:pPr>
            <w:r>
              <w:t>文化、体育和娱乐业</w:t>
            </w:r>
          </w:p>
        </w:tc>
        <w:tc>
          <w:tcPr>
            <w:tcW w:w="2550" w:type="dxa"/>
            <w:tcBorders>
              <w:top w:val="single" w:sz="8" w:space="0" w:color="000000"/>
              <w:left w:val="single" w:sz="8" w:space="0" w:color="000000"/>
              <w:bottom w:val="single" w:sz="6" w:space="0" w:color="000000"/>
              <w:right w:val="single" w:sz="8" w:space="0" w:color="000000"/>
            </w:tcBorders>
            <w:vAlign w:val="center"/>
          </w:tcPr>
          <w:p w14:paraId="5555C32B" w14:textId="77777777" w:rsidR="0046184B" w:rsidRDefault="00000000">
            <w:pPr>
              <w:pStyle w:val="biaogeright"/>
              <w:wordWrap w:val="0"/>
              <w:rPr>
                <w:rFonts w:hint="eastAsia"/>
              </w:rPr>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562D3A83" w14:textId="77777777" w:rsidR="0046184B" w:rsidRDefault="00000000">
            <w:pPr>
              <w:pStyle w:val="biaogeright"/>
              <w:wordWrap w:val="0"/>
              <w:rPr>
                <w:rFonts w:hint="eastAsia"/>
              </w:rPr>
            </w:pPr>
            <w:r>
              <w:t>-</w:t>
            </w:r>
          </w:p>
        </w:tc>
      </w:tr>
      <w:tr w:rsidR="0046184B" w14:paraId="068E375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C0A806D" w14:textId="77777777" w:rsidR="0046184B" w:rsidRDefault="00000000">
            <w:pPr>
              <w:pStyle w:val="biaogecenter"/>
              <w:wordWrap w:val="0"/>
              <w:rPr>
                <w:rFonts w:hint="eastAsia"/>
              </w:rPr>
            </w:pPr>
            <w:r>
              <w:rPr>
                <w:rFonts w:hAnsi="等线"/>
                <w:color w:val="000000"/>
              </w:rPr>
              <w:t>S</w:t>
            </w:r>
          </w:p>
        </w:tc>
        <w:tc>
          <w:tcPr>
            <w:tcW w:w="2550" w:type="dxa"/>
            <w:tcBorders>
              <w:top w:val="single" w:sz="8" w:space="0" w:color="000000"/>
              <w:left w:val="single" w:sz="8" w:space="0" w:color="000000"/>
              <w:bottom w:val="single" w:sz="6" w:space="0" w:color="000000"/>
              <w:right w:val="single" w:sz="8" w:space="0" w:color="000000"/>
            </w:tcBorders>
            <w:vAlign w:val="center"/>
          </w:tcPr>
          <w:p w14:paraId="59EDA8FE" w14:textId="77777777" w:rsidR="0046184B" w:rsidRDefault="00000000">
            <w:pPr>
              <w:pStyle w:val="biaogeleft"/>
              <w:wordWrap w:val="0"/>
              <w:rPr>
                <w:rFonts w:hint="eastAsia"/>
              </w:rPr>
            </w:pPr>
            <w:r>
              <w:t>综合</w:t>
            </w:r>
          </w:p>
        </w:tc>
        <w:tc>
          <w:tcPr>
            <w:tcW w:w="2550" w:type="dxa"/>
            <w:tcBorders>
              <w:top w:val="single" w:sz="8" w:space="0" w:color="000000"/>
              <w:left w:val="single" w:sz="8" w:space="0" w:color="000000"/>
              <w:bottom w:val="single" w:sz="6" w:space="0" w:color="000000"/>
              <w:right w:val="single" w:sz="8" w:space="0" w:color="000000"/>
            </w:tcBorders>
            <w:vAlign w:val="center"/>
          </w:tcPr>
          <w:p w14:paraId="0D78F87C" w14:textId="77777777" w:rsidR="0046184B" w:rsidRDefault="00000000">
            <w:pPr>
              <w:pStyle w:val="biaogeright"/>
              <w:wordWrap w:val="0"/>
              <w:rPr>
                <w:rFonts w:hint="eastAsia"/>
              </w:rPr>
            </w:pPr>
            <w:r>
              <w:t>-</w:t>
            </w:r>
          </w:p>
        </w:tc>
        <w:tc>
          <w:tcPr>
            <w:tcW w:w="2626" w:type="dxa"/>
            <w:tcBorders>
              <w:top w:val="single" w:sz="8" w:space="0" w:color="000000"/>
              <w:left w:val="single" w:sz="8" w:space="0" w:color="000000"/>
              <w:bottom w:val="single" w:sz="6" w:space="0" w:color="000000"/>
              <w:right w:val="single" w:sz="8" w:space="0" w:color="000000"/>
            </w:tcBorders>
            <w:vAlign w:val="center"/>
          </w:tcPr>
          <w:p w14:paraId="74E16936" w14:textId="77777777" w:rsidR="0046184B" w:rsidRDefault="00000000">
            <w:pPr>
              <w:pStyle w:val="biaogeright"/>
              <w:wordWrap w:val="0"/>
              <w:rPr>
                <w:rFonts w:hint="eastAsia"/>
              </w:rPr>
            </w:pPr>
            <w:r>
              <w:t>-</w:t>
            </w:r>
          </w:p>
        </w:tc>
      </w:tr>
      <w:tr w:rsidR="0046184B" w14:paraId="748915F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8EE3F8E" w14:textId="77777777" w:rsidR="0046184B" w:rsidRDefault="0046184B"/>
        </w:tc>
        <w:tc>
          <w:tcPr>
            <w:tcW w:w="2550" w:type="dxa"/>
            <w:tcBorders>
              <w:top w:val="single" w:sz="8" w:space="0" w:color="000000"/>
              <w:left w:val="single" w:sz="8" w:space="0" w:color="000000"/>
              <w:bottom w:val="single" w:sz="6" w:space="0" w:color="000000"/>
              <w:right w:val="single" w:sz="8" w:space="0" w:color="000000"/>
            </w:tcBorders>
            <w:vAlign w:val="center"/>
          </w:tcPr>
          <w:p w14:paraId="0708E57C" w14:textId="77777777" w:rsidR="0046184B" w:rsidRDefault="00000000">
            <w:pPr>
              <w:pStyle w:val="biaogeleft"/>
              <w:wordWrap w:val="0"/>
              <w:rPr>
                <w:rFonts w:hint="eastAsia"/>
              </w:rPr>
            </w:pPr>
            <w:r>
              <w:t>合计</w:t>
            </w:r>
          </w:p>
        </w:tc>
        <w:tc>
          <w:tcPr>
            <w:tcW w:w="2550" w:type="dxa"/>
            <w:tcBorders>
              <w:top w:val="single" w:sz="8" w:space="0" w:color="000000"/>
              <w:left w:val="single" w:sz="8" w:space="0" w:color="000000"/>
              <w:bottom w:val="single" w:sz="6" w:space="0" w:color="000000"/>
              <w:right w:val="single" w:sz="8" w:space="0" w:color="000000"/>
            </w:tcBorders>
            <w:vAlign w:val="center"/>
          </w:tcPr>
          <w:p w14:paraId="7B5870AE" w14:textId="77777777" w:rsidR="0046184B" w:rsidRDefault="00000000">
            <w:pPr>
              <w:pStyle w:val="biaogeright"/>
              <w:wordWrap w:val="0"/>
              <w:rPr>
                <w:rFonts w:hint="eastAsia"/>
              </w:rPr>
            </w:pPr>
            <w:r>
              <w:t>163,335,693.01</w:t>
            </w:r>
          </w:p>
        </w:tc>
        <w:tc>
          <w:tcPr>
            <w:tcW w:w="2626" w:type="dxa"/>
            <w:tcBorders>
              <w:top w:val="single" w:sz="8" w:space="0" w:color="000000"/>
              <w:left w:val="single" w:sz="8" w:space="0" w:color="000000"/>
              <w:bottom w:val="single" w:sz="6" w:space="0" w:color="000000"/>
              <w:right w:val="single" w:sz="8" w:space="0" w:color="000000"/>
            </w:tcBorders>
            <w:vAlign w:val="center"/>
          </w:tcPr>
          <w:p w14:paraId="0AE7AA9E" w14:textId="77777777" w:rsidR="0046184B" w:rsidRDefault="00000000">
            <w:pPr>
              <w:pStyle w:val="biaogeright"/>
              <w:wordWrap w:val="0"/>
              <w:rPr>
                <w:rFonts w:hint="eastAsia"/>
              </w:rPr>
            </w:pPr>
            <w:r>
              <w:t>80.87</w:t>
            </w:r>
          </w:p>
        </w:tc>
      </w:tr>
    </w:tbl>
    <w:p w14:paraId="4A1D534A" w14:textId="77777777" w:rsidR="0046184B" w:rsidRDefault="00000000">
      <w:pPr>
        <w:autoSpaceDE w:val="0"/>
        <w:autoSpaceDN w:val="0"/>
        <w:spacing w:line="360" w:lineRule="auto"/>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2）</w:t>
      </w:r>
      <w:r>
        <w:rPr>
          <w:rFonts w:asciiTheme="minorEastAsia" w:hAnsiTheme="minorEastAsia" w:hint="eastAsia"/>
          <w:bCs/>
          <w:sz w:val="24"/>
          <w:szCs w:val="24"/>
        </w:rPr>
        <w:t>报告期末按行业分类的港股通投资股票投资组合</w:t>
      </w:r>
    </w:p>
    <w:p w14:paraId="621129B4" w14:textId="77777777" w:rsidR="0046184B" w:rsidRDefault="00000000">
      <w:pPr>
        <w:pStyle w:val="biaogecenter"/>
        <w:wordWrap w:val="0"/>
        <w:ind w:left="0" w:firstLineChars="200" w:firstLine="480"/>
        <w:jc w:val="both"/>
        <w:rPr>
          <w:rFonts w:asciiTheme="minorEastAsia" w:eastAsiaTheme="minorEastAsia" w:hAnsiTheme="minorEastAsia" w:hint="eastAsia"/>
          <w:bCs/>
        </w:rPr>
      </w:pPr>
      <w:r>
        <w:rPr>
          <w:rFonts w:asciiTheme="minorEastAsia" w:eastAsiaTheme="minorEastAsia" w:hAnsiTheme="minorEastAsia" w:hint="eastAsia"/>
          <w:bCs/>
        </w:rPr>
        <w:t>本基金本报告期末未持有港股通股票。</w:t>
      </w:r>
    </w:p>
    <w:p w14:paraId="4779C6D7" w14:textId="77777777" w:rsidR="0046184B" w:rsidRDefault="0046184B">
      <w:pPr>
        <w:pStyle w:val="biaogecenter"/>
        <w:wordWrap w:val="0"/>
        <w:ind w:leftChars="7"/>
        <w:jc w:val="both"/>
        <w:rPr>
          <w:rFonts w:asciiTheme="minorEastAsia" w:eastAsiaTheme="minorEastAsia" w:hAnsiTheme="minorEastAsia" w:hint="eastAsia"/>
          <w:bCs/>
        </w:rPr>
      </w:pPr>
    </w:p>
    <w:p w14:paraId="25CE07E4"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3、</w:t>
      </w:r>
      <w:r>
        <w:rPr>
          <w:rFonts w:asciiTheme="minorEastAsia" w:hAnsiTheme="minorEastAsia" w:hint="eastAsia"/>
          <w:bCs/>
          <w:sz w:val="24"/>
          <w:szCs w:val="24"/>
        </w:rPr>
        <w:t>报告期末按公允价值占基金资产净值比例大小排序的前十名股票投资明细</w:t>
      </w:r>
    </w:p>
    <w:tbl>
      <w:tblPr>
        <w:tblW w:w="8260" w:type="dxa"/>
        <w:tblInd w:w="108" w:type="dxa"/>
        <w:tblLayout w:type="fixed"/>
        <w:tblLook w:val="04A0" w:firstRow="1" w:lastRow="0" w:firstColumn="1" w:lastColumn="0" w:noHBand="0" w:noVBand="1"/>
      </w:tblPr>
      <w:tblGrid>
        <w:gridCol w:w="717"/>
        <w:gridCol w:w="1354"/>
        <w:gridCol w:w="1354"/>
        <w:gridCol w:w="1458"/>
        <w:gridCol w:w="1971"/>
        <w:gridCol w:w="1406"/>
      </w:tblGrid>
      <w:tr w:rsidR="0046184B" w14:paraId="5F3C9BC0" w14:textId="77777777">
        <w:trPr>
          <w:trHeight w:val="396"/>
        </w:trPr>
        <w:tc>
          <w:tcPr>
            <w:tcW w:w="717" w:type="dxa"/>
            <w:tcBorders>
              <w:top w:val="single" w:sz="8" w:space="0" w:color="000000"/>
              <w:left w:val="single" w:sz="8" w:space="0" w:color="000000"/>
              <w:bottom w:val="single" w:sz="4" w:space="0" w:color="000000"/>
              <w:right w:val="single" w:sz="8" w:space="0" w:color="000000"/>
            </w:tcBorders>
            <w:vAlign w:val="center"/>
          </w:tcPr>
          <w:p w14:paraId="6C116AE0" w14:textId="77777777" w:rsidR="0046184B" w:rsidRDefault="00000000">
            <w:pPr>
              <w:pStyle w:val="biaogecenter"/>
              <w:wordWrap w:val="0"/>
              <w:rPr>
                <w:rFonts w:asciiTheme="minorEastAsia" w:eastAsiaTheme="minorEastAsia" w:hAnsiTheme="minorEastAsia" w:hint="eastAsia"/>
                <w:color w:val="000000"/>
              </w:rPr>
            </w:pPr>
            <w:r>
              <w:rPr>
                <w:rFonts w:asciiTheme="minorEastAsia" w:eastAsiaTheme="minorEastAsia" w:hAnsiTheme="minorEastAsia" w:hint="eastAsia"/>
                <w:color w:val="000000"/>
              </w:rPr>
              <w:t>序号</w:t>
            </w:r>
          </w:p>
        </w:tc>
        <w:tc>
          <w:tcPr>
            <w:tcW w:w="1354" w:type="dxa"/>
            <w:tcBorders>
              <w:top w:val="single" w:sz="8" w:space="0" w:color="000000"/>
              <w:left w:val="single" w:sz="8" w:space="0" w:color="000000"/>
              <w:bottom w:val="single" w:sz="4" w:space="0" w:color="000000"/>
              <w:right w:val="single" w:sz="8" w:space="0" w:color="000000"/>
            </w:tcBorders>
            <w:vAlign w:val="center"/>
          </w:tcPr>
          <w:p w14:paraId="733E044A" w14:textId="77777777" w:rsidR="0046184B" w:rsidRDefault="00000000">
            <w:pPr>
              <w:pStyle w:val="biaogeleft"/>
              <w:rPr>
                <w:rFonts w:asciiTheme="minorEastAsia" w:eastAsiaTheme="minorEastAsia" w:hAnsiTheme="minorEastAsia" w:hint="eastAsia"/>
                <w:color w:val="000000"/>
              </w:rPr>
            </w:pPr>
            <w:r>
              <w:rPr>
                <w:rFonts w:asciiTheme="minorEastAsia" w:eastAsiaTheme="minorEastAsia" w:hAnsiTheme="minorEastAsia" w:hint="eastAsia"/>
                <w:color w:val="000000"/>
              </w:rPr>
              <w:t>股票代码</w:t>
            </w:r>
          </w:p>
        </w:tc>
        <w:tc>
          <w:tcPr>
            <w:tcW w:w="1354" w:type="dxa"/>
            <w:tcBorders>
              <w:top w:val="single" w:sz="8" w:space="0" w:color="000000"/>
              <w:left w:val="single" w:sz="8" w:space="0" w:color="000000"/>
              <w:bottom w:val="single" w:sz="4" w:space="0" w:color="000000"/>
              <w:right w:val="single" w:sz="8" w:space="0" w:color="000000"/>
            </w:tcBorders>
            <w:vAlign w:val="center"/>
          </w:tcPr>
          <w:p w14:paraId="2D3780E5" w14:textId="77777777" w:rsidR="0046184B" w:rsidRDefault="00000000">
            <w:pPr>
              <w:pStyle w:val="biaogeleft"/>
              <w:rPr>
                <w:rFonts w:asciiTheme="minorEastAsia" w:eastAsiaTheme="minorEastAsia" w:hAnsiTheme="minorEastAsia" w:hint="eastAsia"/>
                <w:color w:val="000000"/>
              </w:rPr>
            </w:pPr>
            <w:r>
              <w:rPr>
                <w:rFonts w:asciiTheme="minorEastAsia" w:eastAsiaTheme="minorEastAsia" w:hAnsiTheme="minorEastAsia" w:hint="eastAsia"/>
                <w:color w:val="000000"/>
              </w:rPr>
              <w:t>股票名称</w:t>
            </w:r>
          </w:p>
        </w:tc>
        <w:tc>
          <w:tcPr>
            <w:tcW w:w="1458" w:type="dxa"/>
            <w:tcBorders>
              <w:top w:val="single" w:sz="8" w:space="0" w:color="000000"/>
              <w:left w:val="single" w:sz="8" w:space="0" w:color="000000"/>
              <w:bottom w:val="single" w:sz="4" w:space="0" w:color="000000"/>
              <w:right w:val="single" w:sz="8" w:space="0" w:color="000000"/>
            </w:tcBorders>
            <w:vAlign w:val="center"/>
          </w:tcPr>
          <w:p w14:paraId="4558AE54" w14:textId="77777777" w:rsidR="0046184B" w:rsidRDefault="00000000">
            <w:pPr>
              <w:pStyle w:val="biaogeright"/>
              <w:rPr>
                <w:rFonts w:asciiTheme="minorEastAsia" w:eastAsiaTheme="minorEastAsia" w:hAnsiTheme="minorEastAsia" w:hint="eastAsia"/>
                <w:color w:val="000000"/>
              </w:rPr>
            </w:pPr>
            <w:r>
              <w:rPr>
                <w:rFonts w:asciiTheme="minorEastAsia" w:eastAsiaTheme="minorEastAsia" w:hAnsiTheme="minorEastAsia" w:hint="eastAsia"/>
                <w:color w:val="000000"/>
              </w:rPr>
              <w:t>数量(股)</w:t>
            </w:r>
          </w:p>
        </w:tc>
        <w:tc>
          <w:tcPr>
            <w:tcW w:w="1971" w:type="dxa"/>
            <w:tcBorders>
              <w:top w:val="single" w:sz="8" w:space="0" w:color="000000"/>
              <w:left w:val="single" w:sz="8" w:space="0" w:color="000000"/>
              <w:bottom w:val="single" w:sz="4" w:space="0" w:color="000000"/>
              <w:right w:val="single" w:sz="8" w:space="0" w:color="000000"/>
            </w:tcBorders>
            <w:vAlign w:val="center"/>
          </w:tcPr>
          <w:p w14:paraId="76249DE3" w14:textId="77777777" w:rsidR="0046184B" w:rsidRDefault="00000000">
            <w:pPr>
              <w:pStyle w:val="biaogeright"/>
              <w:rPr>
                <w:rFonts w:asciiTheme="minorEastAsia" w:eastAsiaTheme="minorEastAsia" w:hAnsiTheme="minorEastAsia" w:hint="eastAsia"/>
                <w:color w:val="000000"/>
              </w:rPr>
            </w:pPr>
            <w:r>
              <w:rPr>
                <w:rFonts w:asciiTheme="minorEastAsia" w:eastAsiaTheme="minorEastAsia" w:hAnsiTheme="minorEastAsia" w:hint="eastAsia"/>
                <w:color w:val="000000"/>
              </w:rPr>
              <w:t>公允价值(元)</w:t>
            </w:r>
          </w:p>
        </w:tc>
        <w:tc>
          <w:tcPr>
            <w:tcW w:w="1406" w:type="dxa"/>
            <w:tcBorders>
              <w:top w:val="single" w:sz="8" w:space="0" w:color="000000"/>
              <w:left w:val="single" w:sz="8" w:space="0" w:color="000000"/>
              <w:bottom w:val="single" w:sz="4" w:space="0" w:color="000000"/>
              <w:right w:val="single" w:sz="8" w:space="0" w:color="000000"/>
            </w:tcBorders>
            <w:vAlign w:val="center"/>
          </w:tcPr>
          <w:p w14:paraId="75C9F157" w14:textId="77777777" w:rsidR="0046184B" w:rsidRDefault="00000000">
            <w:pPr>
              <w:pStyle w:val="biaogeright"/>
              <w:rPr>
                <w:rFonts w:asciiTheme="minorEastAsia" w:eastAsiaTheme="minorEastAsia" w:hAnsiTheme="minorEastAsia" w:hint="eastAsia"/>
                <w:color w:val="000000"/>
              </w:rPr>
            </w:pPr>
            <w:r>
              <w:rPr>
                <w:rFonts w:asciiTheme="minorEastAsia" w:eastAsiaTheme="minorEastAsia" w:hAnsiTheme="minorEastAsia" w:hint="eastAsia"/>
                <w:color w:val="000000"/>
              </w:rPr>
              <w:t>占基金资产净值比例(%)</w:t>
            </w:r>
          </w:p>
        </w:tc>
      </w:tr>
      <w:tr w:rsidR="0046184B" w14:paraId="4011C277"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33300C69" w14:textId="77777777" w:rsidR="0046184B" w:rsidRDefault="00000000">
            <w:pPr>
              <w:pStyle w:val="biaogecenter"/>
              <w:wordWrap w:val="0"/>
              <w:rPr>
                <w:rFonts w:asciiTheme="minorEastAsia" w:eastAsiaTheme="minorEastAsia" w:hAnsiTheme="minorEastAsia" w:hint="eastAsia"/>
                <w:color w:val="000000"/>
              </w:rPr>
            </w:pPr>
            <w:r>
              <w:rPr>
                <w:rFonts w:hAnsi="Calibri" w:hint="eastAsia"/>
                <w:color w:val="000000"/>
              </w:rPr>
              <w:t>1</w:t>
            </w:r>
          </w:p>
        </w:tc>
        <w:tc>
          <w:tcPr>
            <w:tcW w:w="1354" w:type="dxa"/>
            <w:tcBorders>
              <w:top w:val="single" w:sz="8" w:space="0" w:color="000000"/>
              <w:left w:val="single" w:sz="8" w:space="0" w:color="000000"/>
              <w:bottom w:val="single" w:sz="6" w:space="0" w:color="000000"/>
              <w:right w:val="single" w:sz="8" w:space="0" w:color="000000"/>
            </w:tcBorders>
            <w:vAlign w:val="center"/>
          </w:tcPr>
          <w:p w14:paraId="5558F50E" w14:textId="77777777" w:rsidR="0046184B" w:rsidRDefault="00000000">
            <w:pPr>
              <w:pStyle w:val="biaogeleft"/>
              <w:wordWrap w:val="0"/>
              <w:rPr>
                <w:rFonts w:asciiTheme="minorEastAsia" w:eastAsiaTheme="minorEastAsia" w:hAnsiTheme="minorEastAsia" w:hint="eastAsia"/>
                <w:color w:val="000000"/>
              </w:rPr>
            </w:pPr>
            <w:r>
              <w:rPr>
                <w:rFonts w:hAnsi="等线"/>
                <w:color w:val="000000"/>
              </w:rPr>
              <w:t>601899</w:t>
            </w:r>
          </w:p>
        </w:tc>
        <w:tc>
          <w:tcPr>
            <w:tcW w:w="1354" w:type="dxa"/>
            <w:tcBorders>
              <w:top w:val="single" w:sz="8" w:space="0" w:color="000000"/>
              <w:left w:val="single" w:sz="8" w:space="0" w:color="000000"/>
              <w:bottom w:val="single" w:sz="6" w:space="0" w:color="000000"/>
              <w:right w:val="single" w:sz="8" w:space="0" w:color="000000"/>
            </w:tcBorders>
            <w:vAlign w:val="center"/>
          </w:tcPr>
          <w:p w14:paraId="50BDFCEA" w14:textId="77777777" w:rsidR="0046184B" w:rsidRDefault="00000000">
            <w:pPr>
              <w:pStyle w:val="biaogeleft"/>
              <w:wordWrap w:val="0"/>
              <w:rPr>
                <w:rFonts w:asciiTheme="minorEastAsia" w:eastAsiaTheme="minorEastAsia" w:hAnsiTheme="minorEastAsia" w:hint="eastAsia"/>
                <w:color w:val="000000"/>
              </w:rPr>
            </w:pPr>
            <w:r>
              <w:rPr>
                <w:rFonts w:hAnsi="等线"/>
                <w:color w:val="000000"/>
              </w:rPr>
              <w:t>紫金矿业</w:t>
            </w:r>
          </w:p>
        </w:tc>
        <w:tc>
          <w:tcPr>
            <w:tcW w:w="1458" w:type="dxa"/>
            <w:tcBorders>
              <w:top w:val="single" w:sz="8" w:space="0" w:color="000000"/>
              <w:left w:val="single" w:sz="8" w:space="0" w:color="000000"/>
              <w:bottom w:val="single" w:sz="6" w:space="0" w:color="000000"/>
              <w:right w:val="single" w:sz="8" w:space="0" w:color="000000"/>
            </w:tcBorders>
            <w:vAlign w:val="center"/>
          </w:tcPr>
          <w:p w14:paraId="239C8D41"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1,140,000</w:t>
            </w:r>
          </w:p>
        </w:tc>
        <w:tc>
          <w:tcPr>
            <w:tcW w:w="1971" w:type="dxa"/>
            <w:tcBorders>
              <w:top w:val="single" w:sz="8" w:space="0" w:color="000000"/>
              <w:left w:val="single" w:sz="8" w:space="0" w:color="000000"/>
              <w:bottom w:val="single" w:sz="6" w:space="0" w:color="000000"/>
              <w:right w:val="single" w:sz="8" w:space="0" w:color="000000"/>
            </w:tcBorders>
            <w:vAlign w:val="center"/>
          </w:tcPr>
          <w:p w14:paraId="47E3ADD6"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19,174,800.00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0490BF91"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9.49</w:t>
            </w:r>
          </w:p>
        </w:tc>
      </w:tr>
      <w:tr w:rsidR="0046184B" w14:paraId="7570F9AD"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45E3031" w14:textId="77777777" w:rsidR="0046184B" w:rsidRDefault="00000000">
            <w:pPr>
              <w:pStyle w:val="biaogecenter"/>
              <w:wordWrap w:val="0"/>
              <w:rPr>
                <w:rFonts w:asciiTheme="minorEastAsia" w:eastAsiaTheme="minorEastAsia" w:hAnsiTheme="minorEastAsia" w:hint="eastAsia"/>
                <w:color w:val="000000"/>
              </w:rPr>
            </w:pPr>
            <w:r>
              <w:rPr>
                <w:rFonts w:hAnsi="Calibri" w:hint="eastAsia"/>
                <w:color w:val="000000"/>
              </w:rPr>
              <w:t>2</w:t>
            </w:r>
          </w:p>
        </w:tc>
        <w:tc>
          <w:tcPr>
            <w:tcW w:w="1354" w:type="dxa"/>
            <w:tcBorders>
              <w:top w:val="single" w:sz="8" w:space="0" w:color="000000"/>
              <w:left w:val="single" w:sz="8" w:space="0" w:color="000000"/>
              <w:bottom w:val="single" w:sz="6" w:space="0" w:color="000000"/>
              <w:right w:val="single" w:sz="8" w:space="0" w:color="000000"/>
            </w:tcBorders>
            <w:vAlign w:val="center"/>
          </w:tcPr>
          <w:p w14:paraId="2C6B7CED" w14:textId="77777777" w:rsidR="0046184B" w:rsidRDefault="00000000">
            <w:pPr>
              <w:pStyle w:val="biaogeleft"/>
              <w:wordWrap w:val="0"/>
              <w:rPr>
                <w:rFonts w:asciiTheme="minorEastAsia" w:eastAsiaTheme="minorEastAsia" w:hAnsiTheme="minorEastAsia" w:hint="eastAsia"/>
                <w:color w:val="000000"/>
              </w:rPr>
            </w:pPr>
            <w:r>
              <w:rPr>
                <w:rFonts w:hAnsi="等线"/>
                <w:color w:val="000000"/>
              </w:rPr>
              <w:t>600809</w:t>
            </w:r>
          </w:p>
        </w:tc>
        <w:tc>
          <w:tcPr>
            <w:tcW w:w="1354" w:type="dxa"/>
            <w:tcBorders>
              <w:top w:val="single" w:sz="8" w:space="0" w:color="000000"/>
              <w:left w:val="single" w:sz="8" w:space="0" w:color="000000"/>
              <w:bottom w:val="single" w:sz="6" w:space="0" w:color="000000"/>
              <w:right w:val="single" w:sz="8" w:space="0" w:color="000000"/>
            </w:tcBorders>
            <w:vAlign w:val="center"/>
          </w:tcPr>
          <w:p w14:paraId="32A4619F" w14:textId="77777777" w:rsidR="0046184B" w:rsidRDefault="00000000">
            <w:pPr>
              <w:pStyle w:val="biaogeleft"/>
              <w:wordWrap w:val="0"/>
              <w:rPr>
                <w:rFonts w:asciiTheme="minorEastAsia" w:eastAsiaTheme="minorEastAsia" w:hAnsiTheme="minorEastAsia" w:hint="eastAsia"/>
                <w:color w:val="000000"/>
              </w:rPr>
            </w:pPr>
            <w:r>
              <w:rPr>
                <w:rFonts w:hAnsi="等线"/>
                <w:color w:val="000000"/>
              </w:rPr>
              <w:t>山西汾酒</w:t>
            </w:r>
          </w:p>
        </w:tc>
        <w:tc>
          <w:tcPr>
            <w:tcW w:w="1458" w:type="dxa"/>
            <w:tcBorders>
              <w:top w:val="single" w:sz="8" w:space="0" w:color="000000"/>
              <w:left w:val="single" w:sz="8" w:space="0" w:color="000000"/>
              <w:bottom w:val="single" w:sz="6" w:space="0" w:color="000000"/>
              <w:right w:val="single" w:sz="8" w:space="0" w:color="000000"/>
            </w:tcBorders>
            <w:vAlign w:val="center"/>
          </w:tcPr>
          <w:p w14:paraId="6741DC36"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69,800</w:t>
            </w:r>
          </w:p>
        </w:tc>
        <w:tc>
          <w:tcPr>
            <w:tcW w:w="1971" w:type="dxa"/>
            <w:tcBorders>
              <w:top w:val="single" w:sz="8" w:space="0" w:color="000000"/>
              <w:left w:val="single" w:sz="8" w:space="0" w:color="000000"/>
              <w:bottom w:val="single" w:sz="6" w:space="0" w:color="000000"/>
              <w:right w:val="single" w:sz="8" w:space="0" w:color="000000"/>
            </w:tcBorders>
            <w:vAlign w:val="center"/>
          </w:tcPr>
          <w:p w14:paraId="64AA0072"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17,106,584.00</w:t>
            </w:r>
          </w:p>
        </w:tc>
        <w:tc>
          <w:tcPr>
            <w:tcW w:w="1406" w:type="dxa"/>
            <w:tcBorders>
              <w:top w:val="single" w:sz="8" w:space="0" w:color="000000"/>
              <w:left w:val="single" w:sz="8" w:space="0" w:color="000000"/>
              <w:bottom w:val="single" w:sz="6" w:space="0" w:color="000000"/>
              <w:right w:val="single" w:sz="8" w:space="0" w:color="000000"/>
            </w:tcBorders>
            <w:vAlign w:val="center"/>
          </w:tcPr>
          <w:p w14:paraId="68E006C7"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8.47</w:t>
            </w:r>
          </w:p>
        </w:tc>
      </w:tr>
      <w:tr w:rsidR="0046184B" w14:paraId="0BB033CE"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A274595" w14:textId="77777777" w:rsidR="0046184B" w:rsidRDefault="00000000">
            <w:pPr>
              <w:pStyle w:val="biaogecenter"/>
              <w:wordWrap w:val="0"/>
              <w:rPr>
                <w:rFonts w:asciiTheme="minorEastAsia" w:eastAsiaTheme="minorEastAsia" w:hAnsiTheme="minorEastAsia" w:hint="eastAsia"/>
                <w:color w:val="000000"/>
              </w:rPr>
            </w:pPr>
            <w:r>
              <w:rPr>
                <w:rFonts w:hAnsi="Calibri" w:hint="eastAsia"/>
                <w:color w:val="000000"/>
              </w:rPr>
              <w:t>3</w:t>
            </w:r>
          </w:p>
        </w:tc>
        <w:tc>
          <w:tcPr>
            <w:tcW w:w="1354" w:type="dxa"/>
            <w:tcBorders>
              <w:top w:val="single" w:sz="8" w:space="0" w:color="000000"/>
              <w:left w:val="single" w:sz="8" w:space="0" w:color="000000"/>
              <w:bottom w:val="single" w:sz="6" w:space="0" w:color="000000"/>
              <w:right w:val="single" w:sz="8" w:space="0" w:color="000000"/>
            </w:tcBorders>
            <w:vAlign w:val="center"/>
          </w:tcPr>
          <w:p w14:paraId="1FA50F9E" w14:textId="77777777" w:rsidR="0046184B" w:rsidRDefault="00000000">
            <w:pPr>
              <w:pStyle w:val="biaogeleft"/>
              <w:wordWrap w:val="0"/>
              <w:rPr>
                <w:rFonts w:asciiTheme="minorEastAsia" w:eastAsiaTheme="minorEastAsia" w:hAnsiTheme="minorEastAsia" w:hint="eastAsia"/>
                <w:color w:val="000000"/>
              </w:rPr>
            </w:pPr>
            <w:r>
              <w:rPr>
                <w:rFonts w:hAnsi="等线"/>
                <w:color w:val="000000"/>
              </w:rPr>
              <w:t>600519</w:t>
            </w:r>
          </w:p>
        </w:tc>
        <w:tc>
          <w:tcPr>
            <w:tcW w:w="1354" w:type="dxa"/>
            <w:tcBorders>
              <w:top w:val="single" w:sz="8" w:space="0" w:color="000000"/>
              <w:left w:val="single" w:sz="8" w:space="0" w:color="000000"/>
              <w:bottom w:val="single" w:sz="6" w:space="0" w:color="000000"/>
              <w:right w:val="single" w:sz="8" w:space="0" w:color="000000"/>
            </w:tcBorders>
            <w:vAlign w:val="center"/>
          </w:tcPr>
          <w:p w14:paraId="1A54D381" w14:textId="77777777" w:rsidR="0046184B" w:rsidRDefault="00000000">
            <w:pPr>
              <w:pStyle w:val="biaogeleft"/>
              <w:wordWrap w:val="0"/>
              <w:rPr>
                <w:rFonts w:asciiTheme="minorEastAsia" w:eastAsiaTheme="minorEastAsia" w:hAnsiTheme="minorEastAsia" w:hint="eastAsia"/>
                <w:color w:val="000000"/>
              </w:rPr>
            </w:pPr>
            <w:r>
              <w:rPr>
                <w:rFonts w:hAnsi="等线"/>
                <w:color w:val="000000"/>
              </w:rPr>
              <w:t>贵州茅台</w:t>
            </w:r>
          </w:p>
        </w:tc>
        <w:tc>
          <w:tcPr>
            <w:tcW w:w="1458" w:type="dxa"/>
            <w:tcBorders>
              <w:top w:val="single" w:sz="8" w:space="0" w:color="000000"/>
              <w:left w:val="single" w:sz="8" w:space="0" w:color="000000"/>
              <w:bottom w:val="single" w:sz="6" w:space="0" w:color="000000"/>
              <w:right w:val="single" w:sz="8" w:space="0" w:color="000000"/>
            </w:tcBorders>
            <w:vAlign w:val="center"/>
          </w:tcPr>
          <w:p w14:paraId="4342AAB2"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6,200</w:t>
            </w:r>
          </w:p>
        </w:tc>
        <w:tc>
          <w:tcPr>
            <w:tcW w:w="1971" w:type="dxa"/>
            <w:tcBorders>
              <w:top w:val="single" w:sz="8" w:space="0" w:color="000000"/>
              <w:left w:val="single" w:sz="8" w:space="0" w:color="000000"/>
              <w:bottom w:val="single" w:sz="6" w:space="0" w:color="000000"/>
              <w:right w:val="single" w:sz="8" w:space="0" w:color="000000"/>
            </w:tcBorders>
            <w:vAlign w:val="center"/>
          </w:tcPr>
          <w:p w14:paraId="6F9B364B"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10,557,980.00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307ECDF6"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5.23</w:t>
            </w:r>
          </w:p>
        </w:tc>
      </w:tr>
      <w:tr w:rsidR="0046184B" w14:paraId="4D391750"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1C02CB9" w14:textId="77777777" w:rsidR="0046184B" w:rsidRDefault="00000000">
            <w:pPr>
              <w:pStyle w:val="biaogecenter"/>
              <w:wordWrap w:val="0"/>
              <w:rPr>
                <w:rFonts w:asciiTheme="minorEastAsia" w:eastAsiaTheme="minorEastAsia" w:hAnsiTheme="minorEastAsia" w:hint="eastAsia"/>
                <w:color w:val="000000"/>
              </w:rPr>
            </w:pPr>
            <w:r>
              <w:rPr>
                <w:rFonts w:hAnsi="Calibri" w:hint="eastAsia"/>
                <w:color w:val="000000"/>
              </w:rPr>
              <w:t>4</w:t>
            </w:r>
          </w:p>
        </w:tc>
        <w:tc>
          <w:tcPr>
            <w:tcW w:w="1354" w:type="dxa"/>
            <w:tcBorders>
              <w:top w:val="single" w:sz="8" w:space="0" w:color="000000"/>
              <w:left w:val="single" w:sz="8" w:space="0" w:color="000000"/>
              <w:bottom w:val="single" w:sz="6" w:space="0" w:color="000000"/>
              <w:right w:val="single" w:sz="8" w:space="0" w:color="000000"/>
            </w:tcBorders>
            <w:vAlign w:val="center"/>
          </w:tcPr>
          <w:p w14:paraId="4480623D" w14:textId="77777777" w:rsidR="0046184B" w:rsidRDefault="00000000">
            <w:pPr>
              <w:pStyle w:val="biaogeleft"/>
              <w:wordWrap w:val="0"/>
              <w:rPr>
                <w:rFonts w:asciiTheme="minorEastAsia" w:eastAsiaTheme="minorEastAsia" w:hAnsiTheme="minorEastAsia" w:hint="eastAsia"/>
                <w:color w:val="000000"/>
              </w:rPr>
            </w:pPr>
            <w:r>
              <w:rPr>
                <w:rFonts w:hAnsi="等线"/>
                <w:color w:val="000000"/>
              </w:rPr>
              <w:t>603606</w:t>
            </w:r>
          </w:p>
        </w:tc>
        <w:tc>
          <w:tcPr>
            <w:tcW w:w="1354" w:type="dxa"/>
            <w:tcBorders>
              <w:top w:val="single" w:sz="8" w:space="0" w:color="000000"/>
              <w:left w:val="single" w:sz="8" w:space="0" w:color="000000"/>
              <w:bottom w:val="single" w:sz="6" w:space="0" w:color="000000"/>
              <w:right w:val="single" w:sz="8" w:space="0" w:color="000000"/>
            </w:tcBorders>
            <w:vAlign w:val="center"/>
          </w:tcPr>
          <w:p w14:paraId="0C459E60" w14:textId="77777777" w:rsidR="0046184B" w:rsidRDefault="00000000">
            <w:pPr>
              <w:pStyle w:val="biaogeleft"/>
              <w:wordWrap w:val="0"/>
              <w:rPr>
                <w:rFonts w:asciiTheme="minorEastAsia" w:eastAsiaTheme="minorEastAsia" w:hAnsiTheme="minorEastAsia" w:hint="eastAsia"/>
                <w:color w:val="000000"/>
              </w:rPr>
            </w:pPr>
            <w:r>
              <w:rPr>
                <w:rFonts w:hAnsi="等线"/>
                <w:color w:val="000000"/>
              </w:rPr>
              <w:t>东方电缆</w:t>
            </w:r>
          </w:p>
        </w:tc>
        <w:tc>
          <w:tcPr>
            <w:tcW w:w="1458" w:type="dxa"/>
            <w:tcBorders>
              <w:top w:val="single" w:sz="8" w:space="0" w:color="000000"/>
              <w:left w:val="single" w:sz="8" w:space="0" w:color="000000"/>
              <w:bottom w:val="single" w:sz="6" w:space="0" w:color="000000"/>
              <w:right w:val="single" w:sz="8" w:space="0" w:color="000000"/>
            </w:tcBorders>
            <w:vAlign w:val="center"/>
          </w:tcPr>
          <w:p w14:paraId="65D975AE"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236,000</w:t>
            </w:r>
          </w:p>
        </w:tc>
        <w:tc>
          <w:tcPr>
            <w:tcW w:w="1971" w:type="dxa"/>
            <w:tcBorders>
              <w:top w:val="single" w:sz="8" w:space="0" w:color="000000"/>
              <w:left w:val="single" w:sz="8" w:space="0" w:color="000000"/>
              <w:bottom w:val="single" w:sz="6" w:space="0" w:color="000000"/>
              <w:right w:val="single" w:sz="8" w:space="0" w:color="000000"/>
            </w:tcBorders>
            <w:vAlign w:val="center"/>
          </w:tcPr>
          <w:p w14:paraId="628485E0"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10,450,080.00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1110D146"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5.17</w:t>
            </w:r>
          </w:p>
        </w:tc>
      </w:tr>
      <w:tr w:rsidR="0046184B" w14:paraId="1E76C835"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22402A56" w14:textId="77777777" w:rsidR="0046184B" w:rsidRDefault="00000000">
            <w:pPr>
              <w:pStyle w:val="biaogecenter"/>
              <w:wordWrap w:val="0"/>
              <w:rPr>
                <w:rFonts w:asciiTheme="minorEastAsia" w:eastAsiaTheme="minorEastAsia" w:hAnsiTheme="minorEastAsia" w:hint="eastAsia"/>
                <w:color w:val="000000"/>
              </w:rPr>
            </w:pPr>
            <w:r>
              <w:rPr>
                <w:rFonts w:hAnsi="Calibri" w:hint="eastAsia"/>
                <w:color w:val="000000"/>
              </w:rPr>
              <w:t>5</w:t>
            </w:r>
          </w:p>
        </w:tc>
        <w:tc>
          <w:tcPr>
            <w:tcW w:w="1354" w:type="dxa"/>
            <w:tcBorders>
              <w:top w:val="single" w:sz="8" w:space="0" w:color="000000"/>
              <w:left w:val="single" w:sz="8" w:space="0" w:color="000000"/>
              <w:bottom w:val="single" w:sz="6" w:space="0" w:color="000000"/>
              <w:right w:val="single" w:sz="8" w:space="0" w:color="000000"/>
            </w:tcBorders>
            <w:vAlign w:val="center"/>
          </w:tcPr>
          <w:p w14:paraId="12A4E9A8" w14:textId="77777777" w:rsidR="0046184B" w:rsidRDefault="00000000">
            <w:pPr>
              <w:pStyle w:val="biaogeleft"/>
              <w:wordWrap w:val="0"/>
              <w:rPr>
                <w:rFonts w:asciiTheme="minorEastAsia" w:eastAsiaTheme="minorEastAsia" w:hAnsiTheme="minorEastAsia" w:hint="eastAsia"/>
                <w:color w:val="000000"/>
              </w:rPr>
            </w:pPr>
            <w:r>
              <w:rPr>
                <w:rFonts w:hAnsi="等线"/>
                <w:color w:val="000000"/>
              </w:rPr>
              <w:t>600309</w:t>
            </w:r>
          </w:p>
        </w:tc>
        <w:tc>
          <w:tcPr>
            <w:tcW w:w="1354" w:type="dxa"/>
            <w:tcBorders>
              <w:top w:val="single" w:sz="8" w:space="0" w:color="000000"/>
              <w:left w:val="single" w:sz="8" w:space="0" w:color="000000"/>
              <w:bottom w:val="single" w:sz="6" w:space="0" w:color="000000"/>
              <w:right w:val="single" w:sz="8" w:space="0" w:color="000000"/>
            </w:tcBorders>
            <w:vAlign w:val="center"/>
          </w:tcPr>
          <w:p w14:paraId="5BA47F49" w14:textId="77777777" w:rsidR="0046184B" w:rsidRDefault="00000000">
            <w:pPr>
              <w:pStyle w:val="biaogeleft"/>
              <w:wordWrap w:val="0"/>
              <w:rPr>
                <w:rFonts w:asciiTheme="minorEastAsia" w:eastAsiaTheme="minorEastAsia" w:hAnsiTheme="minorEastAsia" w:hint="eastAsia"/>
                <w:color w:val="000000"/>
              </w:rPr>
            </w:pPr>
            <w:r>
              <w:rPr>
                <w:rFonts w:hAnsi="等线"/>
                <w:color w:val="000000"/>
              </w:rPr>
              <w:t>万华化学</w:t>
            </w:r>
          </w:p>
        </w:tc>
        <w:tc>
          <w:tcPr>
            <w:tcW w:w="1458" w:type="dxa"/>
            <w:tcBorders>
              <w:top w:val="single" w:sz="8" w:space="0" w:color="000000"/>
              <w:left w:val="single" w:sz="8" w:space="0" w:color="000000"/>
              <w:bottom w:val="single" w:sz="6" w:space="0" w:color="000000"/>
              <w:right w:val="single" w:sz="8" w:space="0" w:color="000000"/>
            </w:tcBorders>
            <w:vAlign w:val="center"/>
          </w:tcPr>
          <w:p w14:paraId="50B408A2"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120,000</w:t>
            </w:r>
          </w:p>
        </w:tc>
        <w:tc>
          <w:tcPr>
            <w:tcW w:w="1971" w:type="dxa"/>
            <w:tcBorders>
              <w:top w:val="single" w:sz="8" w:space="0" w:color="000000"/>
              <w:left w:val="single" w:sz="8" w:space="0" w:color="000000"/>
              <w:bottom w:val="single" w:sz="6" w:space="0" w:color="000000"/>
              <w:right w:val="single" w:sz="8" w:space="0" w:color="000000"/>
            </w:tcBorders>
            <w:vAlign w:val="center"/>
          </w:tcPr>
          <w:p w14:paraId="25BC0505"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9,936,000.00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3919664F"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4.92</w:t>
            </w:r>
          </w:p>
        </w:tc>
      </w:tr>
      <w:tr w:rsidR="0046184B" w14:paraId="306087CF"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4DEB551F" w14:textId="77777777" w:rsidR="0046184B" w:rsidRDefault="00000000">
            <w:pPr>
              <w:pStyle w:val="biaogecenter"/>
              <w:wordWrap w:val="0"/>
              <w:rPr>
                <w:rFonts w:asciiTheme="minorEastAsia" w:eastAsiaTheme="minorEastAsia" w:hAnsiTheme="minorEastAsia" w:hint="eastAsia"/>
                <w:color w:val="000000"/>
              </w:rPr>
            </w:pPr>
            <w:r>
              <w:rPr>
                <w:rFonts w:hAnsi="Calibri" w:hint="eastAsia"/>
                <w:color w:val="000000"/>
              </w:rPr>
              <w:t>6</w:t>
            </w:r>
          </w:p>
        </w:tc>
        <w:tc>
          <w:tcPr>
            <w:tcW w:w="1354" w:type="dxa"/>
            <w:tcBorders>
              <w:top w:val="single" w:sz="8" w:space="0" w:color="000000"/>
              <w:left w:val="single" w:sz="8" w:space="0" w:color="000000"/>
              <w:bottom w:val="single" w:sz="6" w:space="0" w:color="000000"/>
              <w:right w:val="single" w:sz="8" w:space="0" w:color="000000"/>
            </w:tcBorders>
            <w:vAlign w:val="center"/>
          </w:tcPr>
          <w:p w14:paraId="582D651F" w14:textId="77777777" w:rsidR="0046184B" w:rsidRDefault="00000000">
            <w:pPr>
              <w:pStyle w:val="biaogeleft"/>
              <w:wordWrap w:val="0"/>
              <w:rPr>
                <w:rFonts w:asciiTheme="minorEastAsia" w:eastAsiaTheme="minorEastAsia" w:hAnsiTheme="minorEastAsia" w:hint="eastAsia"/>
                <w:color w:val="000000"/>
              </w:rPr>
            </w:pPr>
            <w:r>
              <w:rPr>
                <w:rFonts w:hAnsi="等线"/>
                <w:color w:val="000000"/>
              </w:rPr>
              <w:t>300059</w:t>
            </w:r>
          </w:p>
        </w:tc>
        <w:tc>
          <w:tcPr>
            <w:tcW w:w="1354" w:type="dxa"/>
            <w:tcBorders>
              <w:top w:val="single" w:sz="8" w:space="0" w:color="000000"/>
              <w:left w:val="single" w:sz="8" w:space="0" w:color="000000"/>
              <w:bottom w:val="single" w:sz="6" w:space="0" w:color="000000"/>
              <w:right w:val="single" w:sz="8" w:space="0" w:color="000000"/>
            </w:tcBorders>
            <w:vAlign w:val="center"/>
          </w:tcPr>
          <w:p w14:paraId="608D2E73" w14:textId="77777777" w:rsidR="0046184B" w:rsidRDefault="00000000">
            <w:pPr>
              <w:pStyle w:val="biaogeleft"/>
              <w:wordWrap w:val="0"/>
              <w:rPr>
                <w:rFonts w:asciiTheme="minorEastAsia" w:eastAsiaTheme="minorEastAsia" w:hAnsiTheme="minorEastAsia" w:hint="eastAsia"/>
                <w:color w:val="000000"/>
              </w:rPr>
            </w:pPr>
            <w:r>
              <w:rPr>
                <w:rFonts w:hAnsi="等线"/>
                <w:color w:val="000000"/>
              </w:rPr>
              <w:t>东方财富</w:t>
            </w:r>
          </w:p>
        </w:tc>
        <w:tc>
          <w:tcPr>
            <w:tcW w:w="1458" w:type="dxa"/>
            <w:tcBorders>
              <w:top w:val="single" w:sz="8" w:space="0" w:color="000000"/>
              <w:left w:val="single" w:sz="8" w:space="0" w:color="000000"/>
              <w:bottom w:val="single" w:sz="6" w:space="0" w:color="000000"/>
              <w:right w:val="single" w:sz="8" w:space="0" w:color="000000"/>
            </w:tcBorders>
            <w:vAlign w:val="center"/>
          </w:tcPr>
          <w:p w14:paraId="233BE9F7"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751,964</w:t>
            </w:r>
          </w:p>
        </w:tc>
        <w:tc>
          <w:tcPr>
            <w:tcW w:w="1971" w:type="dxa"/>
            <w:tcBorders>
              <w:top w:val="single" w:sz="8" w:space="0" w:color="000000"/>
              <w:left w:val="single" w:sz="8" w:space="0" w:color="000000"/>
              <w:bottom w:val="single" w:sz="6" w:space="0" w:color="000000"/>
              <w:right w:val="single" w:sz="8" w:space="0" w:color="000000"/>
            </w:tcBorders>
            <w:vAlign w:val="center"/>
          </w:tcPr>
          <w:p w14:paraId="4C8B69B1"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9,692,815.96</w:t>
            </w:r>
          </w:p>
        </w:tc>
        <w:tc>
          <w:tcPr>
            <w:tcW w:w="1406" w:type="dxa"/>
            <w:tcBorders>
              <w:top w:val="single" w:sz="8" w:space="0" w:color="000000"/>
              <w:left w:val="single" w:sz="8" w:space="0" w:color="000000"/>
              <w:bottom w:val="single" w:sz="6" w:space="0" w:color="000000"/>
              <w:right w:val="single" w:sz="8" w:space="0" w:color="000000"/>
            </w:tcBorders>
            <w:vAlign w:val="center"/>
          </w:tcPr>
          <w:p w14:paraId="1B6297A6"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4.80</w:t>
            </w:r>
          </w:p>
        </w:tc>
      </w:tr>
      <w:tr w:rsidR="0046184B" w14:paraId="664D1694"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0246D523" w14:textId="77777777" w:rsidR="0046184B" w:rsidRDefault="00000000">
            <w:pPr>
              <w:pStyle w:val="biaogecenter"/>
              <w:wordWrap w:val="0"/>
              <w:rPr>
                <w:rFonts w:asciiTheme="minorEastAsia" w:eastAsiaTheme="minorEastAsia" w:hAnsiTheme="minorEastAsia" w:hint="eastAsia"/>
                <w:color w:val="000000"/>
              </w:rPr>
            </w:pPr>
            <w:r>
              <w:rPr>
                <w:rFonts w:hAnsi="Calibri" w:hint="eastAsia"/>
                <w:color w:val="000000"/>
              </w:rPr>
              <w:t>7</w:t>
            </w:r>
          </w:p>
        </w:tc>
        <w:tc>
          <w:tcPr>
            <w:tcW w:w="1354" w:type="dxa"/>
            <w:tcBorders>
              <w:top w:val="single" w:sz="8" w:space="0" w:color="000000"/>
              <w:left w:val="single" w:sz="8" w:space="0" w:color="000000"/>
              <w:bottom w:val="single" w:sz="6" w:space="0" w:color="000000"/>
              <w:right w:val="single" w:sz="8" w:space="0" w:color="000000"/>
            </w:tcBorders>
            <w:vAlign w:val="center"/>
          </w:tcPr>
          <w:p w14:paraId="726B5762" w14:textId="77777777" w:rsidR="0046184B" w:rsidRDefault="00000000">
            <w:pPr>
              <w:pStyle w:val="biaogeleft"/>
              <w:wordWrap w:val="0"/>
              <w:rPr>
                <w:rFonts w:asciiTheme="minorEastAsia" w:eastAsiaTheme="minorEastAsia" w:hAnsiTheme="minorEastAsia" w:hint="eastAsia"/>
                <w:color w:val="000000"/>
              </w:rPr>
            </w:pPr>
            <w:r>
              <w:rPr>
                <w:rFonts w:hAnsi="等线"/>
                <w:color w:val="000000"/>
              </w:rPr>
              <w:t>300146</w:t>
            </w:r>
          </w:p>
        </w:tc>
        <w:tc>
          <w:tcPr>
            <w:tcW w:w="1354" w:type="dxa"/>
            <w:tcBorders>
              <w:top w:val="single" w:sz="8" w:space="0" w:color="000000"/>
              <w:left w:val="single" w:sz="8" w:space="0" w:color="000000"/>
              <w:bottom w:val="single" w:sz="6" w:space="0" w:color="000000"/>
              <w:right w:val="single" w:sz="8" w:space="0" w:color="000000"/>
            </w:tcBorders>
            <w:vAlign w:val="center"/>
          </w:tcPr>
          <w:p w14:paraId="1B04493C" w14:textId="77777777" w:rsidR="0046184B" w:rsidRDefault="00000000">
            <w:pPr>
              <w:pStyle w:val="biaogeleft"/>
              <w:wordWrap w:val="0"/>
              <w:rPr>
                <w:rFonts w:asciiTheme="minorEastAsia" w:eastAsiaTheme="minorEastAsia" w:hAnsiTheme="minorEastAsia" w:hint="eastAsia"/>
                <w:color w:val="000000"/>
              </w:rPr>
            </w:pPr>
            <w:r>
              <w:rPr>
                <w:rFonts w:hAnsi="等线"/>
                <w:color w:val="000000"/>
              </w:rPr>
              <w:t>汤臣</w:t>
            </w:r>
            <w:proofErr w:type="gramStart"/>
            <w:r>
              <w:rPr>
                <w:rFonts w:hAnsi="等线"/>
                <w:color w:val="000000"/>
              </w:rPr>
              <w:t>倍</w:t>
            </w:r>
            <w:proofErr w:type="gramEnd"/>
            <w:r>
              <w:rPr>
                <w:rFonts w:hAnsi="等线"/>
                <w:color w:val="000000"/>
              </w:rPr>
              <w:t>健</w:t>
            </w:r>
          </w:p>
        </w:tc>
        <w:tc>
          <w:tcPr>
            <w:tcW w:w="1458" w:type="dxa"/>
            <w:tcBorders>
              <w:top w:val="single" w:sz="8" w:space="0" w:color="000000"/>
              <w:left w:val="single" w:sz="8" w:space="0" w:color="000000"/>
              <w:bottom w:val="single" w:sz="6" w:space="0" w:color="000000"/>
              <w:right w:val="single" w:sz="8" w:space="0" w:color="000000"/>
            </w:tcBorders>
            <w:vAlign w:val="center"/>
          </w:tcPr>
          <w:p w14:paraId="0E7A4C4E"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520,762</w:t>
            </w:r>
          </w:p>
        </w:tc>
        <w:tc>
          <w:tcPr>
            <w:tcW w:w="1971" w:type="dxa"/>
            <w:tcBorders>
              <w:top w:val="single" w:sz="8" w:space="0" w:color="000000"/>
              <w:left w:val="single" w:sz="8" w:space="0" w:color="000000"/>
              <w:bottom w:val="single" w:sz="6" w:space="0" w:color="000000"/>
              <w:right w:val="single" w:sz="8" w:space="0" w:color="000000"/>
            </w:tcBorders>
            <w:vAlign w:val="center"/>
          </w:tcPr>
          <w:p w14:paraId="04CE0715"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8,754,009.22</w:t>
            </w:r>
          </w:p>
        </w:tc>
        <w:tc>
          <w:tcPr>
            <w:tcW w:w="1406" w:type="dxa"/>
            <w:tcBorders>
              <w:top w:val="single" w:sz="8" w:space="0" w:color="000000"/>
              <w:left w:val="single" w:sz="8" w:space="0" w:color="000000"/>
              <w:bottom w:val="single" w:sz="6" w:space="0" w:color="000000"/>
              <w:right w:val="single" w:sz="8" w:space="0" w:color="000000"/>
            </w:tcBorders>
            <w:vAlign w:val="center"/>
          </w:tcPr>
          <w:p w14:paraId="6EF273B0"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4.33</w:t>
            </w:r>
          </w:p>
        </w:tc>
      </w:tr>
      <w:tr w:rsidR="0046184B" w14:paraId="0CF9B7AA"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36681E7B" w14:textId="77777777" w:rsidR="0046184B" w:rsidRDefault="00000000">
            <w:pPr>
              <w:pStyle w:val="biaogecenter"/>
              <w:wordWrap w:val="0"/>
              <w:rPr>
                <w:rFonts w:asciiTheme="minorEastAsia" w:eastAsiaTheme="minorEastAsia" w:hAnsiTheme="minorEastAsia" w:hint="eastAsia"/>
                <w:color w:val="000000"/>
              </w:rPr>
            </w:pPr>
            <w:r>
              <w:rPr>
                <w:rFonts w:hAnsi="Calibri" w:hint="eastAsia"/>
                <w:color w:val="000000"/>
              </w:rPr>
              <w:t>8</w:t>
            </w:r>
          </w:p>
        </w:tc>
        <w:tc>
          <w:tcPr>
            <w:tcW w:w="1354" w:type="dxa"/>
            <w:tcBorders>
              <w:top w:val="single" w:sz="8" w:space="0" w:color="000000"/>
              <w:left w:val="single" w:sz="8" w:space="0" w:color="000000"/>
              <w:bottom w:val="single" w:sz="6" w:space="0" w:color="000000"/>
              <w:right w:val="single" w:sz="8" w:space="0" w:color="000000"/>
            </w:tcBorders>
            <w:vAlign w:val="center"/>
          </w:tcPr>
          <w:p w14:paraId="5366320B" w14:textId="77777777" w:rsidR="0046184B" w:rsidRDefault="00000000">
            <w:pPr>
              <w:pStyle w:val="biaogeleft"/>
              <w:wordWrap w:val="0"/>
              <w:rPr>
                <w:rFonts w:asciiTheme="minorEastAsia" w:eastAsiaTheme="minorEastAsia" w:hAnsiTheme="minorEastAsia" w:hint="eastAsia"/>
                <w:color w:val="000000"/>
              </w:rPr>
            </w:pPr>
            <w:r>
              <w:rPr>
                <w:rFonts w:hAnsi="等线"/>
                <w:color w:val="000000"/>
              </w:rPr>
              <w:t>600007</w:t>
            </w:r>
          </w:p>
        </w:tc>
        <w:tc>
          <w:tcPr>
            <w:tcW w:w="1354" w:type="dxa"/>
            <w:tcBorders>
              <w:top w:val="single" w:sz="8" w:space="0" w:color="000000"/>
              <w:left w:val="single" w:sz="8" w:space="0" w:color="000000"/>
              <w:bottom w:val="single" w:sz="6" w:space="0" w:color="000000"/>
              <w:right w:val="single" w:sz="8" w:space="0" w:color="000000"/>
            </w:tcBorders>
            <w:vAlign w:val="center"/>
          </w:tcPr>
          <w:p w14:paraId="129AB647" w14:textId="77777777" w:rsidR="0046184B" w:rsidRDefault="00000000">
            <w:pPr>
              <w:pStyle w:val="biaogeleft"/>
              <w:wordWrap w:val="0"/>
              <w:rPr>
                <w:rFonts w:asciiTheme="minorEastAsia" w:eastAsiaTheme="minorEastAsia" w:hAnsiTheme="minorEastAsia" w:hint="eastAsia"/>
                <w:color w:val="000000"/>
              </w:rPr>
            </w:pPr>
            <w:r>
              <w:rPr>
                <w:rFonts w:hAnsi="等线"/>
                <w:color w:val="000000"/>
              </w:rPr>
              <w:t>中国国贸</w:t>
            </w:r>
          </w:p>
        </w:tc>
        <w:tc>
          <w:tcPr>
            <w:tcW w:w="1458" w:type="dxa"/>
            <w:tcBorders>
              <w:top w:val="single" w:sz="8" w:space="0" w:color="000000"/>
              <w:left w:val="single" w:sz="8" w:space="0" w:color="000000"/>
              <w:bottom w:val="single" w:sz="6" w:space="0" w:color="000000"/>
              <w:right w:val="single" w:sz="8" w:space="0" w:color="000000"/>
            </w:tcBorders>
            <w:vAlign w:val="center"/>
          </w:tcPr>
          <w:p w14:paraId="544F72F2"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360,000</w:t>
            </w:r>
          </w:p>
        </w:tc>
        <w:tc>
          <w:tcPr>
            <w:tcW w:w="1971" w:type="dxa"/>
            <w:tcBorders>
              <w:top w:val="single" w:sz="8" w:space="0" w:color="000000"/>
              <w:left w:val="single" w:sz="8" w:space="0" w:color="000000"/>
              <w:bottom w:val="single" w:sz="6" w:space="0" w:color="000000"/>
              <w:right w:val="single" w:sz="8" w:space="0" w:color="000000"/>
            </w:tcBorders>
            <w:vAlign w:val="center"/>
          </w:tcPr>
          <w:p w14:paraId="06F98DC0"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8,708,400.00</w:t>
            </w:r>
          </w:p>
        </w:tc>
        <w:tc>
          <w:tcPr>
            <w:tcW w:w="1406" w:type="dxa"/>
            <w:tcBorders>
              <w:top w:val="single" w:sz="8" w:space="0" w:color="000000"/>
              <w:left w:val="single" w:sz="8" w:space="0" w:color="000000"/>
              <w:bottom w:val="single" w:sz="6" w:space="0" w:color="000000"/>
              <w:right w:val="single" w:sz="8" w:space="0" w:color="000000"/>
            </w:tcBorders>
            <w:vAlign w:val="center"/>
          </w:tcPr>
          <w:p w14:paraId="2EBFBE71"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4.31</w:t>
            </w:r>
          </w:p>
        </w:tc>
      </w:tr>
      <w:tr w:rsidR="0046184B" w14:paraId="009185D7"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6307BA97" w14:textId="77777777" w:rsidR="0046184B" w:rsidRDefault="00000000">
            <w:pPr>
              <w:pStyle w:val="biaogecenter"/>
              <w:wordWrap w:val="0"/>
              <w:rPr>
                <w:rFonts w:asciiTheme="minorEastAsia" w:eastAsiaTheme="minorEastAsia" w:hAnsiTheme="minorEastAsia" w:hint="eastAsia"/>
                <w:color w:val="000000"/>
              </w:rPr>
            </w:pPr>
            <w:r>
              <w:rPr>
                <w:rFonts w:hAnsi="Calibri" w:hint="eastAsia"/>
                <w:color w:val="000000"/>
              </w:rPr>
              <w:t>9</w:t>
            </w:r>
          </w:p>
        </w:tc>
        <w:tc>
          <w:tcPr>
            <w:tcW w:w="1354" w:type="dxa"/>
            <w:tcBorders>
              <w:top w:val="single" w:sz="8" w:space="0" w:color="000000"/>
              <w:left w:val="single" w:sz="8" w:space="0" w:color="000000"/>
              <w:bottom w:val="single" w:sz="6" w:space="0" w:color="000000"/>
              <w:right w:val="single" w:sz="8" w:space="0" w:color="000000"/>
            </w:tcBorders>
            <w:vAlign w:val="center"/>
          </w:tcPr>
          <w:p w14:paraId="3A8E17C9" w14:textId="77777777" w:rsidR="0046184B" w:rsidRDefault="00000000">
            <w:pPr>
              <w:pStyle w:val="biaogeleft"/>
              <w:wordWrap w:val="0"/>
              <w:rPr>
                <w:rFonts w:asciiTheme="minorEastAsia" w:eastAsiaTheme="minorEastAsia" w:hAnsiTheme="minorEastAsia" w:hint="eastAsia"/>
                <w:color w:val="000000"/>
              </w:rPr>
            </w:pPr>
            <w:r>
              <w:rPr>
                <w:rFonts w:hAnsi="等线"/>
                <w:color w:val="000000"/>
              </w:rPr>
              <w:t>600456</w:t>
            </w:r>
          </w:p>
        </w:tc>
        <w:tc>
          <w:tcPr>
            <w:tcW w:w="1354" w:type="dxa"/>
            <w:tcBorders>
              <w:top w:val="single" w:sz="8" w:space="0" w:color="000000"/>
              <w:left w:val="single" w:sz="8" w:space="0" w:color="000000"/>
              <w:bottom w:val="single" w:sz="6" w:space="0" w:color="000000"/>
              <w:right w:val="single" w:sz="8" w:space="0" w:color="000000"/>
            </w:tcBorders>
            <w:vAlign w:val="center"/>
          </w:tcPr>
          <w:p w14:paraId="78334731" w14:textId="77777777" w:rsidR="0046184B" w:rsidRDefault="00000000">
            <w:pPr>
              <w:pStyle w:val="biaogeleft"/>
              <w:wordWrap w:val="0"/>
              <w:rPr>
                <w:rFonts w:asciiTheme="minorEastAsia" w:eastAsiaTheme="minorEastAsia" w:hAnsiTheme="minorEastAsia" w:hint="eastAsia"/>
                <w:color w:val="000000"/>
              </w:rPr>
            </w:pPr>
            <w:proofErr w:type="gramStart"/>
            <w:r>
              <w:rPr>
                <w:rFonts w:hAnsi="等线"/>
                <w:color w:val="000000"/>
              </w:rPr>
              <w:t>宝钛股份</w:t>
            </w:r>
            <w:proofErr w:type="gramEnd"/>
          </w:p>
        </w:tc>
        <w:tc>
          <w:tcPr>
            <w:tcW w:w="1458" w:type="dxa"/>
            <w:tcBorders>
              <w:top w:val="single" w:sz="8" w:space="0" w:color="000000"/>
              <w:left w:val="single" w:sz="8" w:space="0" w:color="000000"/>
              <w:bottom w:val="single" w:sz="6" w:space="0" w:color="000000"/>
              <w:right w:val="single" w:sz="8" w:space="0" w:color="000000"/>
            </w:tcBorders>
            <w:vAlign w:val="center"/>
          </w:tcPr>
          <w:p w14:paraId="623F2673"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310,700</w:t>
            </w:r>
          </w:p>
        </w:tc>
        <w:tc>
          <w:tcPr>
            <w:tcW w:w="1971" w:type="dxa"/>
            <w:tcBorders>
              <w:top w:val="single" w:sz="8" w:space="0" w:color="000000"/>
              <w:left w:val="single" w:sz="8" w:space="0" w:color="000000"/>
              <w:bottom w:val="single" w:sz="6" w:space="0" w:color="000000"/>
              <w:right w:val="single" w:sz="8" w:space="0" w:color="000000"/>
            </w:tcBorders>
            <w:vAlign w:val="center"/>
          </w:tcPr>
          <w:p w14:paraId="2BB2E92A"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8,584,641.00</w:t>
            </w:r>
          </w:p>
        </w:tc>
        <w:tc>
          <w:tcPr>
            <w:tcW w:w="1406" w:type="dxa"/>
            <w:tcBorders>
              <w:top w:val="single" w:sz="8" w:space="0" w:color="000000"/>
              <w:left w:val="single" w:sz="8" w:space="0" w:color="000000"/>
              <w:bottom w:val="single" w:sz="6" w:space="0" w:color="000000"/>
              <w:right w:val="single" w:sz="8" w:space="0" w:color="000000"/>
            </w:tcBorders>
            <w:vAlign w:val="center"/>
          </w:tcPr>
          <w:p w14:paraId="09A7AC81"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4.25</w:t>
            </w:r>
          </w:p>
        </w:tc>
      </w:tr>
      <w:tr w:rsidR="0046184B" w14:paraId="3B911B76" w14:textId="77777777">
        <w:trPr>
          <w:trHeight w:val="396"/>
        </w:trPr>
        <w:tc>
          <w:tcPr>
            <w:tcW w:w="717" w:type="dxa"/>
            <w:tcBorders>
              <w:top w:val="single" w:sz="8" w:space="0" w:color="000000"/>
              <w:left w:val="single" w:sz="8" w:space="0" w:color="000000"/>
              <w:bottom w:val="single" w:sz="6" w:space="0" w:color="000000"/>
              <w:right w:val="single" w:sz="8" w:space="0" w:color="000000"/>
            </w:tcBorders>
            <w:vAlign w:val="center"/>
          </w:tcPr>
          <w:p w14:paraId="69C84CB0" w14:textId="77777777" w:rsidR="0046184B" w:rsidRDefault="00000000">
            <w:pPr>
              <w:pStyle w:val="biaogecenter"/>
              <w:wordWrap w:val="0"/>
              <w:rPr>
                <w:rFonts w:asciiTheme="minorEastAsia" w:eastAsiaTheme="minorEastAsia" w:hAnsiTheme="minorEastAsia" w:hint="eastAsia"/>
                <w:color w:val="000000"/>
              </w:rPr>
            </w:pPr>
            <w:r>
              <w:rPr>
                <w:rFonts w:hAnsi="Calibri" w:hint="eastAsia"/>
                <w:color w:val="000000"/>
              </w:rPr>
              <w:t>10</w:t>
            </w:r>
          </w:p>
        </w:tc>
        <w:tc>
          <w:tcPr>
            <w:tcW w:w="1354" w:type="dxa"/>
            <w:tcBorders>
              <w:top w:val="single" w:sz="8" w:space="0" w:color="000000"/>
              <w:left w:val="single" w:sz="8" w:space="0" w:color="000000"/>
              <w:bottom w:val="single" w:sz="6" w:space="0" w:color="000000"/>
              <w:right w:val="single" w:sz="8" w:space="0" w:color="000000"/>
            </w:tcBorders>
            <w:vAlign w:val="center"/>
          </w:tcPr>
          <w:p w14:paraId="4432F5FF" w14:textId="77777777" w:rsidR="0046184B" w:rsidRDefault="00000000">
            <w:pPr>
              <w:pStyle w:val="biaogeleft"/>
              <w:wordWrap w:val="0"/>
              <w:rPr>
                <w:rFonts w:asciiTheme="minorEastAsia" w:eastAsiaTheme="minorEastAsia" w:hAnsiTheme="minorEastAsia" w:hint="eastAsia"/>
                <w:color w:val="000000"/>
              </w:rPr>
            </w:pPr>
            <w:r>
              <w:rPr>
                <w:rFonts w:hAnsi="等线"/>
                <w:color w:val="000000"/>
              </w:rPr>
              <w:t>688556</w:t>
            </w:r>
          </w:p>
        </w:tc>
        <w:tc>
          <w:tcPr>
            <w:tcW w:w="1354" w:type="dxa"/>
            <w:tcBorders>
              <w:top w:val="single" w:sz="8" w:space="0" w:color="000000"/>
              <w:left w:val="single" w:sz="8" w:space="0" w:color="000000"/>
              <w:bottom w:val="single" w:sz="6" w:space="0" w:color="000000"/>
              <w:right w:val="single" w:sz="8" w:space="0" w:color="000000"/>
            </w:tcBorders>
            <w:vAlign w:val="center"/>
          </w:tcPr>
          <w:p w14:paraId="721418D1" w14:textId="77777777" w:rsidR="0046184B" w:rsidRDefault="00000000">
            <w:pPr>
              <w:pStyle w:val="biaogeleft"/>
              <w:wordWrap w:val="0"/>
              <w:rPr>
                <w:rFonts w:asciiTheme="minorEastAsia" w:eastAsiaTheme="minorEastAsia" w:hAnsiTheme="minorEastAsia" w:hint="eastAsia"/>
                <w:color w:val="000000"/>
              </w:rPr>
            </w:pPr>
            <w:proofErr w:type="gramStart"/>
            <w:r>
              <w:rPr>
                <w:rFonts w:hAnsi="等线"/>
                <w:color w:val="000000"/>
              </w:rPr>
              <w:t>高测股份</w:t>
            </w:r>
            <w:proofErr w:type="gramEnd"/>
          </w:p>
        </w:tc>
        <w:tc>
          <w:tcPr>
            <w:tcW w:w="1458" w:type="dxa"/>
            <w:tcBorders>
              <w:top w:val="single" w:sz="8" w:space="0" w:color="000000"/>
              <w:left w:val="single" w:sz="8" w:space="0" w:color="000000"/>
              <w:bottom w:val="single" w:sz="6" w:space="0" w:color="000000"/>
              <w:right w:val="single" w:sz="8" w:space="0" w:color="000000"/>
            </w:tcBorders>
            <w:vAlign w:val="center"/>
          </w:tcPr>
          <w:p w14:paraId="0808FA52"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240,940</w:t>
            </w:r>
          </w:p>
        </w:tc>
        <w:tc>
          <w:tcPr>
            <w:tcW w:w="1971" w:type="dxa"/>
            <w:tcBorders>
              <w:top w:val="single" w:sz="8" w:space="0" w:color="000000"/>
              <w:left w:val="single" w:sz="8" w:space="0" w:color="000000"/>
              <w:bottom w:val="single" w:sz="6" w:space="0" w:color="000000"/>
              <w:right w:val="single" w:sz="8" w:space="0" w:color="000000"/>
            </w:tcBorders>
            <w:vAlign w:val="center"/>
          </w:tcPr>
          <w:p w14:paraId="5B77E0F2"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7,486,005.80</w:t>
            </w:r>
          </w:p>
        </w:tc>
        <w:tc>
          <w:tcPr>
            <w:tcW w:w="1406" w:type="dxa"/>
            <w:tcBorders>
              <w:top w:val="single" w:sz="8" w:space="0" w:color="000000"/>
              <w:left w:val="single" w:sz="8" w:space="0" w:color="000000"/>
              <w:bottom w:val="single" w:sz="6" w:space="0" w:color="000000"/>
              <w:right w:val="single" w:sz="8" w:space="0" w:color="000000"/>
            </w:tcBorders>
            <w:vAlign w:val="center"/>
          </w:tcPr>
          <w:p w14:paraId="20FD96DB" w14:textId="77777777" w:rsidR="0046184B" w:rsidRDefault="00000000">
            <w:pPr>
              <w:pStyle w:val="biaogeright"/>
              <w:wordWrap w:val="0"/>
              <w:rPr>
                <w:rFonts w:asciiTheme="minorEastAsia" w:eastAsiaTheme="minorEastAsia" w:hAnsiTheme="minorEastAsia" w:hint="eastAsia"/>
                <w:color w:val="000000"/>
              </w:rPr>
            </w:pPr>
            <w:r>
              <w:rPr>
                <w:rFonts w:hAnsi="等线"/>
                <w:color w:val="000000"/>
              </w:rPr>
              <w:t>3.71</w:t>
            </w:r>
          </w:p>
        </w:tc>
      </w:tr>
    </w:tbl>
    <w:p w14:paraId="48D757C8"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4</w:t>
      </w:r>
      <w:r>
        <w:rPr>
          <w:rFonts w:asciiTheme="minorEastAsia" w:hAnsiTheme="minorEastAsia"/>
          <w:bCs/>
          <w:sz w:val="24"/>
          <w:szCs w:val="24"/>
        </w:rPr>
        <w:t>、</w:t>
      </w:r>
      <w:r>
        <w:rPr>
          <w:rFonts w:asciiTheme="minorEastAsia" w:hAnsiTheme="minorEastAsia" w:hint="eastAsia"/>
          <w:bCs/>
          <w:sz w:val="24"/>
          <w:szCs w:val="24"/>
        </w:rPr>
        <w:t>报告期末按债券品种分类的债券投资组合</w:t>
      </w:r>
    </w:p>
    <w:p w14:paraId="084F6C4D"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本基金本报告期末未持有债券。</w:t>
      </w:r>
    </w:p>
    <w:p w14:paraId="69FA74E0"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5</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报告期末按公允价值占基金资产净值比例大小排序的前五名债券投资明细</w:t>
      </w:r>
    </w:p>
    <w:p w14:paraId="4862AA56"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lastRenderedPageBreak/>
        <w:t>本基金本报告期末未持有债券。</w:t>
      </w:r>
    </w:p>
    <w:p w14:paraId="0C2D93D7"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6</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报告期末按公允价值占基金资产净值比例大小排序的前十名资产支持证券投资明细</w:t>
      </w:r>
    </w:p>
    <w:p w14:paraId="4B8D567A"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本基金本报告期末未持有资产支持证券。</w:t>
      </w:r>
    </w:p>
    <w:p w14:paraId="083B6914"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7</w:t>
      </w:r>
      <w:r>
        <w:rPr>
          <w:rFonts w:asciiTheme="minorEastAsia" w:hAnsiTheme="minorEastAsia"/>
          <w:bCs/>
          <w:sz w:val="24"/>
          <w:szCs w:val="24"/>
        </w:rPr>
        <w:t>、报告期末按公允价值占基金资产净值比例大小排序的前五名贵金属投资明细</w:t>
      </w:r>
    </w:p>
    <w:p w14:paraId="6A3AE72D"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本基金本报告期末未持有贵金属。</w:t>
      </w:r>
    </w:p>
    <w:p w14:paraId="70C38B0D"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8</w:t>
      </w:r>
      <w:r>
        <w:rPr>
          <w:rFonts w:asciiTheme="minorEastAsia" w:hAnsiTheme="minorEastAsia"/>
          <w:bCs/>
          <w:sz w:val="24"/>
          <w:szCs w:val="24"/>
        </w:rPr>
        <w:t>、</w:t>
      </w:r>
      <w:r>
        <w:rPr>
          <w:rFonts w:asciiTheme="minorEastAsia" w:hAnsiTheme="minorEastAsia" w:hint="eastAsia"/>
          <w:bCs/>
          <w:sz w:val="24"/>
          <w:szCs w:val="24"/>
        </w:rPr>
        <w:t>报告期末按公允价值占基金资产净值比例大小排序的前五名权证投资明细</w:t>
      </w:r>
    </w:p>
    <w:p w14:paraId="18BA6C88"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本基金本报告期末未持有权证。</w:t>
      </w:r>
    </w:p>
    <w:p w14:paraId="42E26C28"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9</w:t>
      </w:r>
      <w:r>
        <w:rPr>
          <w:rFonts w:asciiTheme="minorEastAsia" w:hAnsiTheme="minorEastAsia"/>
          <w:bCs/>
          <w:sz w:val="24"/>
          <w:szCs w:val="24"/>
        </w:rPr>
        <w:t>、报告期末本基金投资的股指期货交易情况说明</w:t>
      </w:r>
    </w:p>
    <w:p w14:paraId="035C10B4"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本基金本报告期末未投资股指期货。</w:t>
      </w:r>
    </w:p>
    <w:p w14:paraId="7DF97884"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10</w:t>
      </w:r>
      <w:r>
        <w:rPr>
          <w:rFonts w:asciiTheme="minorEastAsia" w:hAnsiTheme="minorEastAsia"/>
          <w:bCs/>
          <w:sz w:val="24"/>
          <w:szCs w:val="24"/>
        </w:rPr>
        <w:t>、</w:t>
      </w:r>
      <w:r>
        <w:rPr>
          <w:rFonts w:asciiTheme="minorEastAsia" w:hAnsiTheme="minorEastAsia" w:hint="eastAsia"/>
          <w:bCs/>
          <w:sz w:val="24"/>
          <w:szCs w:val="24"/>
        </w:rPr>
        <w:t>报告期末本基金投资的国债期货交易情况说明</w:t>
      </w:r>
    </w:p>
    <w:p w14:paraId="669169D2"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本基金本报告期末未投资国债期货。</w:t>
      </w:r>
    </w:p>
    <w:p w14:paraId="73957F84"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1</w:t>
      </w:r>
      <w:r>
        <w:rPr>
          <w:rFonts w:asciiTheme="minorEastAsia" w:hAnsiTheme="minorEastAsia" w:hint="eastAsia"/>
          <w:bCs/>
          <w:sz w:val="24"/>
          <w:szCs w:val="24"/>
        </w:rPr>
        <w:t>1</w:t>
      </w:r>
      <w:r>
        <w:rPr>
          <w:rFonts w:asciiTheme="minorEastAsia" w:hAnsiTheme="minorEastAsia"/>
          <w:bCs/>
          <w:sz w:val="24"/>
          <w:szCs w:val="24"/>
        </w:rPr>
        <w:t>、投资组合报告附注</w:t>
      </w:r>
    </w:p>
    <w:p w14:paraId="4949F02D" w14:textId="77777777" w:rsidR="0046184B" w:rsidRDefault="00000000">
      <w:pPr>
        <w:pStyle w:val="zhangjiep2"/>
        <w:ind w:firstLineChars="200" w:firstLine="480"/>
        <w:rPr>
          <w:rFonts w:asciiTheme="minorEastAsia" w:hAnsiTheme="minorEastAsia" w:hint="eastAsia"/>
          <w:b/>
        </w:rPr>
      </w:pPr>
      <w:r>
        <w:rPr>
          <w:rFonts w:asciiTheme="minorEastAsia" w:hAnsiTheme="minorEastAsia" w:hint="eastAsia"/>
          <w:bCs/>
        </w:rPr>
        <w:t>（</w:t>
      </w:r>
      <w:r>
        <w:rPr>
          <w:rFonts w:asciiTheme="minorEastAsia" w:hAnsiTheme="minorEastAsia"/>
          <w:bCs/>
        </w:rPr>
        <w:t>1）</w:t>
      </w:r>
      <w:r>
        <w:rPr>
          <w:rFonts w:hAnsi="等线"/>
          <w:b/>
          <w:color w:val="000000"/>
        </w:rPr>
        <w:t>本基金本报告期投资的前十名证券的发行主体，本报告期没有出现被监管部门立案调查的情形，也没有出现在报告编制日前一年内受到公开谴责、处罚的情形。</w:t>
      </w:r>
    </w:p>
    <w:p w14:paraId="348FC6B0" w14:textId="77777777" w:rsidR="0046184B" w:rsidRDefault="00000000">
      <w:pPr>
        <w:pStyle w:val="zhangjiep2"/>
        <w:ind w:firstLineChars="200" w:firstLine="480"/>
        <w:rPr>
          <w:rFonts w:asciiTheme="minorEastAsia" w:hAnsiTheme="minorEastAsia" w:hint="eastAsia"/>
          <w:bCs/>
        </w:rPr>
      </w:pPr>
      <w:r>
        <w:rPr>
          <w:rFonts w:asciiTheme="minorEastAsia" w:hAnsiTheme="minorEastAsia" w:hint="eastAsia"/>
          <w:bCs/>
        </w:rPr>
        <w:t>（</w:t>
      </w:r>
      <w:r>
        <w:rPr>
          <w:rFonts w:asciiTheme="minorEastAsia" w:hAnsiTheme="minorEastAsia"/>
          <w:bCs/>
        </w:rPr>
        <w:t>2）</w:t>
      </w:r>
      <w:r>
        <w:rPr>
          <w:rFonts w:asciiTheme="minorEastAsia" w:hAnsiTheme="minorEastAsia" w:hint="eastAsia"/>
          <w:bCs/>
        </w:rPr>
        <w:t>本基金投资的前十名股票没有超出基金合同规定的备选股票库。</w:t>
      </w:r>
    </w:p>
    <w:p w14:paraId="0AC62DB3"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3）</w:t>
      </w:r>
      <w:r>
        <w:rPr>
          <w:rFonts w:asciiTheme="minorEastAsia" w:hAnsiTheme="minorEastAsia" w:hint="eastAsia"/>
          <w:bCs/>
          <w:sz w:val="24"/>
          <w:szCs w:val="24"/>
        </w:rPr>
        <w:t>其他资产构成</w:t>
      </w:r>
    </w:p>
    <w:tbl>
      <w:tblPr>
        <w:tblW w:w="8108" w:type="dxa"/>
        <w:tblInd w:w="108" w:type="dxa"/>
        <w:tblLayout w:type="fixed"/>
        <w:tblLook w:val="04A0" w:firstRow="1" w:lastRow="0" w:firstColumn="1" w:lastColumn="0" w:noHBand="0" w:noVBand="1"/>
      </w:tblPr>
      <w:tblGrid>
        <w:gridCol w:w="1163"/>
        <w:gridCol w:w="3308"/>
        <w:gridCol w:w="3637"/>
      </w:tblGrid>
      <w:tr w:rsidR="0046184B" w14:paraId="361E4F50" w14:textId="77777777">
        <w:trPr>
          <w:trHeight w:val="400"/>
        </w:trPr>
        <w:tc>
          <w:tcPr>
            <w:tcW w:w="1163" w:type="dxa"/>
            <w:tcBorders>
              <w:top w:val="single" w:sz="8" w:space="0" w:color="000000"/>
              <w:left w:val="single" w:sz="8" w:space="0" w:color="000000"/>
              <w:bottom w:val="single" w:sz="4" w:space="0" w:color="000000"/>
              <w:right w:val="single" w:sz="8" w:space="0" w:color="000000"/>
            </w:tcBorders>
            <w:vAlign w:val="center"/>
          </w:tcPr>
          <w:p w14:paraId="6FD3E4BF" w14:textId="77777777" w:rsidR="0046184B" w:rsidRDefault="00000000">
            <w:pPr>
              <w:pStyle w:val="biaogecenter"/>
              <w:wordWrap w:val="0"/>
              <w:rPr>
                <w:rFonts w:asciiTheme="minorEastAsia" w:eastAsiaTheme="minorEastAsia" w:hAnsiTheme="minorEastAsia" w:hint="eastAsia"/>
                <w:color w:val="000000"/>
              </w:rPr>
            </w:pPr>
            <w:r>
              <w:rPr>
                <w:rFonts w:asciiTheme="minorEastAsia" w:eastAsiaTheme="minorEastAsia" w:hAnsiTheme="minorEastAsia" w:hint="eastAsia"/>
                <w:color w:val="000000"/>
              </w:rPr>
              <w:t>序号</w:t>
            </w:r>
          </w:p>
        </w:tc>
        <w:tc>
          <w:tcPr>
            <w:tcW w:w="3308" w:type="dxa"/>
            <w:tcBorders>
              <w:top w:val="single" w:sz="8" w:space="0" w:color="000000"/>
              <w:left w:val="single" w:sz="8" w:space="0" w:color="000000"/>
              <w:bottom w:val="single" w:sz="4" w:space="0" w:color="000000"/>
              <w:right w:val="single" w:sz="8" w:space="0" w:color="000000"/>
            </w:tcBorders>
            <w:vAlign w:val="center"/>
          </w:tcPr>
          <w:p w14:paraId="2EFB607C" w14:textId="77777777" w:rsidR="0046184B" w:rsidRDefault="00000000">
            <w:pPr>
              <w:pStyle w:val="biaogeleft"/>
              <w:rPr>
                <w:rFonts w:asciiTheme="minorEastAsia" w:eastAsiaTheme="minorEastAsia" w:hAnsiTheme="minorEastAsia" w:hint="eastAsia"/>
              </w:rPr>
            </w:pPr>
            <w:r>
              <w:rPr>
                <w:rFonts w:asciiTheme="minorEastAsia" w:eastAsiaTheme="minorEastAsia" w:hAnsiTheme="minorEastAsia" w:hint="eastAsia"/>
              </w:rPr>
              <w:t>名称</w:t>
            </w:r>
          </w:p>
        </w:tc>
        <w:tc>
          <w:tcPr>
            <w:tcW w:w="3637" w:type="dxa"/>
            <w:tcBorders>
              <w:top w:val="single" w:sz="8" w:space="0" w:color="000000"/>
              <w:left w:val="single" w:sz="8" w:space="0" w:color="000000"/>
              <w:bottom w:val="single" w:sz="4" w:space="0" w:color="000000"/>
              <w:right w:val="single" w:sz="8" w:space="0" w:color="000000"/>
            </w:tcBorders>
            <w:vAlign w:val="center"/>
          </w:tcPr>
          <w:p w14:paraId="7CB13A81" w14:textId="77777777" w:rsidR="0046184B" w:rsidRDefault="00000000">
            <w:pPr>
              <w:pStyle w:val="biaogeright"/>
              <w:rPr>
                <w:rFonts w:asciiTheme="minorEastAsia" w:eastAsiaTheme="minorEastAsia" w:hAnsiTheme="minorEastAsia" w:hint="eastAsia"/>
              </w:rPr>
            </w:pPr>
            <w:r>
              <w:rPr>
                <w:rFonts w:asciiTheme="minorEastAsia" w:eastAsiaTheme="minorEastAsia" w:hAnsiTheme="minorEastAsia" w:hint="eastAsia"/>
              </w:rPr>
              <w:t>金额(元)</w:t>
            </w:r>
          </w:p>
        </w:tc>
      </w:tr>
      <w:tr w:rsidR="0046184B" w14:paraId="5EAC3B16"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43D591FE" w14:textId="77777777" w:rsidR="0046184B" w:rsidRDefault="00000000">
            <w:pPr>
              <w:pStyle w:val="biaogecenter"/>
              <w:wordWrap w:val="0"/>
              <w:rPr>
                <w:rFonts w:asciiTheme="minorEastAsia" w:eastAsiaTheme="minorEastAsia" w:hAnsiTheme="minorEastAsia" w:hint="eastAsia"/>
                <w:color w:val="000000"/>
              </w:rPr>
            </w:pPr>
            <w:r>
              <w:rPr>
                <w:rFonts w:hAnsi="Calibri" w:hint="eastAsia"/>
                <w:color w:val="000000"/>
              </w:rPr>
              <w:t>1</w:t>
            </w:r>
          </w:p>
        </w:tc>
        <w:tc>
          <w:tcPr>
            <w:tcW w:w="3308" w:type="dxa"/>
            <w:tcBorders>
              <w:top w:val="single" w:sz="8" w:space="0" w:color="000000"/>
              <w:left w:val="single" w:sz="8" w:space="0" w:color="000000"/>
              <w:bottom w:val="single" w:sz="6" w:space="0" w:color="000000"/>
              <w:right w:val="single" w:sz="8" w:space="0" w:color="000000"/>
            </w:tcBorders>
            <w:vAlign w:val="center"/>
          </w:tcPr>
          <w:p w14:paraId="734EA69F" w14:textId="77777777" w:rsidR="0046184B" w:rsidRDefault="00000000">
            <w:pPr>
              <w:pStyle w:val="biaogeleft"/>
              <w:wordWrap w:val="0"/>
              <w:rPr>
                <w:rFonts w:asciiTheme="minorEastAsia" w:eastAsiaTheme="minorEastAsia" w:hAnsiTheme="minorEastAsia" w:hint="eastAsia"/>
              </w:rPr>
            </w:pPr>
            <w:r>
              <w:rPr>
                <w:rFonts w:hint="eastAsia"/>
              </w:rPr>
              <w:t>存出保证金</w:t>
            </w:r>
          </w:p>
        </w:tc>
        <w:tc>
          <w:tcPr>
            <w:tcW w:w="3637" w:type="dxa"/>
            <w:tcBorders>
              <w:top w:val="single" w:sz="8" w:space="0" w:color="000000"/>
              <w:left w:val="single" w:sz="8" w:space="0" w:color="000000"/>
              <w:bottom w:val="single" w:sz="6" w:space="0" w:color="000000"/>
              <w:right w:val="single" w:sz="8" w:space="0" w:color="000000"/>
            </w:tcBorders>
            <w:vAlign w:val="center"/>
          </w:tcPr>
          <w:p w14:paraId="2B5B0A70" w14:textId="77777777" w:rsidR="0046184B" w:rsidRDefault="00000000">
            <w:pPr>
              <w:pStyle w:val="biaogeright"/>
              <w:wordWrap w:val="0"/>
              <w:rPr>
                <w:rFonts w:asciiTheme="minorEastAsia" w:eastAsiaTheme="minorEastAsia" w:hAnsiTheme="minorEastAsia" w:hint="eastAsia"/>
              </w:rPr>
            </w:pPr>
            <w:r>
              <w:rPr>
                <w:rFonts w:hAnsi="等线"/>
                <w:color w:val="000000"/>
              </w:rPr>
              <w:t>14,111.87</w:t>
            </w:r>
          </w:p>
        </w:tc>
      </w:tr>
      <w:tr w:rsidR="0046184B" w14:paraId="73C0916B"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10639103" w14:textId="77777777" w:rsidR="0046184B" w:rsidRDefault="00000000">
            <w:pPr>
              <w:pStyle w:val="biaogecenter"/>
              <w:wordWrap w:val="0"/>
              <w:rPr>
                <w:rFonts w:asciiTheme="minorEastAsia" w:eastAsiaTheme="minorEastAsia" w:hAnsiTheme="minorEastAsia" w:hint="eastAsia"/>
                <w:color w:val="000000"/>
              </w:rPr>
            </w:pPr>
            <w:r>
              <w:rPr>
                <w:rFonts w:hAnsi="Calibri" w:hint="eastAsia"/>
                <w:color w:val="000000"/>
              </w:rPr>
              <w:t>2</w:t>
            </w:r>
          </w:p>
        </w:tc>
        <w:tc>
          <w:tcPr>
            <w:tcW w:w="3308" w:type="dxa"/>
            <w:tcBorders>
              <w:top w:val="single" w:sz="8" w:space="0" w:color="000000"/>
              <w:left w:val="single" w:sz="8" w:space="0" w:color="000000"/>
              <w:bottom w:val="single" w:sz="6" w:space="0" w:color="000000"/>
              <w:right w:val="single" w:sz="8" w:space="0" w:color="000000"/>
            </w:tcBorders>
            <w:vAlign w:val="center"/>
          </w:tcPr>
          <w:p w14:paraId="56BEE7A5" w14:textId="77777777" w:rsidR="0046184B" w:rsidRDefault="00000000">
            <w:pPr>
              <w:pStyle w:val="biaogeleft"/>
              <w:wordWrap w:val="0"/>
              <w:rPr>
                <w:rFonts w:asciiTheme="minorEastAsia" w:eastAsiaTheme="minorEastAsia" w:hAnsiTheme="minorEastAsia" w:hint="eastAsia"/>
              </w:rPr>
            </w:pPr>
            <w:r>
              <w:rPr>
                <w:rFonts w:hint="eastAsia"/>
              </w:rPr>
              <w:t>应收证券清算款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74C990AF" w14:textId="77777777" w:rsidR="0046184B" w:rsidRDefault="00000000">
            <w:pPr>
              <w:pStyle w:val="biaogeright"/>
              <w:wordWrap w:val="0"/>
              <w:rPr>
                <w:rFonts w:asciiTheme="minorEastAsia" w:eastAsiaTheme="minorEastAsia" w:hAnsiTheme="minorEastAsia" w:hint="eastAsia"/>
              </w:rPr>
            </w:pPr>
            <w:r>
              <w:rPr>
                <w:rFonts w:hAnsi="等线"/>
                <w:color w:val="000000"/>
              </w:rPr>
              <w:t>543,893.02</w:t>
            </w:r>
          </w:p>
        </w:tc>
      </w:tr>
      <w:tr w:rsidR="0046184B" w14:paraId="71FC64E4"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3D979BD9" w14:textId="77777777" w:rsidR="0046184B" w:rsidRDefault="00000000">
            <w:pPr>
              <w:pStyle w:val="biaogecenter"/>
              <w:wordWrap w:val="0"/>
              <w:rPr>
                <w:rFonts w:asciiTheme="minorEastAsia" w:eastAsiaTheme="minorEastAsia" w:hAnsiTheme="minorEastAsia" w:hint="eastAsia"/>
                <w:color w:val="000000"/>
              </w:rPr>
            </w:pPr>
            <w:r>
              <w:rPr>
                <w:rFonts w:hAnsi="Calibri" w:hint="eastAsia"/>
                <w:color w:val="000000"/>
              </w:rPr>
              <w:t>3</w:t>
            </w:r>
          </w:p>
        </w:tc>
        <w:tc>
          <w:tcPr>
            <w:tcW w:w="3308" w:type="dxa"/>
            <w:tcBorders>
              <w:top w:val="single" w:sz="8" w:space="0" w:color="000000"/>
              <w:left w:val="single" w:sz="8" w:space="0" w:color="000000"/>
              <w:bottom w:val="single" w:sz="6" w:space="0" w:color="000000"/>
              <w:right w:val="single" w:sz="8" w:space="0" w:color="000000"/>
            </w:tcBorders>
            <w:vAlign w:val="center"/>
          </w:tcPr>
          <w:p w14:paraId="7C42B5E9" w14:textId="77777777" w:rsidR="0046184B" w:rsidRDefault="00000000">
            <w:pPr>
              <w:pStyle w:val="biaogeleft"/>
              <w:wordWrap w:val="0"/>
              <w:rPr>
                <w:rFonts w:asciiTheme="minorEastAsia" w:eastAsiaTheme="minorEastAsia" w:hAnsiTheme="minorEastAsia" w:hint="eastAsia"/>
              </w:rPr>
            </w:pPr>
            <w:r>
              <w:rPr>
                <w:rFonts w:hint="eastAsia"/>
              </w:rPr>
              <w:t>应收股利</w:t>
            </w:r>
          </w:p>
        </w:tc>
        <w:tc>
          <w:tcPr>
            <w:tcW w:w="3637" w:type="dxa"/>
            <w:tcBorders>
              <w:top w:val="single" w:sz="8" w:space="0" w:color="000000"/>
              <w:left w:val="single" w:sz="8" w:space="0" w:color="000000"/>
              <w:bottom w:val="single" w:sz="6" w:space="0" w:color="000000"/>
              <w:right w:val="single" w:sz="8" w:space="0" w:color="000000"/>
            </w:tcBorders>
            <w:vAlign w:val="center"/>
          </w:tcPr>
          <w:p w14:paraId="2649A2EF"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r>
      <w:tr w:rsidR="0046184B" w14:paraId="054802C3"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7AB77643" w14:textId="77777777" w:rsidR="0046184B" w:rsidRDefault="00000000">
            <w:pPr>
              <w:pStyle w:val="biaogecenter"/>
              <w:wordWrap w:val="0"/>
              <w:rPr>
                <w:rFonts w:asciiTheme="minorEastAsia" w:eastAsiaTheme="minorEastAsia" w:hAnsiTheme="minorEastAsia" w:hint="eastAsia"/>
                <w:color w:val="000000"/>
              </w:rPr>
            </w:pPr>
            <w:r>
              <w:rPr>
                <w:rFonts w:hAnsi="Calibri" w:hint="eastAsia"/>
                <w:color w:val="000000"/>
              </w:rPr>
              <w:t>4</w:t>
            </w:r>
          </w:p>
        </w:tc>
        <w:tc>
          <w:tcPr>
            <w:tcW w:w="3308" w:type="dxa"/>
            <w:tcBorders>
              <w:top w:val="single" w:sz="8" w:space="0" w:color="000000"/>
              <w:left w:val="single" w:sz="8" w:space="0" w:color="000000"/>
              <w:bottom w:val="single" w:sz="6" w:space="0" w:color="000000"/>
              <w:right w:val="single" w:sz="8" w:space="0" w:color="000000"/>
            </w:tcBorders>
            <w:vAlign w:val="center"/>
          </w:tcPr>
          <w:p w14:paraId="6B40D6DB" w14:textId="77777777" w:rsidR="0046184B" w:rsidRDefault="00000000">
            <w:pPr>
              <w:pStyle w:val="biaogeleft"/>
              <w:wordWrap w:val="0"/>
              <w:rPr>
                <w:rFonts w:asciiTheme="minorEastAsia" w:eastAsiaTheme="minorEastAsia" w:hAnsiTheme="minorEastAsia" w:hint="eastAsia"/>
              </w:rPr>
            </w:pPr>
            <w:r>
              <w:rPr>
                <w:rFonts w:hint="eastAsia"/>
              </w:rPr>
              <w:t>应收利息</w:t>
            </w:r>
          </w:p>
        </w:tc>
        <w:tc>
          <w:tcPr>
            <w:tcW w:w="3637" w:type="dxa"/>
            <w:tcBorders>
              <w:top w:val="single" w:sz="8" w:space="0" w:color="000000"/>
              <w:left w:val="single" w:sz="8" w:space="0" w:color="000000"/>
              <w:bottom w:val="single" w:sz="6" w:space="0" w:color="000000"/>
              <w:right w:val="single" w:sz="8" w:space="0" w:color="000000"/>
            </w:tcBorders>
            <w:vAlign w:val="center"/>
          </w:tcPr>
          <w:p w14:paraId="317F8CC4"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r>
      <w:tr w:rsidR="0046184B" w14:paraId="4E37A3A5"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369EB839" w14:textId="77777777" w:rsidR="0046184B" w:rsidRDefault="00000000">
            <w:pPr>
              <w:pStyle w:val="biaogecenter"/>
              <w:wordWrap w:val="0"/>
              <w:rPr>
                <w:rFonts w:asciiTheme="minorEastAsia" w:eastAsiaTheme="minorEastAsia" w:hAnsiTheme="minorEastAsia" w:hint="eastAsia"/>
                <w:color w:val="000000"/>
              </w:rPr>
            </w:pPr>
            <w:r>
              <w:rPr>
                <w:rFonts w:hAnsi="Calibri" w:hint="eastAsia"/>
                <w:color w:val="000000"/>
              </w:rPr>
              <w:t>5</w:t>
            </w:r>
          </w:p>
        </w:tc>
        <w:tc>
          <w:tcPr>
            <w:tcW w:w="3308" w:type="dxa"/>
            <w:tcBorders>
              <w:top w:val="single" w:sz="8" w:space="0" w:color="000000"/>
              <w:left w:val="single" w:sz="8" w:space="0" w:color="000000"/>
              <w:bottom w:val="single" w:sz="6" w:space="0" w:color="000000"/>
              <w:right w:val="single" w:sz="8" w:space="0" w:color="000000"/>
            </w:tcBorders>
            <w:vAlign w:val="center"/>
          </w:tcPr>
          <w:p w14:paraId="020E4431" w14:textId="77777777" w:rsidR="0046184B" w:rsidRDefault="00000000">
            <w:pPr>
              <w:pStyle w:val="biaogeleft"/>
              <w:wordWrap w:val="0"/>
              <w:rPr>
                <w:rFonts w:asciiTheme="minorEastAsia" w:eastAsiaTheme="minorEastAsia" w:hAnsiTheme="minorEastAsia" w:hint="eastAsia"/>
              </w:rPr>
            </w:pPr>
            <w:r>
              <w:rPr>
                <w:rFonts w:hint="eastAsia"/>
              </w:rPr>
              <w:t>应收申购款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785ACB56" w14:textId="77777777" w:rsidR="0046184B" w:rsidRDefault="00000000">
            <w:pPr>
              <w:pStyle w:val="biaogeright"/>
              <w:wordWrap w:val="0"/>
              <w:rPr>
                <w:rFonts w:asciiTheme="minorEastAsia" w:eastAsiaTheme="minorEastAsia" w:hAnsiTheme="minorEastAsia" w:hint="eastAsia"/>
              </w:rPr>
            </w:pPr>
            <w:r>
              <w:rPr>
                <w:rFonts w:hAnsi="等线"/>
                <w:color w:val="000000"/>
              </w:rPr>
              <w:t>2,296.65</w:t>
            </w:r>
          </w:p>
        </w:tc>
      </w:tr>
      <w:tr w:rsidR="0046184B" w14:paraId="73ED6FEB"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478DD605" w14:textId="77777777" w:rsidR="0046184B" w:rsidRDefault="00000000">
            <w:pPr>
              <w:pStyle w:val="biaogecenter"/>
              <w:wordWrap w:val="0"/>
              <w:rPr>
                <w:rFonts w:asciiTheme="minorEastAsia" w:eastAsiaTheme="minorEastAsia" w:hAnsiTheme="minorEastAsia" w:hint="eastAsia"/>
                <w:color w:val="000000"/>
              </w:rPr>
            </w:pPr>
            <w:r>
              <w:rPr>
                <w:rFonts w:hAnsi="Calibri" w:hint="eastAsia"/>
                <w:color w:val="000000"/>
              </w:rPr>
              <w:t>6</w:t>
            </w:r>
          </w:p>
        </w:tc>
        <w:tc>
          <w:tcPr>
            <w:tcW w:w="3308" w:type="dxa"/>
            <w:tcBorders>
              <w:top w:val="single" w:sz="8" w:space="0" w:color="000000"/>
              <w:left w:val="single" w:sz="8" w:space="0" w:color="000000"/>
              <w:bottom w:val="single" w:sz="6" w:space="0" w:color="000000"/>
              <w:right w:val="single" w:sz="8" w:space="0" w:color="000000"/>
            </w:tcBorders>
            <w:vAlign w:val="center"/>
          </w:tcPr>
          <w:p w14:paraId="275858EE" w14:textId="77777777" w:rsidR="0046184B" w:rsidRDefault="00000000">
            <w:pPr>
              <w:pStyle w:val="biaogeleft"/>
              <w:wordWrap w:val="0"/>
              <w:rPr>
                <w:rFonts w:asciiTheme="minorEastAsia" w:eastAsiaTheme="minorEastAsia" w:hAnsiTheme="minorEastAsia" w:hint="eastAsia"/>
              </w:rPr>
            </w:pPr>
            <w:r>
              <w:rPr>
                <w:rFonts w:hint="eastAsia"/>
              </w:rPr>
              <w:t>其他应收款</w:t>
            </w:r>
          </w:p>
        </w:tc>
        <w:tc>
          <w:tcPr>
            <w:tcW w:w="3637" w:type="dxa"/>
            <w:tcBorders>
              <w:top w:val="single" w:sz="8" w:space="0" w:color="000000"/>
              <w:left w:val="single" w:sz="8" w:space="0" w:color="000000"/>
              <w:bottom w:val="single" w:sz="6" w:space="0" w:color="000000"/>
              <w:right w:val="single" w:sz="8" w:space="0" w:color="000000"/>
            </w:tcBorders>
            <w:vAlign w:val="center"/>
          </w:tcPr>
          <w:p w14:paraId="03587782"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r>
      <w:tr w:rsidR="0046184B" w14:paraId="4F9E240A"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76EB8553" w14:textId="77777777" w:rsidR="0046184B" w:rsidRDefault="00000000">
            <w:pPr>
              <w:pStyle w:val="biaogecenter"/>
              <w:wordWrap w:val="0"/>
              <w:rPr>
                <w:rFonts w:asciiTheme="minorEastAsia" w:eastAsiaTheme="minorEastAsia" w:hAnsiTheme="minorEastAsia" w:hint="eastAsia"/>
                <w:color w:val="000000"/>
              </w:rPr>
            </w:pPr>
            <w:r>
              <w:rPr>
                <w:rFonts w:hAnsi="Calibri" w:hint="eastAsia"/>
                <w:color w:val="000000"/>
              </w:rPr>
              <w:t>7</w:t>
            </w:r>
          </w:p>
        </w:tc>
        <w:tc>
          <w:tcPr>
            <w:tcW w:w="3308" w:type="dxa"/>
            <w:tcBorders>
              <w:top w:val="single" w:sz="8" w:space="0" w:color="000000"/>
              <w:left w:val="single" w:sz="8" w:space="0" w:color="000000"/>
              <w:bottom w:val="single" w:sz="6" w:space="0" w:color="000000"/>
              <w:right w:val="single" w:sz="8" w:space="0" w:color="000000"/>
            </w:tcBorders>
            <w:vAlign w:val="center"/>
          </w:tcPr>
          <w:p w14:paraId="4466C434" w14:textId="77777777" w:rsidR="0046184B" w:rsidRDefault="00000000">
            <w:pPr>
              <w:pStyle w:val="biaogeleft"/>
              <w:wordWrap w:val="0"/>
              <w:rPr>
                <w:rFonts w:asciiTheme="minorEastAsia" w:eastAsiaTheme="minorEastAsia" w:hAnsiTheme="minorEastAsia" w:hint="eastAsia"/>
              </w:rPr>
            </w:pPr>
            <w:r>
              <w:rPr>
                <w:rFonts w:hint="eastAsia"/>
              </w:rPr>
              <w:t>其他</w:t>
            </w:r>
          </w:p>
        </w:tc>
        <w:tc>
          <w:tcPr>
            <w:tcW w:w="3637" w:type="dxa"/>
            <w:tcBorders>
              <w:top w:val="single" w:sz="8" w:space="0" w:color="000000"/>
              <w:left w:val="single" w:sz="8" w:space="0" w:color="000000"/>
              <w:bottom w:val="single" w:sz="6" w:space="0" w:color="000000"/>
              <w:right w:val="single" w:sz="8" w:space="0" w:color="000000"/>
            </w:tcBorders>
            <w:vAlign w:val="center"/>
          </w:tcPr>
          <w:p w14:paraId="3581CCE4" w14:textId="77777777" w:rsidR="0046184B" w:rsidRDefault="00000000">
            <w:pPr>
              <w:pStyle w:val="biaogeright"/>
              <w:wordWrap w:val="0"/>
              <w:rPr>
                <w:rFonts w:asciiTheme="minorEastAsia" w:eastAsiaTheme="minorEastAsia" w:hAnsiTheme="minorEastAsia" w:hint="eastAsia"/>
              </w:rPr>
            </w:pPr>
            <w:r>
              <w:rPr>
                <w:rFonts w:hAnsi="等线"/>
                <w:color w:val="000000"/>
              </w:rPr>
              <w:t>-</w:t>
            </w:r>
          </w:p>
        </w:tc>
      </w:tr>
      <w:tr w:rsidR="0046184B" w14:paraId="5CB7AE68" w14:textId="77777777">
        <w:trPr>
          <w:trHeight w:val="400"/>
        </w:trPr>
        <w:tc>
          <w:tcPr>
            <w:tcW w:w="1163" w:type="dxa"/>
            <w:tcBorders>
              <w:top w:val="single" w:sz="8" w:space="0" w:color="000000"/>
              <w:left w:val="single" w:sz="8" w:space="0" w:color="000000"/>
              <w:bottom w:val="single" w:sz="6" w:space="0" w:color="000000"/>
              <w:right w:val="single" w:sz="8" w:space="0" w:color="000000"/>
            </w:tcBorders>
            <w:vAlign w:val="center"/>
          </w:tcPr>
          <w:p w14:paraId="00D96BFA" w14:textId="77777777" w:rsidR="0046184B" w:rsidRDefault="00000000">
            <w:pPr>
              <w:pStyle w:val="biaogecenter"/>
              <w:wordWrap w:val="0"/>
              <w:rPr>
                <w:rFonts w:asciiTheme="minorEastAsia" w:eastAsiaTheme="minorEastAsia" w:hAnsiTheme="minorEastAsia" w:hint="eastAsia"/>
                <w:color w:val="000000"/>
              </w:rPr>
            </w:pPr>
            <w:r>
              <w:rPr>
                <w:rFonts w:hAnsi="Calibri" w:hint="eastAsia"/>
                <w:color w:val="000000"/>
              </w:rPr>
              <w:t>8</w:t>
            </w:r>
          </w:p>
        </w:tc>
        <w:tc>
          <w:tcPr>
            <w:tcW w:w="3308" w:type="dxa"/>
            <w:tcBorders>
              <w:top w:val="single" w:sz="8" w:space="0" w:color="000000"/>
              <w:left w:val="single" w:sz="8" w:space="0" w:color="000000"/>
              <w:bottom w:val="single" w:sz="6" w:space="0" w:color="000000"/>
              <w:right w:val="single" w:sz="8" w:space="0" w:color="000000"/>
            </w:tcBorders>
            <w:vAlign w:val="center"/>
          </w:tcPr>
          <w:p w14:paraId="30100F37" w14:textId="77777777" w:rsidR="0046184B" w:rsidRDefault="00000000">
            <w:pPr>
              <w:pStyle w:val="biaogeleft"/>
              <w:wordWrap w:val="0"/>
              <w:rPr>
                <w:rFonts w:asciiTheme="minorEastAsia" w:eastAsiaTheme="minorEastAsia" w:hAnsiTheme="minorEastAsia" w:hint="eastAsia"/>
              </w:rPr>
            </w:pPr>
            <w:r>
              <w:rPr>
                <w:rFonts w:hint="eastAsia"/>
              </w:rPr>
              <w:t>合计</w:t>
            </w:r>
          </w:p>
        </w:tc>
        <w:tc>
          <w:tcPr>
            <w:tcW w:w="3637" w:type="dxa"/>
            <w:tcBorders>
              <w:top w:val="single" w:sz="8" w:space="0" w:color="000000"/>
              <w:left w:val="single" w:sz="8" w:space="0" w:color="000000"/>
              <w:bottom w:val="single" w:sz="6" w:space="0" w:color="000000"/>
              <w:right w:val="single" w:sz="8" w:space="0" w:color="000000"/>
            </w:tcBorders>
            <w:vAlign w:val="center"/>
          </w:tcPr>
          <w:p w14:paraId="73249010" w14:textId="77777777" w:rsidR="0046184B" w:rsidRDefault="00000000">
            <w:pPr>
              <w:pStyle w:val="biaogeright"/>
              <w:wordWrap w:val="0"/>
              <w:rPr>
                <w:rFonts w:asciiTheme="minorEastAsia" w:eastAsiaTheme="minorEastAsia" w:hAnsiTheme="minorEastAsia" w:hint="eastAsia"/>
              </w:rPr>
            </w:pPr>
            <w:r>
              <w:rPr>
                <w:rFonts w:hAnsi="等线"/>
                <w:color w:val="000000"/>
              </w:rPr>
              <w:t>560,301.54</w:t>
            </w:r>
          </w:p>
        </w:tc>
      </w:tr>
    </w:tbl>
    <w:p w14:paraId="0DAAC64B" w14:textId="77777777" w:rsidR="0046184B" w:rsidRDefault="0046184B">
      <w:pPr>
        <w:widowControl/>
        <w:jc w:val="left"/>
        <w:rPr>
          <w:rFonts w:asciiTheme="minorEastAsia" w:hAnsiTheme="minorEastAsia" w:cs="宋体" w:hint="eastAsia"/>
          <w:kern w:val="0"/>
          <w:sz w:val="24"/>
          <w:szCs w:val="24"/>
        </w:rPr>
      </w:pPr>
    </w:p>
    <w:p w14:paraId="6B85DE0C"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4）</w:t>
      </w:r>
      <w:r>
        <w:rPr>
          <w:rFonts w:asciiTheme="minorEastAsia" w:hAnsiTheme="minorEastAsia" w:hint="eastAsia"/>
          <w:bCs/>
          <w:sz w:val="24"/>
          <w:szCs w:val="24"/>
        </w:rPr>
        <w:t>报告期末持有的处于转股期的可转换债券明细</w:t>
      </w:r>
    </w:p>
    <w:p w14:paraId="09A4520C"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lastRenderedPageBreak/>
        <w:t>本基金本报告期末未持有处于转股的可转换债券。</w:t>
      </w:r>
    </w:p>
    <w:p w14:paraId="7FEC482F"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5）</w:t>
      </w:r>
      <w:r>
        <w:rPr>
          <w:rFonts w:asciiTheme="minorEastAsia" w:hAnsiTheme="minorEastAsia" w:hint="eastAsia"/>
          <w:bCs/>
          <w:sz w:val="24"/>
          <w:szCs w:val="24"/>
        </w:rPr>
        <w:t>报告</w:t>
      </w:r>
      <w:proofErr w:type="gramStart"/>
      <w:r>
        <w:rPr>
          <w:rFonts w:asciiTheme="minorEastAsia" w:hAnsiTheme="minorEastAsia" w:hint="eastAsia"/>
          <w:bCs/>
          <w:sz w:val="24"/>
          <w:szCs w:val="24"/>
        </w:rPr>
        <w:t>期末前</w:t>
      </w:r>
      <w:proofErr w:type="gramEnd"/>
      <w:r>
        <w:rPr>
          <w:rFonts w:asciiTheme="minorEastAsia" w:hAnsiTheme="minorEastAsia" w:hint="eastAsia"/>
          <w:bCs/>
          <w:sz w:val="24"/>
          <w:szCs w:val="24"/>
        </w:rPr>
        <w:t>十名股票中存在流通受限情况的说明</w:t>
      </w:r>
    </w:p>
    <w:p w14:paraId="269A2B43"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本基金本报告</w:t>
      </w:r>
      <w:proofErr w:type="gramStart"/>
      <w:r>
        <w:rPr>
          <w:rFonts w:asciiTheme="minorEastAsia" w:hAnsiTheme="minorEastAsia" w:hint="eastAsia"/>
          <w:bCs/>
          <w:sz w:val="24"/>
          <w:szCs w:val="24"/>
        </w:rPr>
        <w:t>期末前</w:t>
      </w:r>
      <w:proofErr w:type="gramEnd"/>
      <w:r>
        <w:rPr>
          <w:rFonts w:asciiTheme="minorEastAsia" w:hAnsiTheme="minorEastAsia" w:hint="eastAsia"/>
          <w:bCs/>
          <w:sz w:val="24"/>
          <w:szCs w:val="24"/>
        </w:rPr>
        <w:t>十名股票中不存在流通受限股票。</w:t>
      </w:r>
    </w:p>
    <w:p w14:paraId="037A6A4F"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w:t>
      </w:r>
      <w:r>
        <w:rPr>
          <w:rFonts w:asciiTheme="minorEastAsia" w:hAnsiTheme="minorEastAsia"/>
          <w:bCs/>
          <w:sz w:val="24"/>
          <w:szCs w:val="24"/>
        </w:rPr>
        <w:t>6）</w:t>
      </w:r>
      <w:r>
        <w:rPr>
          <w:rFonts w:asciiTheme="minorEastAsia" w:hAnsiTheme="minorEastAsia" w:hint="eastAsia"/>
          <w:bCs/>
          <w:sz w:val="24"/>
          <w:szCs w:val="24"/>
        </w:rPr>
        <w:t>投资组合报告附注的其他文字描述部分</w:t>
      </w:r>
    </w:p>
    <w:p w14:paraId="0A4CF853"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由于四舍五入原因，分项之和与合计可能有尾差。</w:t>
      </w:r>
    </w:p>
    <w:p w14:paraId="45DF2E4A"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九、基金净值表现</w:t>
      </w:r>
    </w:p>
    <w:p w14:paraId="1DFFB82F"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76499ABE"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A</w:t>
      </w:r>
    </w:p>
    <w:tbl>
      <w:tblPr>
        <w:tblW w:w="9876" w:type="dxa"/>
        <w:jc w:val="center"/>
        <w:tblLayout w:type="fixed"/>
        <w:tblLook w:val="04A0" w:firstRow="1" w:lastRow="0" w:firstColumn="1" w:lastColumn="0" w:noHBand="0" w:noVBand="1"/>
      </w:tblPr>
      <w:tblGrid>
        <w:gridCol w:w="2789"/>
        <w:gridCol w:w="1134"/>
        <w:gridCol w:w="1115"/>
        <w:gridCol w:w="1276"/>
        <w:gridCol w:w="1153"/>
        <w:gridCol w:w="1275"/>
        <w:gridCol w:w="1134"/>
      </w:tblGrid>
      <w:tr w:rsidR="0046184B" w14:paraId="02415170"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00C269A8" w14:textId="77777777" w:rsidR="0046184B" w:rsidRDefault="00000000">
            <w:pPr>
              <w:pStyle w:val="biaogecenter"/>
              <w:jc w:val="left"/>
              <w:rPr>
                <w:rFonts w:asciiTheme="minorEastAsia" w:eastAsiaTheme="minorEastAsia" w:hAnsiTheme="minorEastAsia" w:hint="eastAsia"/>
              </w:rPr>
            </w:pPr>
            <w:r>
              <w:rPr>
                <w:rFonts w:asciiTheme="minorEastAsia" w:eastAsiaTheme="minorEastAsia" w:hAnsiTheme="minorEastAsia" w:hint="eastAsia"/>
                <w:color w:val="000000"/>
              </w:rPr>
              <w:t>阶段</w:t>
            </w:r>
          </w:p>
        </w:tc>
        <w:tc>
          <w:tcPr>
            <w:tcW w:w="1134" w:type="dxa"/>
            <w:tcBorders>
              <w:top w:val="single" w:sz="8" w:space="0" w:color="000000"/>
              <w:left w:val="single" w:sz="8" w:space="0" w:color="000000"/>
              <w:bottom w:val="single" w:sz="8" w:space="0" w:color="000000"/>
              <w:right w:val="single" w:sz="8" w:space="0" w:color="000000"/>
            </w:tcBorders>
            <w:vAlign w:val="center"/>
          </w:tcPr>
          <w:p w14:paraId="3D5C049C"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份额净值增长率①</w:t>
            </w:r>
          </w:p>
        </w:tc>
        <w:tc>
          <w:tcPr>
            <w:tcW w:w="1115" w:type="dxa"/>
            <w:tcBorders>
              <w:top w:val="single" w:sz="8" w:space="0" w:color="000000"/>
              <w:left w:val="single" w:sz="8" w:space="0" w:color="000000"/>
              <w:bottom w:val="single" w:sz="8" w:space="0" w:color="000000"/>
              <w:right w:val="single" w:sz="8" w:space="0" w:color="000000"/>
            </w:tcBorders>
            <w:vAlign w:val="center"/>
          </w:tcPr>
          <w:p w14:paraId="0E299F74"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份额净值增长率标准差②</w:t>
            </w:r>
          </w:p>
        </w:tc>
        <w:tc>
          <w:tcPr>
            <w:tcW w:w="1276" w:type="dxa"/>
            <w:tcBorders>
              <w:top w:val="single" w:sz="8" w:space="0" w:color="000000"/>
              <w:left w:val="single" w:sz="8" w:space="0" w:color="000000"/>
              <w:bottom w:val="single" w:sz="8" w:space="0" w:color="000000"/>
              <w:right w:val="single" w:sz="8" w:space="0" w:color="000000"/>
            </w:tcBorders>
            <w:vAlign w:val="center"/>
          </w:tcPr>
          <w:p w14:paraId="6DD6EEB8"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业绩比较基准收益率③</w:t>
            </w:r>
          </w:p>
        </w:tc>
        <w:tc>
          <w:tcPr>
            <w:tcW w:w="1153" w:type="dxa"/>
            <w:tcBorders>
              <w:top w:val="single" w:sz="8" w:space="0" w:color="000000"/>
              <w:left w:val="single" w:sz="8" w:space="0" w:color="000000"/>
              <w:bottom w:val="single" w:sz="8" w:space="0" w:color="000000"/>
              <w:right w:val="single" w:sz="8" w:space="0" w:color="000000"/>
            </w:tcBorders>
            <w:vAlign w:val="center"/>
          </w:tcPr>
          <w:p w14:paraId="6990F0EB"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业绩比较基准收益率标准差④</w:t>
            </w:r>
          </w:p>
        </w:tc>
        <w:tc>
          <w:tcPr>
            <w:tcW w:w="1275" w:type="dxa"/>
            <w:tcBorders>
              <w:top w:val="single" w:sz="8" w:space="0" w:color="000000"/>
              <w:left w:val="single" w:sz="8" w:space="0" w:color="000000"/>
              <w:bottom w:val="single" w:sz="8" w:space="0" w:color="000000"/>
              <w:right w:val="single" w:sz="8" w:space="0" w:color="000000"/>
            </w:tcBorders>
            <w:vAlign w:val="center"/>
          </w:tcPr>
          <w:p w14:paraId="78774CBF"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134" w:type="dxa"/>
            <w:tcBorders>
              <w:top w:val="single" w:sz="8" w:space="0" w:color="000000"/>
              <w:left w:val="single" w:sz="8" w:space="0" w:color="000000"/>
              <w:bottom w:val="single" w:sz="8" w:space="0" w:color="000000"/>
              <w:right w:val="single" w:sz="8" w:space="0" w:color="000000"/>
            </w:tcBorders>
            <w:vAlign w:val="center"/>
          </w:tcPr>
          <w:p w14:paraId="13C83260"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46184B" w14:paraId="32091336"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1EDDF0E2" w14:textId="77777777" w:rsidR="0046184B" w:rsidRDefault="00000000">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2018.03.16~2018.12.31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436ED49D" w14:textId="77777777" w:rsidR="0046184B" w:rsidRDefault="00000000">
            <w:pPr>
              <w:pStyle w:val="biaogecenter"/>
              <w:wordWrap w:val="0"/>
              <w:rPr>
                <w:rFonts w:asciiTheme="minorEastAsia" w:eastAsiaTheme="minorEastAsia" w:hAnsiTheme="minorEastAsia" w:hint="eastAsia"/>
                <w:sz w:val="22"/>
                <w:szCs w:val="22"/>
              </w:rPr>
            </w:pPr>
            <w:r>
              <w:rPr>
                <w:rFonts w:hint="eastAsia"/>
                <w:sz w:val="22"/>
                <w:szCs w:val="22"/>
              </w:rPr>
              <w:t>-18.35%</w:t>
            </w:r>
          </w:p>
        </w:tc>
        <w:tc>
          <w:tcPr>
            <w:tcW w:w="1115" w:type="dxa"/>
            <w:tcBorders>
              <w:top w:val="single" w:sz="8" w:space="0" w:color="000000"/>
              <w:left w:val="single" w:sz="8" w:space="0" w:color="000000"/>
              <w:bottom w:val="single" w:sz="8" w:space="0" w:color="000000"/>
              <w:right w:val="single" w:sz="8" w:space="0" w:color="000000"/>
            </w:tcBorders>
            <w:vAlign w:val="center"/>
          </w:tcPr>
          <w:p w14:paraId="0DDF5298" w14:textId="77777777" w:rsidR="0046184B" w:rsidRDefault="00000000">
            <w:pPr>
              <w:pStyle w:val="biaogecenter"/>
              <w:wordWrap w:val="0"/>
              <w:rPr>
                <w:rFonts w:asciiTheme="minorEastAsia" w:eastAsiaTheme="minorEastAsia" w:hAnsiTheme="minorEastAsia" w:hint="eastAsia"/>
                <w:sz w:val="22"/>
                <w:szCs w:val="22"/>
              </w:rPr>
            </w:pPr>
            <w:r>
              <w:rPr>
                <w:rFonts w:hint="eastAsia"/>
                <w:sz w:val="22"/>
                <w:szCs w:val="22"/>
              </w:rPr>
              <w:t>0.88%</w:t>
            </w:r>
          </w:p>
        </w:tc>
        <w:tc>
          <w:tcPr>
            <w:tcW w:w="1276" w:type="dxa"/>
            <w:tcBorders>
              <w:top w:val="single" w:sz="8" w:space="0" w:color="000000"/>
              <w:left w:val="single" w:sz="8" w:space="0" w:color="000000"/>
              <w:bottom w:val="single" w:sz="8" w:space="0" w:color="000000"/>
              <w:right w:val="single" w:sz="8" w:space="0" w:color="000000"/>
            </w:tcBorders>
            <w:vAlign w:val="center"/>
          </w:tcPr>
          <w:p w14:paraId="4B70569A" w14:textId="77777777" w:rsidR="0046184B" w:rsidRDefault="00000000">
            <w:pPr>
              <w:pStyle w:val="biaogecenter"/>
              <w:wordWrap w:val="0"/>
              <w:rPr>
                <w:rFonts w:hint="eastAsia"/>
                <w:sz w:val="22"/>
                <w:szCs w:val="22"/>
              </w:rPr>
            </w:pPr>
            <w:r>
              <w:rPr>
                <w:rFonts w:hint="eastAsia"/>
                <w:sz w:val="22"/>
                <w:szCs w:val="22"/>
              </w:rPr>
              <w:t>-17.32%</w:t>
            </w:r>
          </w:p>
        </w:tc>
        <w:tc>
          <w:tcPr>
            <w:tcW w:w="1153" w:type="dxa"/>
            <w:tcBorders>
              <w:top w:val="single" w:sz="8" w:space="0" w:color="000000"/>
              <w:left w:val="single" w:sz="8" w:space="0" w:color="000000"/>
              <w:bottom w:val="single" w:sz="8" w:space="0" w:color="000000"/>
              <w:right w:val="single" w:sz="8" w:space="0" w:color="000000"/>
            </w:tcBorders>
            <w:vAlign w:val="center"/>
          </w:tcPr>
          <w:p w14:paraId="2FB7336E" w14:textId="77777777" w:rsidR="0046184B" w:rsidRDefault="00000000">
            <w:pPr>
              <w:pStyle w:val="biaogecenter"/>
              <w:wordWrap w:val="0"/>
              <w:ind w:left="0"/>
              <w:rPr>
                <w:rFonts w:asciiTheme="minorEastAsia" w:eastAsiaTheme="minorEastAsia" w:hAnsiTheme="minorEastAsia" w:hint="eastAsia"/>
                <w:sz w:val="22"/>
                <w:szCs w:val="22"/>
              </w:rPr>
            </w:pPr>
            <w:r>
              <w:rPr>
                <w:rFonts w:hint="eastAsia"/>
                <w:sz w:val="22"/>
                <w:szCs w:val="22"/>
              </w:rPr>
              <w:t>0.96%</w:t>
            </w:r>
          </w:p>
        </w:tc>
        <w:tc>
          <w:tcPr>
            <w:tcW w:w="1275" w:type="dxa"/>
            <w:tcBorders>
              <w:top w:val="single" w:sz="8" w:space="0" w:color="000000"/>
              <w:left w:val="single" w:sz="8" w:space="0" w:color="000000"/>
              <w:bottom w:val="single" w:sz="8" w:space="0" w:color="000000"/>
              <w:right w:val="single" w:sz="8" w:space="0" w:color="000000"/>
            </w:tcBorders>
            <w:vAlign w:val="center"/>
          </w:tcPr>
          <w:p w14:paraId="223CC281" w14:textId="77777777" w:rsidR="0046184B" w:rsidRDefault="00000000">
            <w:pPr>
              <w:pStyle w:val="biaogecenter"/>
              <w:wordWrap w:val="0"/>
              <w:ind w:left="0"/>
              <w:rPr>
                <w:rFonts w:asciiTheme="minorEastAsia" w:eastAsiaTheme="minorEastAsia" w:hAnsiTheme="minorEastAsia" w:hint="eastAsia"/>
                <w:sz w:val="22"/>
                <w:szCs w:val="22"/>
              </w:rPr>
            </w:pPr>
            <w:r>
              <w:rPr>
                <w:rFonts w:hint="eastAsia"/>
                <w:sz w:val="22"/>
                <w:szCs w:val="22"/>
              </w:rPr>
              <w:t>-1.03%</w:t>
            </w:r>
          </w:p>
        </w:tc>
        <w:tc>
          <w:tcPr>
            <w:tcW w:w="1134" w:type="dxa"/>
            <w:tcBorders>
              <w:top w:val="single" w:sz="8" w:space="0" w:color="000000"/>
              <w:left w:val="single" w:sz="8" w:space="0" w:color="000000"/>
              <w:bottom w:val="single" w:sz="8" w:space="0" w:color="000000"/>
              <w:right w:val="single" w:sz="8" w:space="0" w:color="000000"/>
            </w:tcBorders>
            <w:vAlign w:val="center"/>
          </w:tcPr>
          <w:p w14:paraId="0FFE838B" w14:textId="77777777" w:rsidR="0046184B" w:rsidRDefault="00000000">
            <w:pPr>
              <w:pStyle w:val="biaogecenter"/>
              <w:wordWrap w:val="0"/>
              <w:ind w:left="0"/>
              <w:rPr>
                <w:rFonts w:asciiTheme="minorEastAsia" w:eastAsiaTheme="minorEastAsia" w:hAnsiTheme="minorEastAsia" w:hint="eastAsia"/>
                <w:sz w:val="22"/>
                <w:szCs w:val="22"/>
              </w:rPr>
            </w:pPr>
            <w:r>
              <w:rPr>
                <w:rFonts w:hint="eastAsia"/>
                <w:sz w:val="22"/>
                <w:szCs w:val="22"/>
              </w:rPr>
              <w:t>-0.08%</w:t>
            </w:r>
          </w:p>
        </w:tc>
      </w:tr>
      <w:tr w:rsidR="0046184B" w14:paraId="128168D7"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tcPr>
          <w:p w14:paraId="2132BC6F" w14:textId="77777777" w:rsidR="0046184B" w:rsidRDefault="00000000">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2019.01.01~2019.12.31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3273C28B"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34.43%</w:t>
            </w:r>
          </w:p>
        </w:tc>
        <w:tc>
          <w:tcPr>
            <w:tcW w:w="1115" w:type="dxa"/>
            <w:tcBorders>
              <w:top w:val="single" w:sz="8" w:space="0" w:color="000000"/>
              <w:left w:val="single" w:sz="8" w:space="0" w:color="000000"/>
              <w:bottom w:val="single" w:sz="8" w:space="0" w:color="000000"/>
              <w:right w:val="single" w:sz="8" w:space="0" w:color="000000"/>
            </w:tcBorders>
            <w:vAlign w:val="center"/>
          </w:tcPr>
          <w:p w14:paraId="1DFB2EA2"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1.32%</w:t>
            </w:r>
          </w:p>
        </w:tc>
        <w:tc>
          <w:tcPr>
            <w:tcW w:w="1276" w:type="dxa"/>
            <w:tcBorders>
              <w:top w:val="single" w:sz="8" w:space="0" w:color="000000"/>
              <w:left w:val="single" w:sz="8" w:space="0" w:color="000000"/>
              <w:bottom w:val="single" w:sz="8" w:space="0" w:color="000000"/>
              <w:right w:val="single" w:sz="8" w:space="0" w:color="000000"/>
            </w:tcBorders>
            <w:vAlign w:val="center"/>
          </w:tcPr>
          <w:p w14:paraId="4838B20D" w14:textId="77777777" w:rsidR="0046184B" w:rsidRDefault="00000000">
            <w:pPr>
              <w:pStyle w:val="biaogecenter"/>
              <w:wordWrap w:val="0"/>
              <w:rPr>
                <w:rFonts w:hint="eastAsia"/>
                <w:sz w:val="22"/>
                <w:szCs w:val="22"/>
              </w:rPr>
            </w:pPr>
            <w:r>
              <w:rPr>
                <w:rFonts w:hint="eastAsia"/>
                <w:sz w:val="22"/>
                <w:szCs w:val="22"/>
              </w:rPr>
              <w:t>26.39%</w:t>
            </w:r>
          </w:p>
        </w:tc>
        <w:tc>
          <w:tcPr>
            <w:tcW w:w="1153" w:type="dxa"/>
            <w:tcBorders>
              <w:top w:val="single" w:sz="8" w:space="0" w:color="000000"/>
              <w:left w:val="single" w:sz="8" w:space="0" w:color="000000"/>
              <w:bottom w:val="single" w:sz="8" w:space="0" w:color="000000"/>
              <w:right w:val="single" w:sz="8" w:space="0" w:color="000000"/>
            </w:tcBorders>
            <w:vAlign w:val="center"/>
          </w:tcPr>
          <w:p w14:paraId="42137537"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0.87%</w:t>
            </w:r>
          </w:p>
        </w:tc>
        <w:tc>
          <w:tcPr>
            <w:tcW w:w="1275" w:type="dxa"/>
            <w:tcBorders>
              <w:top w:val="single" w:sz="8" w:space="0" w:color="000000"/>
              <w:left w:val="single" w:sz="8" w:space="0" w:color="000000"/>
              <w:bottom w:val="single" w:sz="8" w:space="0" w:color="000000"/>
              <w:right w:val="single" w:sz="8" w:space="0" w:color="000000"/>
            </w:tcBorders>
            <w:vAlign w:val="center"/>
          </w:tcPr>
          <w:p w14:paraId="7F84864F"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8.04%</w:t>
            </w:r>
          </w:p>
        </w:tc>
        <w:tc>
          <w:tcPr>
            <w:tcW w:w="1134" w:type="dxa"/>
            <w:tcBorders>
              <w:top w:val="single" w:sz="8" w:space="0" w:color="000000"/>
              <w:left w:val="single" w:sz="8" w:space="0" w:color="000000"/>
              <w:bottom w:val="single" w:sz="8" w:space="0" w:color="000000"/>
              <w:right w:val="single" w:sz="8" w:space="0" w:color="000000"/>
            </w:tcBorders>
            <w:vAlign w:val="center"/>
          </w:tcPr>
          <w:p w14:paraId="1A2181E8"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0.45%</w:t>
            </w:r>
          </w:p>
        </w:tc>
      </w:tr>
      <w:tr w:rsidR="0046184B" w14:paraId="27975441"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099FC57E" w14:textId="77777777" w:rsidR="0046184B" w:rsidRDefault="00000000">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2020.01.01~2020.12.31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51682DE4" w14:textId="77777777" w:rsidR="0046184B" w:rsidRDefault="00000000">
            <w:pPr>
              <w:pStyle w:val="biaogecenter"/>
              <w:wordWrap w:val="0"/>
              <w:rPr>
                <w:rFonts w:asciiTheme="minorEastAsia" w:eastAsiaTheme="minorEastAsia" w:hAnsiTheme="minorEastAsia" w:hint="eastAsia"/>
                <w:sz w:val="22"/>
                <w:szCs w:val="22"/>
              </w:rPr>
            </w:pPr>
            <w:r>
              <w:rPr>
                <w:rFonts w:hint="eastAsia"/>
                <w:sz w:val="22"/>
                <w:szCs w:val="22"/>
              </w:rPr>
              <w:t>87.80%</w:t>
            </w:r>
          </w:p>
        </w:tc>
        <w:tc>
          <w:tcPr>
            <w:tcW w:w="1115" w:type="dxa"/>
            <w:tcBorders>
              <w:top w:val="single" w:sz="8" w:space="0" w:color="000000"/>
              <w:left w:val="single" w:sz="8" w:space="0" w:color="000000"/>
              <w:bottom w:val="single" w:sz="8" w:space="0" w:color="000000"/>
              <w:right w:val="single" w:sz="8" w:space="0" w:color="000000"/>
            </w:tcBorders>
            <w:vAlign w:val="center"/>
          </w:tcPr>
          <w:p w14:paraId="24B569BC" w14:textId="77777777" w:rsidR="0046184B" w:rsidRDefault="00000000">
            <w:pPr>
              <w:pStyle w:val="biaogecenter"/>
              <w:wordWrap w:val="0"/>
              <w:rPr>
                <w:rFonts w:asciiTheme="minorEastAsia" w:eastAsiaTheme="minorEastAsia" w:hAnsiTheme="minorEastAsia" w:hint="eastAsia"/>
                <w:sz w:val="22"/>
                <w:szCs w:val="22"/>
              </w:rPr>
            </w:pPr>
            <w:r>
              <w:rPr>
                <w:rFonts w:hint="eastAsia"/>
                <w:sz w:val="22"/>
                <w:szCs w:val="22"/>
              </w:rPr>
              <w:t>1.48%</w:t>
            </w:r>
          </w:p>
        </w:tc>
        <w:tc>
          <w:tcPr>
            <w:tcW w:w="1276" w:type="dxa"/>
            <w:tcBorders>
              <w:top w:val="single" w:sz="8" w:space="0" w:color="000000"/>
              <w:left w:val="single" w:sz="8" w:space="0" w:color="000000"/>
              <w:bottom w:val="single" w:sz="8" w:space="0" w:color="000000"/>
              <w:right w:val="single" w:sz="8" w:space="0" w:color="000000"/>
            </w:tcBorders>
            <w:vAlign w:val="center"/>
          </w:tcPr>
          <w:p w14:paraId="5EA605F8" w14:textId="77777777" w:rsidR="0046184B" w:rsidRDefault="00000000">
            <w:pPr>
              <w:pStyle w:val="biaogecenter"/>
              <w:wordWrap w:val="0"/>
              <w:rPr>
                <w:rFonts w:hint="eastAsia"/>
                <w:sz w:val="22"/>
                <w:szCs w:val="22"/>
              </w:rPr>
            </w:pPr>
            <w:r>
              <w:rPr>
                <w:rFonts w:hint="eastAsia"/>
                <w:sz w:val="22"/>
                <w:szCs w:val="22"/>
              </w:rPr>
              <w:t>20.09%</w:t>
            </w:r>
          </w:p>
        </w:tc>
        <w:tc>
          <w:tcPr>
            <w:tcW w:w="1153" w:type="dxa"/>
            <w:tcBorders>
              <w:top w:val="single" w:sz="8" w:space="0" w:color="000000"/>
              <w:left w:val="single" w:sz="8" w:space="0" w:color="000000"/>
              <w:bottom w:val="single" w:sz="8" w:space="0" w:color="000000"/>
              <w:right w:val="single" w:sz="8" w:space="0" w:color="000000"/>
            </w:tcBorders>
            <w:vAlign w:val="center"/>
          </w:tcPr>
          <w:p w14:paraId="223FEF89" w14:textId="77777777" w:rsidR="0046184B" w:rsidRDefault="00000000">
            <w:pPr>
              <w:pStyle w:val="biaogecenter"/>
              <w:wordWrap w:val="0"/>
              <w:ind w:left="0"/>
              <w:rPr>
                <w:rFonts w:asciiTheme="minorEastAsia" w:eastAsiaTheme="minorEastAsia" w:hAnsiTheme="minorEastAsia" w:hint="eastAsia"/>
                <w:sz w:val="22"/>
                <w:szCs w:val="22"/>
              </w:rPr>
            </w:pPr>
            <w:r>
              <w:rPr>
                <w:rFonts w:hint="eastAsia"/>
                <w:sz w:val="22"/>
                <w:szCs w:val="22"/>
              </w:rPr>
              <w:t>1.00%</w:t>
            </w:r>
          </w:p>
        </w:tc>
        <w:tc>
          <w:tcPr>
            <w:tcW w:w="1275" w:type="dxa"/>
            <w:tcBorders>
              <w:top w:val="single" w:sz="8" w:space="0" w:color="000000"/>
              <w:left w:val="single" w:sz="8" w:space="0" w:color="000000"/>
              <w:bottom w:val="single" w:sz="8" w:space="0" w:color="000000"/>
              <w:right w:val="single" w:sz="8" w:space="0" w:color="000000"/>
            </w:tcBorders>
            <w:vAlign w:val="center"/>
          </w:tcPr>
          <w:p w14:paraId="09D51897" w14:textId="77777777" w:rsidR="0046184B" w:rsidRDefault="00000000">
            <w:pPr>
              <w:pStyle w:val="biaogecenter"/>
              <w:wordWrap w:val="0"/>
              <w:ind w:left="0"/>
              <w:rPr>
                <w:rFonts w:asciiTheme="minorEastAsia" w:eastAsiaTheme="minorEastAsia" w:hAnsiTheme="minorEastAsia" w:hint="eastAsia"/>
                <w:sz w:val="22"/>
                <w:szCs w:val="22"/>
              </w:rPr>
            </w:pPr>
            <w:r>
              <w:rPr>
                <w:rFonts w:hint="eastAsia"/>
                <w:sz w:val="22"/>
                <w:szCs w:val="22"/>
              </w:rPr>
              <w:t>67.71%</w:t>
            </w:r>
          </w:p>
        </w:tc>
        <w:tc>
          <w:tcPr>
            <w:tcW w:w="1134" w:type="dxa"/>
            <w:tcBorders>
              <w:top w:val="single" w:sz="8" w:space="0" w:color="000000"/>
              <w:left w:val="single" w:sz="8" w:space="0" w:color="000000"/>
              <w:bottom w:val="single" w:sz="8" w:space="0" w:color="000000"/>
              <w:right w:val="single" w:sz="8" w:space="0" w:color="000000"/>
            </w:tcBorders>
            <w:vAlign w:val="center"/>
          </w:tcPr>
          <w:p w14:paraId="4F1D06B6" w14:textId="77777777" w:rsidR="0046184B" w:rsidRDefault="00000000">
            <w:pPr>
              <w:pStyle w:val="biaogecenter"/>
              <w:wordWrap w:val="0"/>
              <w:ind w:left="0"/>
              <w:rPr>
                <w:rFonts w:asciiTheme="minorEastAsia" w:eastAsiaTheme="minorEastAsia" w:hAnsiTheme="minorEastAsia" w:hint="eastAsia"/>
                <w:sz w:val="22"/>
                <w:szCs w:val="22"/>
              </w:rPr>
            </w:pPr>
            <w:r>
              <w:rPr>
                <w:rFonts w:hint="eastAsia"/>
                <w:sz w:val="22"/>
                <w:szCs w:val="22"/>
              </w:rPr>
              <w:t>0.48%</w:t>
            </w:r>
          </w:p>
        </w:tc>
      </w:tr>
      <w:tr w:rsidR="0046184B" w14:paraId="0A084470"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7387F6CF" w14:textId="77777777" w:rsidR="0046184B" w:rsidRDefault="00000000">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2021.01.01~2021.12.31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4214620E" w14:textId="77777777" w:rsidR="0046184B" w:rsidRDefault="00000000">
            <w:pPr>
              <w:pStyle w:val="biaogecenter"/>
              <w:wordWrap w:val="0"/>
              <w:rPr>
                <w:rFonts w:hint="eastAsia"/>
                <w:sz w:val="22"/>
                <w:szCs w:val="22"/>
              </w:rPr>
            </w:pPr>
            <w:r>
              <w:rPr>
                <w:rFonts w:hint="eastAsia"/>
                <w:sz w:val="22"/>
                <w:szCs w:val="22"/>
              </w:rPr>
              <w:t>8.45%</w:t>
            </w:r>
          </w:p>
        </w:tc>
        <w:tc>
          <w:tcPr>
            <w:tcW w:w="1115" w:type="dxa"/>
            <w:tcBorders>
              <w:top w:val="single" w:sz="8" w:space="0" w:color="000000"/>
              <w:left w:val="single" w:sz="8" w:space="0" w:color="000000"/>
              <w:bottom w:val="single" w:sz="8" w:space="0" w:color="000000"/>
              <w:right w:val="single" w:sz="8" w:space="0" w:color="000000"/>
            </w:tcBorders>
            <w:vAlign w:val="center"/>
          </w:tcPr>
          <w:p w14:paraId="23027A7F" w14:textId="77777777" w:rsidR="0046184B" w:rsidRDefault="00000000">
            <w:pPr>
              <w:pStyle w:val="biaogecenter"/>
              <w:wordWrap w:val="0"/>
              <w:rPr>
                <w:rFonts w:hint="eastAsia"/>
                <w:sz w:val="22"/>
                <w:szCs w:val="22"/>
              </w:rPr>
            </w:pPr>
            <w:r>
              <w:rPr>
                <w:rFonts w:hint="eastAsia"/>
                <w:sz w:val="22"/>
                <w:szCs w:val="22"/>
              </w:rPr>
              <w:t>1.28%</w:t>
            </w:r>
          </w:p>
        </w:tc>
        <w:tc>
          <w:tcPr>
            <w:tcW w:w="1276" w:type="dxa"/>
            <w:tcBorders>
              <w:top w:val="single" w:sz="8" w:space="0" w:color="000000"/>
              <w:left w:val="single" w:sz="8" w:space="0" w:color="000000"/>
              <w:bottom w:val="single" w:sz="8" w:space="0" w:color="000000"/>
              <w:right w:val="single" w:sz="8" w:space="0" w:color="000000"/>
            </w:tcBorders>
            <w:vAlign w:val="center"/>
          </w:tcPr>
          <w:p w14:paraId="31221196" w14:textId="77777777" w:rsidR="0046184B" w:rsidRDefault="00000000">
            <w:pPr>
              <w:pStyle w:val="biaogecenter"/>
              <w:wordWrap w:val="0"/>
              <w:rPr>
                <w:rFonts w:hint="eastAsia"/>
                <w:sz w:val="22"/>
                <w:szCs w:val="22"/>
              </w:rPr>
            </w:pPr>
            <w:r>
              <w:rPr>
                <w:rFonts w:hint="eastAsia"/>
                <w:sz w:val="22"/>
                <w:szCs w:val="22"/>
              </w:rPr>
              <w:t>-1.72%</w:t>
            </w:r>
          </w:p>
        </w:tc>
        <w:tc>
          <w:tcPr>
            <w:tcW w:w="1153" w:type="dxa"/>
            <w:tcBorders>
              <w:top w:val="single" w:sz="8" w:space="0" w:color="000000"/>
              <w:left w:val="single" w:sz="8" w:space="0" w:color="000000"/>
              <w:bottom w:val="single" w:sz="8" w:space="0" w:color="000000"/>
              <w:right w:val="single" w:sz="8" w:space="0" w:color="000000"/>
            </w:tcBorders>
            <w:vAlign w:val="center"/>
          </w:tcPr>
          <w:p w14:paraId="03096ADB" w14:textId="77777777" w:rsidR="0046184B" w:rsidRDefault="00000000">
            <w:pPr>
              <w:pStyle w:val="biaogecenter"/>
              <w:wordWrap w:val="0"/>
              <w:ind w:left="0"/>
              <w:rPr>
                <w:rFonts w:hint="eastAsia"/>
                <w:sz w:val="22"/>
                <w:szCs w:val="22"/>
              </w:rPr>
            </w:pPr>
            <w:r>
              <w:rPr>
                <w:rFonts w:hint="eastAsia"/>
                <w:sz w:val="22"/>
                <w:szCs w:val="22"/>
              </w:rPr>
              <w:t>0.82%</w:t>
            </w:r>
          </w:p>
        </w:tc>
        <w:tc>
          <w:tcPr>
            <w:tcW w:w="1275" w:type="dxa"/>
            <w:tcBorders>
              <w:top w:val="single" w:sz="8" w:space="0" w:color="000000"/>
              <w:left w:val="single" w:sz="8" w:space="0" w:color="000000"/>
              <w:bottom w:val="single" w:sz="8" w:space="0" w:color="000000"/>
              <w:right w:val="single" w:sz="8" w:space="0" w:color="000000"/>
            </w:tcBorders>
            <w:vAlign w:val="center"/>
          </w:tcPr>
          <w:p w14:paraId="1B55125A" w14:textId="77777777" w:rsidR="0046184B" w:rsidRDefault="00000000">
            <w:pPr>
              <w:pStyle w:val="biaogecenter"/>
              <w:wordWrap w:val="0"/>
              <w:ind w:left="0"/>
              <w:rPr>
                <w:rFonts w:hint="eastAsia"/>
                <w:sz w:val="22"/>
                <w:szCs w:val="22"/>
              </w:rPr>
            </w:pPr>
            <w:r>
              <w:rPr>
                <w:rFonts w:hint="eastAsia"/>
                <w:sz w:val="22"/>
                <w:szCs w:val="22"/>
              </w:rPr>
              <w:t>10.17%</w:t>
            </w:r>
          </w:p>
        </w:tc>
        <w:tc>
          <w:tcPr>
            <w:tcW w:w="1134" w:type="dxa"/>
            <w:tcBorders>
              <w:top w:val="single" w:sz="8" w:space="0" w:color="000000"/>
              <w:left w:val="single" w:sz="8" w:space="0" w:color="000000"/>
              <w:bottom w:val="single" w:sz="8" w:space="0" w:color="000000"/>
              <w:right w:val="single" w:sz="8" w:space="0" w:color="000000"/>
            </w:tcBorders>
            <w:vAlign w:val="center"/>
          </w:tcPr>
          <w:p w14:paraId="29ADC26B" w14:textId="77777777" w:rsidR="0046184B" w:rsidRDefault="00000000">
            <w:pPr>
              <w:pStyle w:val="biaogecenter"/>
              <w:wordWrap w:val="0"/>
              <w:ind w:left="0"/>
              <w:rPr>
                <w:rFonts w:hint="eastAsia"/>
                <w:sz w:val="22"/>
                <w:szCs w:val="22"/>
              </w:rPr>
            </w:pPr>
            <w:r>
              <w:rPr>
                <w:rFonts w:hint="eastAsia"/>
                <w:sz w:val="22"/>
                <w:szCs w:val="22"/>
              </w:rPr>
              <w:t>0.46%</w:t>
            </w:r>
          </w:p>
        </w:tc>
      </w:tr>
      <w:tr w:rsidR="0046184B" w14:paraId="03A00F4D"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7A362DB0" w14:textId="77777777" w:rsidR="0046184B" w:rsidRDefault="00000000">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2022.01.01~2022.12.31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0B83B133"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-9.03%</w:t>
            </w:r>
          </w:p>
        </w:tc>
        <w:tc>
          <w:tcPr>
            <w:tcW w:w="1115" w:type="dxa"/>
            <w:tcBorders>
              <w:top w:val="single" w:sz="8" w:space="0" w:color="000000"/>
              <w:left w:val="single" w:sz="8" w:space="0" w:color="000000"/>
              <w:bottom w:val="single" w:sz="8" w:space="0" w:color="000000"/>
              <w:right w:val="single" w:sz="8" w:space="0" w:color="000000"/>
            </w:tcBorders>
            <w:vAlign w:val="center"/>
          </w:tcPr>
          <w:p w14:paraId="5631B988"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1.17%</w:t>
            </w:r>
          </w:p>
        </w:tc>
        <w:tc>
          <w:tcPr>
            <w:tcW w:w="1276" w:type="dxa"/>
            <w:tcBorders>
              <w:top w:val="single" w:sz="8" w:space="0" w:color="000000"/>
              <w:left w:val="single" w:sz="8" w:space="0" w:color="000000"/>
              <w:bottom w:val="single" w:sz="8" w:space="0" w:color="000000"/>
              <w:right w:val="single" w:sz="8" w:space="0" w:color="000000"/>
            </w:tcBorders>
            <w:vAlign w:val="center"/>
          </w:tcPr>
          <w:p w14:paraId="4CA78599" w14:textId="77777777" w:rsidR="0046184B" w:rsidRDefault="00000000">
            <w:pPr>
              <w:pStyle w:val="biaogecenter"/>
              <w:wordWrap w:val="0"/>
              <w:rPr>
                <w:rFonts w:hint="eastAsia"/>
                <w:sz w:val="22"/>
                <w:szCs w:val="22"/>
              </w:rPr>
            </w:pPr>
            <w:r>
              <w:rPr>
                <w:sz w:val="22"/>
                <w:szCs w:val="22"/>
              </w:rPr>
              <w:t>-14.45%</w:t>
            </w:r>
          </w:p>
        </w:tc>
        <w:tc>
          <w:tcPr>
            <w:tcW w:w="1153" w:type="dxa"/>
            <w:tcBorders>
              <w:top w:val="single" w:sz="8" w:space="0" w:color="000000"/>
              <w:left w:val="single" w:sz="8" w:space="0" w:color="000000"/>
              <w:bottom w:val="single" w:sz="8" w:space="0" w:color="000000"/>
              <w:right w:val="single" w:sz="8" w:space="0" w:color="000000"/>
            </w:tcBorders>
            <w:vAlign w:val="center"/>
          </w:tcPr>
          <w:p w14:paraId="51BD2DB3"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0.90%</w:t>
            </w:r>
          </w:p>
        </w:tc>
        <w:tc>
          <w:tcPr>
            <w:tcW w:w="1275" w:type="dxa"/>
            <w:tcBorders>
              <w:top w:val="single" w:sz="8" w:space="0" w:color="000000"/>
              <w:left w:val="single" w:sz="8" w:space="0" w:color="000000"/>
              <w:bottom w:val="single" w:sz="8" w:space="0" w:color="000000"/>
              <w:right w:val="single" w:sz="8" w:space="0" w:color="000000"/>
            </w:tcBorders>
            <w:vAlign w:val="center"/>
          </w:tcPr>
          <w:p w14:paraId="618F142D"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5.42%</w:t>
            </w:r>
          </w:p>
        </w:tc>
        <w:tc>
          <w:tcPr>
            <w:tcW w:w="1134" w:type="dxa"/>
            <w:tcBorders>
              <w:top w:val="single" w:sz="8" w:space="0" w:color="000000"/>
              <w:left w:val="single" w:sz="8" w:space="0" w:color="000000"/>
              <w:bottom w:val="single" w:sz="8" w:space="0" w:color="000000"/>
              <w:right w:val="single" w:sz="8" w:space="0" w:color="000000"/>
            </w:tcBorders>
            <w:vAlign w:val="center"/>
          </w:tcPr>
          <w:p w14:paraId="4905EE9E"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0.27%</w:t>
            </w:r>
          </w:p>
        </w:tc>
      </w:tr>
      <w:tr w:rsidR="0046184B" w14:paraId="100394CF"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2E779FAA" w14:textId="77777777" w:rsidR="0046184B" w:rsidRDefault="00000000">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2023.01.01~2023.12.31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3E351A6B"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-13.57%</w:t>
            </w:r>
          </w:p>
        </w:tc>
        <w:tc>
          <w:tcPr>
            <w:tcW w:w="1115" w:type="dxa"/>
            <w:tcBorders>
              <w:top w:val="single" w:sz="8" w:space="0" w:color="000000"/>
              <w:left w:val="single" w:sz="8" w:space="0" w:color="000000"/>
              <w:bottom w:val="single" w:sz="8" w:space="0" w:color="000000"/>
              <w:right w:val="single" w:sz="8" w:space="0" w:color="000000"/>
            </w:tcBorders>
            <w:vAlign w:val="center"/>
          </w:tcPr>
          <w:p w14:paraId="164356A9"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0.83%</w:t>
            </w:r>
          </w:p>
        </w:tc>
        <w:tc>
          <w:tcPr>
            <w:tcW w:w="1276" w:type="dxa"/>
            <w:tcBorders>
              <w:top w:val="single" w:sz="8" w:space="0" w:color="000000"/>
              <w:left w:val="single" w:sz="8" w:space="0" w:color="000000"/>
              <w:bottom w:val="single" w:sz="8" w:space="0" w:color="000000"/>
              <w:right w:val="single" w:sz="8" w:space="0" w:color="000000"/>
            </w:tcBorders>
            <w:vAlign w:val="center"/>
          </w:tcPr>
          <w:p w14:paraId="3060586E" w14:textId="77777777" w:rsidR="0046184B" w:rsidRDefault="00000000">
            <w:pPr>
              <w:pStyle w:val="biaogecenter"/>
              <w:wordWrap w:val="0"/>
              <w:rPr>
                <w:rFonts w:hint="eastAsia"/>
                <w:sz w:val="22"/>
                <w:szCs w:val="22"/>
              </w:rPr>
            </w:pPr>
            <w:r>
              <w:rPr>
                <w:sz w:val="22"/>
                <w:szCs w:val="22"/>
              </w:rPr>
              <w:t>-6.52%</w:t>
            </w:r>
          </w:p>
        </w:tc>
        <w:tc>
          <w:tcPr>
            <w:tcW w:w="1153" w:type="dxa"/>
            <w:tcBorders>
              <w:top w:val="single" w:sz="8" w:space="0" w:color="000000"/>
              <w:left w:val="single" w:sz="8" w:space="0" w:color="000000"/>
              <w:bottom w:val="single" w:sz="8" w:space="0" w:color="000000"/>
              <w:right w:val="single" w:sz="8" w:space="0" w:color="000000"/>
            </w:tcBorders>
            <w:vAlign w:val="center"/>
          </w:tcPr>
          <w:p w14:paraId="7B2D2EED"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0.59%</w:t>
            </w:r>
          </w:p>
        </w:tc>
        <w:tc>
          <w:tcPr>
            <w:tcW w:w="1275" w:type="dxa"/>
            <w:tcBorders>
              <w:top w:val="single" w:sz="8" w:space="0" w:color="000000"/>
              <w:left w:val="single" w:sz="8" w:space="0" w:color="000000"/>
              <w:bottom w:val="single" w:sz="8" w:space="0" w:color="000000"/>
              <w:right w:val="single" w:sz="8" w:space="0" w:color="000000"/>
            </w:tcBorders>
            <w:vAlign w:val="center"/>
          </w:tcPr>
          <w:p w14:paraId="0F6E386E"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-7.05%</w:t>
            </w:r>
          </w:p>
        </w:tc>
        <w:tc>
          <w:tcPr>
            <w:tcW w:w="1134" w:type="dxa"/>
            <w:tcBorders>
              <w:top w:val="single" w:sz="8" w:space="0" w:color="000000"/>
              <w:left w:val="single" w:sz="8" w:space="0" w:color="000000"/>
              <w:bottom w:val="single" w:sz="8" w:space="0" w:color="000000"/>
              <w:right w:val="single" w:sz="8" w:space="0" w:color="000000"/>
            </w:tcBorders>
            <w:vAlign w:val="center"/>
          </w:tcPr>
          <w:p w14:paraId="12779108"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0.24%</w:t>
            </w:r>
          </w:p>
        </w:tc>
      </w:tr>
      <w:tr w:rsidR="0046184B" w14:paraId="5CE29D1B"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747085D0" w14:textId="77777777" w:rsidR="0046184B" w:rsidRDefault="00000000">
            <w:pPr>
              <w:pStyle w:val="biaogeleft"/>
              <w:wordWrap w:val="0"/>
              <w:spacing w:line="360" w:lineRule="auto"/>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2024.01.01~2024.03.31</w:t>
            </w:r>
          </w:p>
        </w:tc>
        <w:tc>
          <w:tcPr>
            <w:tcW w:w="1134" w:type="dxa"/>
            <w:tcBorders>
              <w:top w:val="single" w:sz="8" w:space="0" w:color="000000"/>
              <w:left w:val="single" w:sz="8" w:space="0" w:color="000000"/>
              <w:bottom w:val="single" w:sz="8" w:space="0" w:color="000000"/>
              <w:right w:val="single" w:sz="8" w:space="0" w:color="000000"/>
            </w:tcBorders>
            <w:vAlign w:val="center"/>
          </w:tcPr>
          <w:p w14:paraId="1BCA7ABF"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1.04%</w:t>
            </w:r>
          </w:p>
        </w:tc>
        <w:tc>
          <w:tcPr>
            <w:tcW w:w="1115" w:type="dxa"/>
            <w:tcBorders>
              <w:top w:val="single" w:sz="8" w:space="0" w:color="000000"/>
              <w:left w:val="single" w:sz="8" w:space="0" w:color="000000"/>
              <w:bottom w:val="single" w:sz="8" w:space="0" w:color="000000"/>
              <w:right w:val="single" w:sz="8" w:space="0" w:color="000000"/>
            </w:tcBorders>
            <w:vAlign w:val="center"/>
          </w:tcPr>
          <w:p w14:paraId="41D3A05E"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1.07%</w:t>
            </w:r>
          </w:p>
        </w:tc>
        <w:tc>
          <w:tcPr>
            <w:tcW w:w="1276" w:type="dxa"/>
            <w:tcBorders>
              <w:top w:val="single" w:sz="8" w:space="0" w:color="000000"/>
              <w:left w:val="single" w:sz="8" w:space="0" w:color="000000"/>
              <w:bottom w:val="single" w:sz="8" w:space="0" w:color="000000"/>
              <w:right w:val="single" w:sz="8" w:space="0" w:color="000000"/>
            </w:tcBorders>
            <w:vAlign w:val="center"/>
          </w:tcPr>
          <w:p w14:paraId="6EBC0BB7" w14:textId="77777777" w:rsidR="0046184B" w:rsidRDefault="00000000">
            <w:pPr>
              <w:pStyle w:val="biaogecenter"/>
              <w:wordWrap w:val="0"/>
              <w:rPr>
                <w:rFonts w:hint="eastAsia"/>
                <w:sz w:val="22"/>
                <w:szCs w:val="22"/>
              </w:rPr>
            </w:pPr>
            <w:r>
              <w:rPr>
                <w:sz w:val="22"/>
                <w:szCs w:val="22"/>
              </w:rPr>
              <w:t>2.94%</w:t>
            </w:r>
          </w:p>
        </w:tc>
        <w:tc>
          <w:tcPr>
            <w:tcW w:w="1153" w:type="dxa"/>
            <w:tcBorders>
              <w:top w:val="single" w:sz="8" w:space="0" w:color="000000"/>
              <w:left w:val="single" w:sz="8" w:space="0" w:color="000000"/>
              <w:bottom w:val="single" w:sz="8" w:space="0" w:color="000000"/>
              <w:right w:val="single" w:sz="8" w:space="0" w:color="000000"/>
            </w:tcBorders>
            <w:vAlign w:val="center"/>
          </w:tcPr>
          <w:p w14:paraId="3F1A55F4"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0.72%</w:t>
            </w:r>
          </w:p>
        </w:tc>
        <w:tc>
          <w:tcPr>
            <w:tcW w:w="1275" w:type="dxa"/>
            <w:tcBorders>
              <w:top w:val="single" w:sz="8" w:space="0" w:color="000000"/>
              <w:left w:val="single" w:sz="8" w:space="0" w:color="000000"/>
              <w:bottom w:val="single" w:sz="8" w:space="0" w:color="000000"/>
              <w:right w:val="single" w:sz="8" w:space="0" w:color="000000"/>
            </w:tcBorders>
            <w:vAlign w:val="center"/>
          </w:tcPr>
          <w:p w14:paraId="70604FD3"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-1.90%</w:t>
            </w:r>
          </w:p>
        </w:tc>
        <w:tc>
          <w:tcPr>
            <w:tcW w:w="1134" w:type="dxa"/>
            <w:tcBorders>
              <w:top w:val="single" w:sz="8" w:space="0" w:color="000000"/>
              <w:left w:val="single" w:sz="8" w:space="0" w:color="000000"/>
              <w:bottom w:val="single" w:sz="8" w:space="0" w:color="000000"/>
              <w:right w:val="single" w:sz="8" w:space="0" w:color="000000"/>
            </w:tcBorders>
            <w:vAlign w:val="center"/>
          </w:tcPr>
          <w:p w14:paraId="39E337DB"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0.35%</w:t>
            </w:r>
          </w:p>
        </w:tc>
      </w:tr>
      <w:tr w:rsidR="0046184B" w14:paraId="460055B8" w14:textId="77777777">
        <w:trPr>
          <w:trHeight w:val="20"/>
          <w:jc w:val="center"/>
        </w:trPr>
        <w:tc>
          <w:tcPr>
            <w:tcW w:w="2789" w:type="dxa"/>
            <w:tcBorders>
              <w:top w:val="single" w:sz="8" w:space="0" w:color="000000"/>
              <w:left w:val="single" w:sz="8" w:space="0" w:color="000000"/>
              <w:bottom w:val="single" w:sz="8" w:space="0" w:color="000000"/>
              <w:right w:val="single" w:sz="8" w:space="0" w:color="000000"/>
            </w:tcBorders>
            <w:vAlign w:val="center"/>
          </w:tcPr>
          <w:p w14:paraId="7CB1F8C2" w14:textId="77777777" w:rsidR="0046184B" w:rsidRDefault="00000000">
            <w:pPr>
              <w:pStyle w:val="biaogeleft"/>
              <w:wordWrap w:val="0"/>
              <w:spacing w:line="360" w:lineRule="auto"/>
              <w:rPr>
                <w:rFonts w:asciiTheme="minorEastAsia" w:eastAsiaTheme="minorEastAsia" w:hAnsiTheme="minorEastAsia" w:hint="eastAsia"/>
                <w:sz w:val="22"/>
                <w:szCs w:val="22"/>
              </w:rPr>
            </w:pPr>
            <w:r>
              <w:rPr>
                <w:rFonts w:asciiTheme="minorEastAsia" w:eastAsiaTheme="minorEastAsia" w:hAnsiTheme="minorEastAsia" w:hint="eastAsia"/>
                <w:color w:val="000000"/>
                <w:sz w:val="22"/>
                <w:szCs w:val="22"/>
              </w:rPr>
              <w:t>自基金合同生效起至今</w:t>
            </w:r>
          </w:p>
        </w:tc>
        <w:tc>
          <w:tcPr>
            <w:tcW w:w="1134" w:type="dxa"/>
            <w:tcBorders>
              <w:top w:val="single" w:sz="8" w:space="0" w:color="000000"/>
              <w:left w:val="single" w:sz="8" w:space="0" w:color="000000"/>
              <w:bottom w:val="single" w:sz="8" w:space="0" w:color="000000"/>
              <w:right w:val="single" w:sz="8" w:space="0" w:color="000000"/>
            </w:tcBorders>
            <w:vAlign w:val="center"/>
          </w:tcPr>
          <w:p w14:paraId="52A13684"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77.57%</w:t>
            </w:r>
          </w:p>
        </w:tc>
        <w:tc>
          <w:tcPr>
            <w:tcW w:w="1115" w:type="dxa"/>
            <w:tcBorders>
              <w:top w:val="single" w:sz="8" w:space="0" w:color="000000"/>
              <w:left w:val="single" w:sz="8" w:space="0" w:color="000000"/>
              <w:bottom w:val="single" w:sz="8" w:space="0" w:color="000000"/>
              <w:right w:val="single" w:sz="8" w:space="0" w:color="000000"/>
            </w:tcBorders>
            <w:vAlign w:val="center"/>
          </w:tcPr>
          <w:p w14:paraId="0DB55287"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1.19%</w:t>
            </w:r>
          </w:p>
        </w:tc>
        <w:tc>
          <w:tcPr>
            <w:tcW w:w="1276" w:type="dxa"/>
            <w:tcBorders>
              <w:top w:val="single" w:sz="8" w:space="0" w:color="000000"/>
              <w:left w:val="single" w:sz="8" w:space="0" w:color="000000"/>
              <w:bottom w:val="single" w:sz="8" w:space="0" w:color="000000"/>
              <w:right w:val="single" w:sz="8" w:space="0" w:color="000000"/>
            </w:tcBorders>
            <w:vAlign w:val="center"/>
          </w:tcPr>
          <w:p w14:paraId="002BC017" w14:textId="77777777" w:rsidR="0046184B" w:rsidRDefault="00000000">
            <w:pPr>
              <w:pStyle w:val="biaogecenter"/>
              <w:wordWrap w:val="0"/>
              <w:rPr>
                <w:rFonts w:hint="eastAsia"/>
                <w:sz w:val="22"/>
                <w:szCs w:val="22"/>
              </w:rPr>
            </w:pPr>
            <w:r>
              <w:rPr>
                <w:sz w:val="22"/>
                <w:szCs w:val="22"/>
              </w:rPr>
              <w:t>1.54%</w:t>
            </w:r>
          </w:p>
        </w:tc>
        <w:tc>
          <w:tcPr>
            <w:tcW w:w="1153" w:type="dxa"/>
            <w:tcBorders>
              <w:top w:val="single" w:sz="8" w:space="0" w:color="000000"/>
              <w:left w:val="single" w:sz="8" w:space="0" w:color="000000"/>
              <w:bottom w:val="single" w:sz="8" w:space="0" w:color="000000"/>
              <w:right w:val="single" w:sz="8" w:space="0" w:color="000000"/>
            </w:tcBorders>
            <w:vAlign w:val="center"/>
          </w:tcPr>
          <w:p w14:paraId="2974EAEE"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0.86%</w:t>
            </w:r>
          </w:p>
        </w:tc>
        <w:tc>
          <w:tcPr>
            <w:tcW w:w="1275" w:type="dxa"/>
            <w:tcBorders>
              <w:top w:val="single" w:sz="8" w:space="0" w:color="000000"/>
              <w:left w:val="single" w:sz="8" w:space="0" w:color="000000"/>
              <w:bottom w:val="single" w:sz="8" w:space="0" w:color="000000"/>
              <w:right w:val="single" w:sz="8" w:space="0" w:color="000000"/>
            </w:tcBorders>
            <w:vAlign w:val="center"/>
          </w:tcPr>
          <w:p w14:paraId="05656543"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76.03%</w:t>
            </w:r>
          </w:p>
        </w:tc>
        <w:tc>
          <w:tcPr>
            <w:tcW w:w="1134" w:type="dxa"/>
            <w:tcBorders>
              <w:top w:val="single" w:sz="8" w:space="0" w:color="000000"/>
              <w:left w:val="single" w:sz="8" w:space="0" w:color="000000"/>
              <w:bottom w:val="single" w:sz="8" w:space="0" w:color="000000"/>
              <w:right w:val="single" w:sz="8" w:space="0" w:color="000000"/>
            </w:tcBorders>
            <w:vAlign w:val="center"/>
          </w:tcPr>
          <w:p w14:paraId="1DEA7111" w14:textId="77777777" w:rsidR="0046184B" w:rsidRDefault="00000000">
            <w:pPr>
              <w:pStyle w:val="biaogecenter"/>
              <w:wordWrap w:val="0"/>
              <w:ind w:left="0"/>
              <w:rPr>
                <w:rFonts w:asciiTheme="minorEastAsia" w:eastAsiaTheme="minorEastAsia" w:hAnsiTheme="minorEastAsia" w:hint="eastAsia"/>
                <w:sz w:val="22"/>
                <w:szCs w:val="22"/>
              </w:rPr>
            </w:pPr>
            <w:r>
              <w:rPr>
                <w:rFonts w:asciiTheme="minorEastAsia" w:eastAsiaTheme="minorEastAsia" w:hAnsiTheme="minorEastAsia"/>
                <w:sz w:val="22"/>
                <w:szCs w:val="22"/>
              </w:rPr>
              <w:t>0.33%</w:t>
            </w:r>
          </w:p>
        </w:tc>
      </w:tr>
    </w:tbl>
    <w:p w14:paraId="15E544B2"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富荣福锦混合</w:t>
      </w:r>
      <w:r>
        <w:rPr>
          <w:rFonts w:asciiTheme="minorEastAsia" w:hAnsiTheme="minorEastAsia"/>
          <w:bCs/>
          <w:sz w:val="24"/>
          <w:szCs w:val="24"/>
        </w:rPr>
        <w:t>C</w:t>
      </w:r>
    </w:p>
    <w:tbl>
      <w:tblPr>
        <w:tblW w:w="9947" w:type="dxa"/>
        <w:jc w:val="center"/>
        <w:tblLayout w:type="fixed"/>
        <w:tblLook w:val="04A0" w:firstRow="1" w:lastRow="0" w:firstColumn="1" w:lastColumn="0" w:noHBand="0" w:noVBand="1"/>
      </w:tblPr>
      <w:tblGrid>
        <w:gridCol w:w="2860"/>
        <w:gridCol w:w="1134"/>
        <w:gridCol w:w="1134"/>
        <w:gridCol w:w="1276"/>
        <w:gridCol w:w="1134"/>
        <w:gridCol w:w="1275"/>
        <w:gridCol w:w="1134"/>
      </w:tblGrid>
      <w:tr w:rsidR="0046184B" w14:paraId="2E5B16CE"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178913C5" w14:textId="77777777" w:rsidR="0046184B" w:rsidRDefault="00000000">
            <w:pPr>
              <w:pStyle w:val="biaogecenter"/>
              <w:rPr>
                <w:rFonts w:asciiTheme="minorEastAsia" w:eastAsiaTheme="minorEastAsia" w:hAnsiTheme="minorEastAsia" w:hint="eastAsia"/>
              </w:rPr>
            </w:pPr>
            <w:r>
              <w:rPr>
                <w:rFonts w:asciiTheme="minorEastAsia" w:eastAsiaTheme="minorEastAsia" w:hAnsiTheme="minorEastAsia" w:hint="eastAsia"/>
                <w:color w:val="000000"/>
              </w:rPr>
              <w:t>阶段</w:t>
            </w:r>
          </w:p>
        </w:tc>
        <w:tc>
          <w:tcPr>
            <w:tcW w:w="1134" w:type="dxa"/>
            <w:tcBorders>
              <w:top w:val="single" w:sz="8" w:space="0" w:color="000000"/>
              <w:left w:val="single" w:sz="8" w:space="0" w:color="000000"/>
              <w:bottom w:val="single" w:sz="8" w:space="0" w:color="000000"/>
              <w:right w:val="single" w:sz="8" w:space="0" w:color="000000"/>
            </w:tcBorders>
            <w:vAlign w:val="center"/>
          </w:tcPr>
          <w:p w14:paraId="00C81B67"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份额净值增长率①</w:t>
            </w:r>
          </w:p>
        </w:tc>
        <w:tc>
          <w:tcPr>
            <w:tcW w:w="1134" w:type="dxa"/>
            <w:tcBorders>
              <w:top w:val="single" w:sz="8" w:space="0" w:color="000000"/>
              <w:left w:val="single" w:sz="8" w:space="0" w:color="000000"/>
              <w:bottom w:val="single" w:sz="8" w:space="0" w:color="000000"/>
              <w:right w:val="single" w:sz="8" w:space="0" w:color="000000"/>
            </w:tcBorders>
            <w:vAlign w:val="center"/>
          </w:tcPr>
          <w:p w14:paraId="17CFDFB0"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份额净值增长率标准差②</w:t>
            </w:r>
          </w:p>
        </w:tc>
        <w:tc>
          <w:tcPr>
            <w:tcW w:w="1276" w:type="dxa"/>
            <w:tcBorders>
              <w:top w:val="single" w:sz="8" w:space="0" w:color="000000"/>
              <w:left w:val="single" w:sz="8" w:space="0" w:color="000000"/>
              <w:bottom w:val="single" w:sz="8" w:space="0" w:color="000000"/>
              <w:right w:val="single" w:sz="8" w:space="0" w:color="000000"/>
            </w:tcBorders>
            <w:vAlign w:val="center"/>
          </w:tcPr>
          <w:p w14:paraId="1CC52F4B"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业绩比较基准收益率③</w:t>
            </w:r>
          </w:p>
        </w:tc>
        <w:tc>
          <w:tcPr>
            <w:tcW w:w="1134" w:type="dxa"/>
            <w:tcBorders>
              <w:top w:val="single" w:sz="8" w:space="0" w:color="000000"/>
              <w:left w:val="single" w:sz="8" w:space="0" w:color="000000"/>
              <w:bottom w:val="single" w:sz="8" w:space="0" w:color="000000"/>
              <w:right w:val="single" w:sz="8" w:space="0" w:color="000000"/>
            </w:tcBorders>
            <w:vAlign w:val="center"/>
          </w:tcPr>
          <w:p w14:paraId="53B412BE"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业绩比较基准收益率标准差④</w:t>
            </w:r>
          </w:p>
        </w:tc>
        <w:tc>
          <w:tcPr>
            <w:tcW w:w="1275" w:type="dxa"/>
            <w:tcBorders>
              <w:top w:val="single" w:sz="8" w:space="0" w:color="000000"/>
              <w:left w:val="single" w:sz="8" w:space="0" w:color="000000"/>
              <w:bottom w:val="single" w:sz="8" w:space="0" w:color="000000"/>
              <w:right w:val="single" w:sz="8" w:space="0" w:color="000000"/>
            </w:tcBorders>
            <w:vAlign w:val="center"/>
          </w:tcPr>
          <w:p w14:paraId="3E3FF7F3"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①</w:t>
            </w:r>
            <w:r>
              <w:rPr>
                <w:rFonts w:asciiTheme="minorEastAsia" w:eastAsiaTheme="minorEastAsia" w:hAnsiTheme="minorEastAsia"/>
                <w:color w:val="000000"/>
              </w:rPr>
              <w:t>-③</w:t>
            </w:r>
          </w:p>
        </w:tc>
        <w:tc>
          <w:tcPr>
            <w:tcW w:w="1134" w:type="dxa"/>
            <w:tcBorders>
              <w:top w:val="single" w:sz="8" w:space="0" w:color="000000"/>
              <w:left w:val="single" w:sz="8" w:space="0" w:color="000000"/>
              <w:bottom w:val="single" w:sz="8" w:space="0" w:color="000000"/>
              <w:right w:val="single" w:sz="8" w:space="0" w:color="000000"/>
            </w:tcBorders>
            <w:vAlign w:val="center"/>
          </w:tcPr>
          <w:p w14:paraId="3717FD3E" w14:textId="77777777" w:rsidR="0046184B" w:rsidRDefault="00000000">
            <w:pPr>
              <w:pStyle w:val="biaogecenter"/>
              <w:wordWrap w:val="0"/>
              <w:rPr>
                <w:rFonts w:asciiTheme="minorEastAsia" w:eastAsiaTheme="minorEastAsia" w:hAnsiTheme="minorEastAsia" w:hint="eastAsia"/>
              </w:rPr>
            </w:pPr>
            <w:r>
              <w:rPr>
                <w:rFonts w:asciiTheme="minorEastAsia" w:eastAsiaTheme="minorEastAsia" w:hAnsiTheme="minorEastAsia" w:hint="eastAsia"/>
                <w:color w:val="000000"/>
              </w:rPr>
              <w:t>②</w:t>
            </w:r>
            <w:r>
              <w:rPr>
                <w:rFonts w:asciiTheme="minorEastAsia" w:eastAsiaTheme="minorEastAsia" w:hAnsiTheme="minorEastAsia"/>
                <w:color w:val="000000"/>
              </w:rPr>
              <w:t>-④</w:t>
            </w:r>
          </w:p>
        </w:tc>
      </w:tr>
      <w:tr w:rsidR="0046184B" w14:paraId="054F6B3D"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7786AA29" w14:textId="77777777" w:rsidR="0046184B" w:rsidRDefault="00000000">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lastRenderedPageBreak/>
              <w:t>2018.03.16~2018.12.31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043AD21F"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-19.10%</w:t>
            </w:r>
          </w:p>
        </w:tc>
        <w:tc>
          <w:tcPr>
            <w:tcW w:w="1134" w:type="dxa"/>
            <w:tcBorders>
              <w:top w:val="single" w:sz="8" w:space="0" w:color="000000"/>
              <w:left w:val="single" w:sz="8" w:space="0" w:color="000000"/>
              <w:bottom w:val="single" w:sz="8" w:space="0" w:color="000000"/>
              <w:right w:val="single" w:sz="8" w:space="0" w:color="000000"/>
            </w:tcBorders>
            <w:vAlign w:val="center"/>
          </w:tcPr>
          <w:p w14:paraId="5F9BA00A"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0.88%</w:t>
            </w:r>
          </w:p>
        </w:tc>
        <w:tc>
          <w:tcPr>
            <w:tcW w:w="1276" w:type="dxa"/>
            <w:tcBorders>
              <w:top w:val="single" w:sz="8" w:space="0" w:color="000000"/>
              <w:left w:val="single" w:sz="8" w:space="0" w:color="000000"/>
              <w:bottom w:val="single" w:sz="8" w:space="0" w:color="000000"/>
              <w:right w:val="single" w:sz="8" w:space="0" w:color="000000"/>
            </w:tcBorders>
            <w:vAlign w:val="center"/>
          </w:tcPr>
          <w:p w14:paraId="705782FC"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-17.32%</w:t>
            </w:r>
          </w:p>
        </w:tc>
        <w:tc>
          <w:tcPr>
            <w:tcW w:w="1134" w:type="dxa"/>
            <w:tcBorders>
              <w:top w:val="single" w:sz="8" w:space="0" w:color="000000"/>
              <w:left w:val="single" w:sz="8" w:space="0" w:color="000000"/>
              <w:bottom w:val="single" w:sz="8" w:space="0" w:color="000000"/>
              <w:right w:val="single" w:sz="8" w:space="0" w:color="000000"/>
            </w:tcBorders>
            <w:vAlign w:val="center"/>
          </w:tcPr>
          <w:p w14:paraId="6848F834"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0.96%</w:t>
            </w:r>
          </w:p>
        </w:tc>
        <w:tc>
          <w:tcPr>
            <w:tcW w:w="1275" w:type="dxa"/>
            <w:tcBorders>
              <w:top w:val="single" w:sz="8" w:space="0" w:color="000000"/>
              <w:left w:val="single" w:sz="8" w:space="0" w:color="000000"/>
              <w:bottom w:val="single" w:sz="8" w:space="0" w:color="000000"/>
              <w:right w:val="single" w:sz="8" w:space="0" w:color="000000"/>
            </w:tcBorders>
            <w:vAlign w:val="center"/>
          </w:tcPr>
          <w:p w14:paraId="5266CA11"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-1.78%</w:t>
            </w:r>
          </w:p>
        </w:tc>
        <w:tc>
          <w:tcPr>
            <w:tcW w:w="1134" w:type="dxa"/>
            <w:tcBorders>
              <w:top w:val="single" w:sz="8" w:space="0" w:color="000000"/>
              <w:left w:val="single" w:sz="8" w:space="0" w:color="000000"/>
              <w:bottom w:val="single" w:sz="8" w:space="0" w:color="000000"/>
              <w:right w:val="single" w:sz="8" w:space="0" w:color="000000"/>
            </w:tcBorders>
            <w:vAlign w:val="center"/>
          </w:tcPr>
          <w:p w14:paraId="4C62CC96"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-0.08%</w:t>
            </w:r>
          </w:p>
        </w:tc>
      </w:tr>
      <w:tr w:rsidR="0046184B" w14:paraId="2BA817A1"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52D1C758" w14:textId="77777777" w:rsidR="0046184B" w:rsidRDefault="00000000">
            <w:pPr>
              <w:pStyle w:val="biaogeleft"/>
              <w:wordWrap w:val="0"/>
              <w:spacing w:line="360" w:lineRule="auto"/>
              <w:jc w:val="center"/>
              <w:rPr>
                <w:rFonts w:asciiTheme="minorEastAsia" w:eastAsiaTheme="minorEastAsia" w:hAnsiTheme="minorEastAsia" w:hint="eastAsia"/>
                <w:sz w:val="22"/>
                <w:szCs w:val="22"/>
              </w:rPr>
            </w:pPr>
            <w:r>
              <w:rPr>
                <w:rFonts w:asciiTheme="minorEastAsia" w:eastAsiaTheme="minorEastAsia" w:hAnsiTheme="minorEastAsia" w:hint="eastAsia"/>
                <w:color w:val="000000"/>
                <w:sz w:val="22"/>
                <w:szCs w:val="22"/>
              </w:rPr>
              <w:t>2019.01.01~2019.12.31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54D9600C"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34.05%</w:t>
            </w:r>
          </w:p>
        </w:tc>
        <w:tc>
          <w:tcPr>
            <w:tcW w:w="1134" w:type="dxa"/>
            <w:tcBorders>
              <w:top w:val="single" w:sz="8" w:space="0" w:color="000000"/>
              <w:left w:val="single" w:sz="8" w:space="0" w:color="000000"/>
              <w:bottom w:val="single" w:sz="8" w:space="0" w:color="000000"/>
              <w:right w:val="single" w:sz="8" w:space="0" w:color="000000"/>
            </w:tcBorders>
            <w:vAlign w:val="center"/>
          </w:tcPr>
          <w:p w14:paraId="32468779"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1.32%</w:t>
            </w:r>
          </w:p>
        </w:tc>
        <w:tc>
          <w:tcPr>
            <w:tcW w:w="1276" w:type="dxa"/>
            <w:tcBorders>
              <w:top w:val="single" w:sz="8" w:space="0" w:color="000000"/>
              <w:left w:val="single" w:sz="8" w:space="0" w:color="000000"/>
              <w:bottom w:val="single" w:sz="8" w:space="0" w:color="000000"/>
              <w:right w:val="single" w:sz="8" w:space="0" w:color="000000"/>
            </w:tcBorders>
            <w:vAlign w:val="center"/>
          </w:tcPr>
          <w:p w14:paraId="56C80200"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26.39%</w:t>
            </w:r>
          </w:p>
        </w:tc>
        <w:tc>
          <w:tcPr>
            <w:tcW w:w="1134" w:type="dxa"/>
            <w:tcBorders>
              <w:top w:val="single" w:sz="8" w:space="0" w:color="000000"/>
              <w:left w:val="single" w:sz="8" w:space="0" w:color="000000"/>
              <w:bottom w:val="single" w:sz="8" w:space="0" w:color="000000"/>
              <w:right w:val="single" w:sz="8" w:space="0" w:color="000000"/>
            </w:tcBorders>
            <w:vAlign w:val="center"/>
          </w:tcPr>
          <w:p w14:paraId="52019A0F"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0.87%</w:t>
            </w:r>
          </w:p>
        </w:tc>
        <w:tc>
          <w:tcPr>
            <w:tcW w:w="1275" w:type="dxa"/>
            <w:tcBorders>
              <w:top w:val="single" w:sz="8" w:space="0" w:color="000000"/>
              <w:left w:val="single" w:sz="8" w:space="0" w:color="000000"/>
              <w:bottom w:val="single" w:sz="8" w:space="0" w:color="000000"/>
              <w:right w:val="single" w:sz="8" w:space="0" w:color="000000"/>
            </w:tcBorders>
            <w:vAlign w:val="center"/>
          </w:tcPr>
          <w:p w14:paraId="2280060C"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7.66%</w:t>
            </w:r>
          </w:p>
        </w:tc>
        <w:tc>
          <w:tcPr>
            <w:tcW w:w="1134" w:type="dxa"/>
            <w:tcBorders>
              <w:top w:val="single" w:sz="8" w:space="0" w:color="000000"/>
              <w:left w:val="single" w:sz="8" w:space="0" w:color="000000"/>
              <w:bottom w:val="single" w:sz="8" w:space="0" w:color="000000"/>
              <w:right w:val="single" w:sz="8" w:space="0" w:color="000000"/>
            </w:tcBorders>
            <w:vAlign w:val="center"/>
          </w:tcPr>
          <w:p w14:paraId="2474B09C"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0.45%</w:t>
            </w:r>
          </w:p>
        </w:tc>
      </w:tr>
      <w:tr w:rsidR="0046184B" w14:paraId="57DA1D07"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6A9F55D9" w14:textId="77777777" w:rsidR="0046184B" w:rsidRDefault="00000000">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2020.01.01~2020.12.31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7DAD6847"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87.60%</w:t>
            </w:r>
          </w:p>
        </w:tc>
        <w:tc>
          <w:tcPr>
            <w:tcW w:w="1134" w:type="dxa"/>
            <w:tcBorders>
              <w:top w:val="single" w:sz="8" w:space="0" w:color="000000"/>
              <w:left w:val="single" w:sz="8" w:space="0" w:color="000000"/>
              <w:bottom w:val="single" w:sz="8" w:space="0" w:color="000000"/>
              <w:right w:val="single" w:sz="8" w:space="0" w:color="000000"/>
            </w:tcBorders>
            <w:vAlign w:val="center"/>
          </w:tcPr>
          <w:p w14:paraId="00867511"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1.48%</w:t>
            </w:r>
          </w:p>
        </w:tc>
        <w:tc>
          <w:tcPr>
            <w:tcW w:w="1276" w:type="dxa"/>
            <w:tcBorders>
              <w:top w:val="single" w:sz="8" w:space="0" w:color="000000"/>
              <w:left w:val="single" w:sz="8" w:space="0" w:color="000000"/>
              <w:bottom w:val="single" w:sz="8" w:space="0" w:color="000000"/>
              <w:right w:val="single" w:sz="8" w:space="0" w:color="000000"/>
            </w:tcBorders>
            <w:vAlign w:val="center"/>
          </w:tcPr>
          <w:p w14:paraId="4145B7A9"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20.09%</w:t>
            </w:r>
          </w:p>
        </w:tc>
        <w:tc>
          <w:tcPr>
            <w:tcW w:w="1134" w:type="dxa"/>
            <w:tcBorders>
              <w:top w:val="single" w:sz="8" w:space="0" w:color="000000"/>
              <w:left w:val="single" w:sz="8" w:space="0" w:color="000000"/>
              <w:bottom w:val="single" w:sz="8" w:space="0" w:color="000000"/>
              <w:right w:val="single" w:sz="8" w:space="0" w:color="000000"/>
            </w:tcBorders>
            <w:vAlign w:val="center"/>
          </w:tcPr>
          <w:p w14:paraId="2AA3A7DD"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1.00%</w:t>
            </w:r>
          </w:p>
        </w:tc>
        <w:tc>
          <w:tcPr>
            <w:tcW w:w="1275" w:type="dxa"/>
            <w:tcBorders>
              <w:top w:val="single" w:sz="8" w:space="0" w:color="000000"/>
              <w:left w:val="single" w:sz="8" w:space="0" w:color="000000"/>
              <w:bottom w:val="single" w:sz="8" w:space="0" w:color="000000"/>
              <w:right w:val="single" w:sz="8" w:space="0" w:color="000000"/>
            </w:tcBorders>
            <w:vAlign w:val="center"/>
          </w:tcPr>
          <w:p w14:paraId="636B8394"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67.51%</w:t>
            </w:r>
          </w:p>
        </w:tc>
        <w:tc>
          <w:tcPr>
            <w:tcW w:w="1134" w:type="dxa"/>
            <w:tcBorders>
              <w:top w:val="single" w:sz="8" w:space="0" w:color="000000"/>
              <w:left w:val="single" w:sz="8" w:space="0" w:color="000000"/>
              <w:bottom w:val="single" w:sz="8" w:space="0" w:color="000000"/>
              <w:right w:val="single" w:sz="8" w:space="0" w:color="000000"/>
            </w:tcBorders>
            <w:vAlign w:val="center"/>
          </w:tcPr>
          <w:p w14:paraId="2EA3AABF"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0.48%</w:t>
            </w:r>
          </w:p>
        </w:tc>
      </w:tr>
      <w:tr w:rsidR="0046184B" w14:paraId="1334F31F"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659885DC" w14:textId="77777777" w:rsidR="0046184B" w:rsidRDefault="00000000">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2021.01.01~2021.12.31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27542D7A"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8.34%</w:t>
            </w:r>
          </w:p>
        </w:tc>
        <w:tc>
          <w:tcPr>
            <w:tcW w:w="1134" w:type="dxa"/>
            <w:tcBorders>
              <w:top w:val="single" w:sz="8" w:space="0" w:color="000000"/>
              <w:left w:val="single" w:sz="8" w:space="0" w:color="000000"/>
              <w:bottom w:val="single" w:sz="8" w:space="0" w:color="000000"/>
              <w:right w:val="single" w:sz="8" w:space="0" w:color="000000"/>
            </w:tcBorders>
            <w:vAlign w:val="center"/>
          </w:tcPr>
          <w:p w14:paraId="63617204"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1.28%</w:t>
            </w:r>
          </w:p>
        </w:tc>
        <w:tc>
          <w:tcPr>
            <w:tcW w:w="1276" w:type="dxa"/>
            <w:tcBorders>
              <w:top w:val="single" w:sz="8" w:space="0" w:color="000000"/>
              <w:left w:val="single" w:sz="8" w:space="0" w:color="000000"/>
              <w:bottom w:val="single" w:sz="8" w:space="0" w:color="000000"/>
              <w:right w:val="single" w:sz="8" w:space="0" w:color="000000"/>
            </w:tcBorders>
            <w:vAlign w:val="center"/>
          </w:tcPr>
          <w:p w14:paraId="2C5FF558"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-1.72%</w:t>
            </w:r>
          </w:p>
        </w:tc>
        <w:tc>
          <w:tcPr>
            <w:tcW w:w="1134" w:type="dxa"/>
            <w:tcBorders>
              <w:top w:val="single" w:sz="8" w:space="0" w:color="000000"/>
              <w:left w:val="single" w:sz="8" w:space="0" w:color="000000"/>
              <w:bottom w:val="single" w:sz="8" w:space="0" w:color="000000"/>
              <w:right w:val="single" w:sz="8" w:space="0" w:color="000000"/>
            </w:tcBorders>
            <w:vAlign w:val="center"/>
          </w:tcPr>
          <w:p w14:paraId="78540E67"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0.82%</w:t>
            </w:r>
          </w:p>
        </w:tc>
        <w:tc>
          <w:tcPr>
            <w:tcW w:w="1275" w:type="dxa"/>
            <w:tcBorders>
              <w:top w:val="single" w:sz="8" w:space="0" w:color="000000"/>
              <w:left w:val="single" w:sz="8" w:space="0" w:color="000000"/>
              <w:bottom w:val="single" w:sz="8" w:space="0" w:color="000000"/>
              <w:right w:val="single" w:sz="8" w:space="0" w:color="000000"/>
            </w:tcBorders>
            <w:vAlign w:val="center"/>
          </w:tcPr>
          <w:p w14:paraId="4BB972AA"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10.06%</w:t>
            </w:r>
          </w:p>
        </w:tc>
        <w:tc>
          <w:tcPr>
            <w:tcW w:w="1134" w:type="dxa"/>
            <w:tcBorders>
              <w:top w:val="single" w:sz="8" w:space="0" w:color="000000"/>
              <w:left w:val="single" w:sz="8" w:space="0" w:color="000000"/>
              <w:bottom w:val="single" w:sz="8" w:space="0" w:color="000000"/>
              <w:right w:val="single" w:sz="8" w:space="0" w:color="000000"/>
            </w:tcBorders>
            <w:vAlign w:val="center"/>
          </w:tcPr>
          <w:p w14:paraId="2470B74E"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hint="eastAsia"/>
                <w:sz w:val="22"/>
                <w:szCs w:val="22"/>
              </w:rPr>
              <w:t>0.46%</w:t>
            </w:r>
          </w:p>
        </w:tc>
      </w:tr>
      <w:tr w:rsidR="0046184B" w14:paraId="15927FD2"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715FA02F" w14:textId="77777777" w:rsidR="0046184B" w:rsidRDefault="00000000">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2022.01.01~2022.12.31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7C91268D"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-9.12%</w:t>
            </w:r>
          </w:p>
        </w:tc>
        <w:tc>
          <w:tcPr>
            <w:tcW w:w="1134" w:type="dxa"/>
            <w:tcBorders>
              <w:top w:val="single" w:sz="8" w:space="0" w:color="000000"/>
              <w:left w:val="single" w:sz="8" w:space="0" w:color="000000"/>
              <w:bottom w:val="single" w:sz="8" w:space="0" w:color="000000"/>
              <w:right w:val="single" w:sz="8" w:space="0" w:color="000000"/>
            </w:tcBorders>
            <w:vAlign w:val="center"/>
          </w:tcPr>
          <w:p w14:paraId="6780FC9C"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1.17%</w:t>
            </w:r>
          </w:p>
        </w:tc>
        <w:tc>
          <w:tcPr>
            <w:tcW w:w="1276" w:type="dxa"/>
            <w:tcBorders>
              <w:top w:val="single" w:sz="8" w:space="0" w:color="000000"/>
              <w:left w:val="single" w:sz="8" w:space="0" w:color="000000"/>
              <w:bottom w:val="single" w:sz="8" w:space="0" w:color="000000"/>
              <w:right w:val="single" w:sz="8" w:space="0" w:color="000000"/>
            </w:tcBorders>
            <w:vAlign w:val="center"/>
          </w:tcPr>
          <w:p w14:paraId="5A67E395"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-14.45%</w:t>
            </w:r>
          </w:p>
        </w:tc>
        <w:tc>
          <w:tcPr>
            <w:tcW w:w="1134" w:type="dxa"/>
            <w:tcBorders>
              <w:top w:val="single" w:sz="8" w:space="0" w:color="000000"/>
              <w:left w:val="single" w:sz="8" w:space="0" w:color="000000"/>
              <w:bottom w:val="single" w:sz="8" w:space="0" w:color="000000"/>
              <w:right w:val="single" w:sz="8" w:space="0" w:color="000000"/>
            </w:tcBorders>
            <w:vAlign w:val="center"/>
          </w:tcPr>
          <w:p w14:paraId="5E92AF15"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0.90%</w:t>
            </w:r>
          </w:p>
        </w:tc>
        <w:tc>
          <w:tcPr>
            <w:tcW w:w="1275" w:type="dxa"/>
            <w:tcBorders>
              <w:top w:val="single" w:sz="8" w:space="0" w:color="000000"/>
              <w:left w:val="single" w:sz="8" w:space="0" w:color="000000"/>
              <w:bottom w:val="single" w:sz="8" w:space="0" w:color="000000"/>
              <w:right w:val="single" w:sz="8" w:space="0" w:color="000000"/>
            </w:tcBorders>
            <w:vAlign w:val="center"/>
          </w:tcPr>
          <w:p w14:paraId="3C539E4F"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5.33%</w:t>
            </w:r>
          </w:p>
        </w:tc>
        <w:tc>
          <w:tcPr>
            <w:tcW w:w="1134" w:type="dxa"/>
            <w:tcBorders>
              <w:top w:val="single" w:sz="8" w:space="0" w:color="000000"/>
              <w:left w:val="single" w:sz="8" w:space="0" w:color="000000"/>
              <w:bottom w:val="single" w:sz="8" w:space="0" w:color="000000"/>
              <w:right w:val="single" w:sz="8" w:space="0" w:color="000000"/>
            </w:tcBorders>
            <w:vAlign w:val="center"/>
          </w:tcPr>
          <w:p w14:paraId="6EED02D4"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0.27%</w:t>
            </w:r>
          </w:p>
        </w:tc>
      </w:tr>
      <w:tr w:rsidR="0046184B" w14:paraId="2AF2E1F3"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303E580F" w14:textId="77777777" w:rsidR="0046184B" w:rsidRDefault="00000000">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2023.01.01~2023.12.31</w:t>
            </w:r>
          </w:p>
        </w:tc>
        <w:tc>
          <w:tcPr>
            <w:tcW w:w="1134" w:type="dxa"/>
            <w:tcBorders>
              <w:top w:val="single" w:sz="8" w:space="0" w:color="000000"/>
              <w:left w:val="single" w:sz="8" w:space="0" w:color="000000"/>
              <w:bottom w:val="single" w:sz="8" w:space="0" w:color="000000"/>
              <w:right w:val="single" w:sz="8" w:space="0" w:color="000000"/>
            </w:tcBorders>
            <w:vAlign w:val="center"/>
          </w:tcPr>
          <w:p w14:paraId="62C4F6D6"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-13.66%</w:t>
            </w:r>
          </w:p>
        </w:tc>
        <w:tc>
          <w:tcPr>
            <w:tcW w:w="1134" w:type="dxa"/>
            <w:tcBorders>
              <w:top w:val="single" w:sz="8" w:space="0" w:color="000000"/>
              <w:left w:val="single" w:sz="8" w:space="0" w:color="000000"/>
              <w:bottom w:val="single" w:sz="8" w:space="0" w:color="000000"/>
              <w:right w:val="single" w:sz="8" w:space="0" w:color="000000"/>
            </w:tcBorders>
            <w:vAlign w:val="center"/>
          </w:tcPr>
          <w:p w14:paraId="393E6335"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0.83%</w:t>
            </w:r>
          </w:p>
        </w:tc>
        <w:tc>
          <w:tcPr>
            <w:tcW w:w="1276" w:type="dxa"/>
            <w:tcBorders>
              <w:top w:val="single" w:sz="8" w:space="0" w:color="000000"/>
              <w:left w:val="single" w:sz="8" w:space="0" w:color="000000"/>
              <w:bottom w:val="single" w:sz="8" w:space="0" w:color="000000"/>
              <w:right w:val="single" w:sz="8" w:space="0" w:color="000000"/>
            </w:tcBorders>
            <w:vAlign w:val="center"/>
          </w:tcPr>
          <w:p w14:paraId="2970BE93"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-6.52%</w:t>
            </w:r>
          </w:p>
        </w:tc>
        <w:tc>
          <w:tcPr>
            <w:tcW w:w="1134" w:type="dxa"/>
            <w:tcBorders>
              <w:top w:val="single" w:sz="8" w:space="0" w:color="000000"/>
              <w:left w:val="single" w:sz="8" w:space="0" w:color="000000"/>
              <w:bottom w:val="single" w:sz="8" w:space="0" w:color="000000"/>
              <w:right w:val="single" w:sz="8" w:space="0" w:color="000000"/>
            </w:tcBorders>
            <w:vAlign w:val="center"/>
          </w:tcPr>
          <w:p w14:paraId="654BCA78"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0.59%</w:t>
            </w:r>
          </w:p>
        </w:tc>
        <w:tc>
          <w:tcPr>
            <w:tcW w:w="1275" w:type="dxa"/>
            <w:tcBorders>
              <w:top w:val="single" w:sz="8" w:space="0" w:color="000000"/>
              <w:left w:val="single" w:sz="8" w:space="0" w:color="000000"/>
              <w:bottom w:val="single" w:sz="8" w:space="0" w:color="000000"/>
              <w:right w:val="single" w:sz="8" w:space="0" w:color="000000"/>
            </w:tcBorders>
            <w:vAlign w:val="center"/>
          </w:tcPr>
          <w:p w14:paraId="27A338DC"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-7.14%</w:t>
            </w:r>
          </w:p>
        </w:tc>
        <w:tc>
          <w:tcPr>
            <w:tcW w:w="1134" w:type="dxa"/>
            <w:tcBorders>
              <w:top w:val="single" w:sz="8" w:space="0" w:color="000000"/>
              <w:left w:val="single" w:sz="8" w:space="0" w:color="000000"/>
              <w:bottom w:val="single" w:sz="8" w:space="0" w:color="000000"/>
              <w:right w:val="single" w:sz="8" w:space="0" w:color="000000"/>
            </w:tcBorders>
            <w:vAlign w:val="center"/>
          </w:tcPr>
          <w:p w14:paraId="3BC90C8A"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0.24%</w:t>
            </w:r>
          </w:p>
        </w:tc>
      </w:tr>
      <w:tr w:rsidR="0046184B" w14:paraId="37EAFF7B"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42D2FC9F" w14:textId="77777777" w:rsidR="0046184B" w:rsidRDefault="00000000">
            <w:pPr>
              <w:pStyle w:val="biaogeleft"/>
              <w:wordWrap w:val="0"/>
              <w:spacing w:line="360" w:lineRule="auto"/>
              <w:jc w:val="center"/>
              <w:rPr>
                <w:rFonts w:asciiTheme="minorEastAsia" w:eastAsiaTheme="minorEastAsia" w:hAnsiTheme="minorEastAsia" w:hint="eastAsia"/>
                <w:color w:val="000000"/>
                <w:sz w:val="22"/>
                <w:szCs w:val="22"/>
              </w:rPr>
            </w:pPr>
            <w:r>
              <w:rPr>
                <w:rFonts w:asciiTheme="minorEastAsia" w:eastAsiaTheme="minorEastAsia" w:hAnsiTheme="minorEastAsia" w:hint="eastAsia"/>
                <w:color w:val="000000"/>
                <w:sz w:val="22"/>
                <w:szCs w:val="22"/>
              </w:rPr>
              <w:t>2024.01.01~2024.03.31</w:t>
            </w:r>
          </w:p>
        </w:tc>
        <w:tc>
          <w:tcPr>
            <w:tcW w:w="1134" w:type="dxa"/>
            <w:tcBorders>
              <w:top w:val="single" w:sz="8" w:space="0" w:color="000000"/>
              <w:left w:val="single" w:sz="8" w:space="0" w:color="000000"/>
              <w:bottom w:val="single" w:sz="8" w:space="0" w:color="000000"/>
              <w:right w:val="single" w:sz="8" w:space="0" w:color="000000"/>
            </w:tcBorders>
            <w:vAlign w:val="center"/>
          </w:tcPr>
          <w:p w14:paraId="33323555"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1.01%</w:t>
            </w:r>
          </w:p>
        </w:tc>
        <w:tc>
          <w:tcPr>
            <w:tcW w:w="1134" w:type="dxa"/>
            <w:tcBorders>
              <w:top w:val="single" w:sz="8" w:space="0" w:color="000000"/>
              <w:left w:val="single" w:sz="8" w:space="0" w:color="000000"/>
              <w:bottom w:val="single" w:sz="8" w:space="0" w:color="000000"/>
              <w:right w:val="single" w:sz="8" w:space="0" w:color="000000"/>
            </w:tcBorders>
            <w:vAlign w:val="center"/>
          </w:tcPr>
          <w:p w14:paraId="2834C1FE"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1.07%</w:t>
            </w:r>
          </w:p>
        </w:tc>
        <w:tc>
          <w:tcPr>
            <w:tcW w:w="1276" w:type="dxa"/>
            <w:tcBorders>
              <w:top w:val="single" w:sz="8" w:space="0" w:color="000000"/>
              <w:left w:val="single" w:sz="8" w:space="0" w:color="000000"/>
              <w:bottom w:val="single" w:sz="8" w:space="0" w:color="000000"/>
              <w:right w:val="single" w:sz="8" w:space="0" w:color="000000"/>
            </w:tcBorders>
            <w:vAlign w:val="center"/>
          </w:tcPr>
          <w:p w14:paraId="0B02E506"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2.94%</w:t>
            </w:r>
          </w:p>
        </w:tc>
        <w:tc>
          <w:tcPr>
            <w:tcW w:w="1134" w:type="dxa"/>
            <w:tcBorders>
              <w:top w:val="single" w:sz="8" w:space="0" w:color="000000"/>
              <w:left w:val="single" w:sz="8" w:space="0" w:color="000000"/>
              <w:bottom w:val="single" w:sz="8" w:space="0" w:color="000000"/>
              <w:right w:val="single" w:sz="8" w:space="0" w:color="000000"/>
            </w:tcBorders>
            <w:vAlign w:val="center"/>
          </w:tcPr>
          <w:p w14:paraId="0918D00E"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0.72%</w:t>
            </w:r>
          </w:p>
        </w:tc>
        <w:tc>
          <w:tcPr>
            <w:tcW w:w="1275" w:type="dxa"/>
            <w:tcBorders>
              <w:top w:val="single" w:sz="8" w:space="0" w:color="000000"/>
              <w:left w:val="single" w:sz="8" w:space="0" w:color="000000"/>
              <w:bottom w:val="single" w:sz="8" w:space="0" w:color="000000"/>
              <w:right w:val="single" w:sz="8" w:space="0" w:color="000000"/>
            </w:tcBorders>
            <w:vAlign w:val="center"/>
          </w:tcPr>
          <w:p w14:paraId="17F25765"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-1.93%</w:t>
            </w:r>
          </w:p>
        </w:tc>
        <w:tc>
          <w:tcPr>
            <w:tcW w:w="1134" w:type="dxa"/>
            <w:tcBorders>
              <w:top w:val="single" w:sz="8" w:space="0" w:color="000000"/>
              <w:left w:val="single" w:sz="8" w:space="0" w:color="000000"/>
              <w:bottom w:val="single" w:sz="8" w:space="0" w:color="000000"/>
              <w:right w:val="single" w:sz="8" w:space="0" w:color="000000"/>
            </w:tcBorders>
            <w:vAlign w:val="center"/>
          </w:tcPr>
          <w:p w14:paraId="470F7AE8"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0.35%</w:t>
            </w:r>
          </w:p>
        </w:tc>
      </w:tr>
      <w:tr w:rsidR="0046184B" w14:paraId="1190F47A" w14:textId="77777777">
        <w:trPr>
          <w:trHeight w:val="20"/>
          <w:jc w:val="center"/>
        </w:trPr>
        <w:tc>
          <w:tcPr>
            <w:tcW w:w="2860" w:type="dxa"/>
            <w:tcBorders>
              <w:top w:val="single" w:sz="8" w:space="0" w:color="000000"/>
              <w:left w:val="single" w:sz="8" w:space="0" w:color="000000"/>
              <w:bottom w:val="single" w:sz="8" w:space="0" w:color="000000"/>
              <w:right w:val="single" w:sz="8" w:space="0" w:color="000000"/>
            </w:tcBorders>
            <w:vAlign w:val="center"/>
          </w:tcPr>
          <w:p w14:paraId="4D57EC6C" w14:textId="77777777" w:rsidR="0046184B" w:rsidRDefault="00000000">
            <w:pPr>
              <w:pStyle w:val="biaogeleft"/>
              <w:wordWrap w:val="0"/>
              <w:spacing w:line="360" w:lineRule="auto"/>
              <w:jc w:val="center"/>
              <w:rPr>
                <w:rFonts w:asciiTheme="minorEastAsia" w:eastAsiaTheme="minorEastAsia" w:hAnsiTheme="minorEastAsia" w:hint="eastAsia"/>
                <w:sz w:val="22"/>
                <w:szCs w:val="22"/>
              </w:rPr>
            </w:pPr>
            <w:r>
              <w:rPr>
                <w:rFonts w:asciiTheme="minorEastAsia" w:eastAsiaTheme="minorEastAsia" w:hAnsiTheme="minorEastAsia" w:hint="eastAsia"/>
                <w:sz w:val="22"/>
                <w:szCs w:val="22"/>
              </w:rPr>
              <w:t>自基金合同生效起至今</w:t>
            </w:r>
          </w:p>
        </w:tc>
        <w:tc>
          <w:tcPr>
            <w:tcW w:w="1134" w:type="dxa"/>
            <w:tcBorders>
              <w:top w:val="single" w:sz="8" w:space="0" w:color="000000"/>
              <w:left w:val="single" w:sz="8" w:space="0" w:color="000000"/>
              <w:bottom w:val="single" w:sz="8" w:space="0" w:color="000000"/>
              <w:right w:val="single" w:sz="8" w:space="0" w:color="000000"/>
            </w:tcBorders>
            <w:vAlign w:val="center"/>
          </w:tcPr>
          <w:p w14:paraId="4115C3CD"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74.70%</w:t>
            </w:r>
          </w:p>
        </w:tc>
        <w:tc>
          <w:tcPr>
            <w:tcW w:w="1134" w:type="dxa"/>
            <w:tcBorders>
              <w:top w:val="single" w:sz="8" w:space="0" w:color="000000"/>
              <w:left w:val="single" w:sz="8" w:space="0" w:color="000000"/>
              <w:bottom w:val="single" w:sz="8" w:space="0" w:color="000000"/>
              <w:right w:val="single" w:sz="8" w:space="0" w:color="000000"/>
            </w:tcBorders>
            <w:vAlign w:val="center"/>
          </w:tcPr>
          <w:p w14:paraId="7B055DC5"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1.19%</w:t>
            </w:r>
          </w:p>
        </w:tc>
        <w:tc>
          <w:tcPr>
            <w:tcW w:w="1276" w:type="dxa"/>
            <w:tcBorders>
              <w:top w:val="single" w:sz="8" w:space="0" w:color="000000"/>
              <w:left w:val="single" w:sz="8" w:space="0" w:color="000000"/>
              <w:bottom w:val="single" w:sz="8" w:space="0" w:color="000000"/>
              <w:right w:val="single" w:sz="8" w:space="0" w:color="000000"/>
            </w:tcBorders>
            <w:vAlign w:val="center"/>
          </w:tcPr>
          <w:p w14:paraId="17EB47A7"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1.54%</w:t>
            </w:r>
          </w:p>
        </w:tc>
        <w:tc>
          <w:tcPr>
            <w:tcW w:w="1134" w:type="dxa"/>
            <w:tcBorders>
              <w:top w:val="single" w:sz="8" w:space="0" w:color="000000"/>
              <w:left w:val="single" w:sz="8" w:space="0" w:color="000000"/>
              <w:bottom w:val="single" w:sz="8" w:space="0" w:color="000000"/>
              <w:right w:val="single" w:sz="8" w:space="0" w:color="000000"/>
            </w:tcBorders>
            <w:vAlign w:val="center"/>
          </w:tcPr>
          <w:p w14:paraId="38289986"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0.86%</w:t>
            </w:r>
          </w:p>
        </w:tc>
        <w:tc>
          <w:tcPr>
            <w:tcW w:w="1275" w:type="dxa"/>
            <w:tcBorders>
              <w:top w:val="single" w:sz="8" w:space="0" w:color="000000"/>
              <w:left w:val="single" w:sz="8" w:space="0" w:color="000000"/>
              <w:bottom w:val="single" w:sz="8" w:space="0" w:color="000000"/>
              <w:right w:val="single" w:sz="8" w:space="0" w:color="000000"/>
            </w:tcBorders>
            <w:vAlign w:val="center"/>
          </w:tcPr>
          <w:p w14:paraId="08968AF1"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73.16%</w:t>
            </w:r>
          </w:p>
        </w:tc>
        <w:tc>
          <w:tcPr>
            <w:tcW w:w="1134" w:type="dxa"/>
            <w:tcBorders>
              <w:top w:val="single" w:sz="8" w:space="0" w:color="000000"/>
              <w:left w:val="single" w:sz="8" w:space="0" w:color="000000"/>
              <w:bottom w:val="single" w:sz="8" w:space="0" w:color="000000"/>
              <w:right w:val="single" w:sz="8" w:space="0" w:color="000000"/>
            </w:tcBorders>
            <w:vAlign w:val="center"/>
          </w:tcPr>
          <w:p w14:paraId="125CEA30" w14:textId="77777777" w:rsidR="0046184B" w:rsidRDefault="00000000">
            <w:pPr>
              <w:pStyle w:val="biaogecenter"/>
              <w:wordWrap w:val="0"/>
              <w:rPr>
                <w:rFonts w:asciiTheme="minorEastAsia" w:eastAsiaTheme="minorEastAsia" w:hAnsiTheme="minorEastAsia" w:hint="eastAsia"/>
                <w:sz w:val="22"/>
                <w:szCs w:val="22"/>
              </w:rPr>
            </w:pPr>
            <w:r>
              <w:rPr>
                <w:rFonts w:asciiTheme="minorEastAsia" w:eastAsiaTheme="minorEastAsia" w:hAnsiTheme="minorEastAsia"/>
                <w:sz w:val="22"/>
                <w:szCs w:val="22"/>
              </w:rPr>
              <w:t>0.33%</w:t>
            </w:r>
          </w:p>
        </w:tc>
      </w:tr>
    </w:tbl>
    <w:p w14:paraId="00FFB947"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hint="eastAsia"/>
          <w:bCs/>
          <w:sz w:val="24"/>
          <w:szCs w:val="24"/>
        </w:rPr>
        <w:t>注：本基金的业绩比较基准为：中</w:t>
      </w:r>
      <w:proofErr w:type="gramStart"/>
      <w:r>
        <w:rPr>
          <w:rFonts w:asciiTheme="minorEastAsia" w:hAnsiTheme="minorEastAsia" w:hint="eastAsia"/>
          <w:bCs/>
          <w:sz w:val="24"/>
          <w:szCs w:val="24"/>
        </w:rPr>
        <w:t>证全债指数</w:t>
      </w:r>
      <w:proofErr w:type="gramEnd"/>
      <w:r>
        <w:rPr>
          <w:rFonts w:asciiTheme="minorEastAsia" w:hAnsiTheme="minorEastAsia" w:hint="eastAsia"/>
          <w:bCs/>
          <w:sz w:val="24"/>
          <w:szCs w:val="24"/>
        </w:rPr>
        <w:t>收益率×</w:t>
      </w:r>
      <w:r>
        <w:rPr>
          <w:rFonts w:asciiTheme="minorEastAsia" w:hAnsiTheme="minorEastAsia"/>
          <w:bCs/>
          <w:sz w:val="24"/>
          <w:szCs w:val="24"/>
        </w:rPr>
        <w:t xml:space="preserve">30%+沪深300指数收益率×70%。 </w:t>
      </w:r>
    </w:p>
    <w:p w14:paraId="6D737ACF"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t xml:space="preserve">2、 </w:t>
      </w:r>
      <w:r>
        <w:rPr>
          <w:rFonts w:asciiTheme="minorEastAsia" w:hAnsiTheme="minorEastAsia" w:hint="eastAsia"/>
          <w:bCs/>
          <w:sz w:val="24"/>
          <w:szCs w:val="24"/>
        </w:rPr>
        <w:t>自基金合同生效以来基金份额累计净值增长率变动及其与同期业绩比较基准收益率变动的比较</w:t>
      </w:r>
    </w:p>
    <w:p w14:paraId="023B42E0" w14:textId="77777777" w:rsidR="0046184B" w:rsidRDefault="00000000">
      <w:pPr>
        <w:autoSpaceDE w:val="0"/>
        <w:autoSpaceDN w:val="0"/>
        <w:spacing w:line="360" w:lineRule="auto"/>
        <w:textAlignment w:val="bottom"/>
        <w:rPr>
          <w:rFonts w:asciiTheme="minorEastAsia" w:hAnsiTheme="minorEastAsia" w:hint="eastAsia"/>
          <w:bCs/>
          <w:sz w:val="24"/>
          <w:szCs w:val="24"/>
        </w:rPr>
      </w:pPr>
      <w:r>
        <w:rPr>
          <w:rFonts w:hAnsi="等线"/>
          <w:noProof/>
          <w:color w:val="000000"/>
        </w:rPr>
        <w:drawing>
          <wp:inline distT="0" distB="0" distL="0" distR="0">
            <wp:extent cx="5274310" cy="342646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5274310" cy="3426460"/>
                    </a:xfrm>
                    <a:prstGeom prst="rect">
                      <a:avLst/>
                    </a:prstGeom>
                    <a:noFill/>
                    <a:ln>
                      <a:noFill/>
                    </a:ln>
                  </pic:spPr>
                </pic:pic>
              </a:graphicData>
            </a:graphic>
          </wp:inline>
        </w:drawing>
      </w:r>
      <w:r>
        <w:rPr>
          <w:rFonts w:hAnsi="等线"/>
          <w:noProof/>
          <w:color w:val="000000"/>
        </w:rPr>
        <w:lastRenderedPageBreak/>
        <w:drawing>
          <wp:inline distT="0" distB="0" distL="0" distR="0">
            <wp:extent cx="5274310" cy="3426460"/>
            <wp:effectExtent l="0" t="0" r="2540"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5274310" cy="3426460"/>
                    </a:xfrm>
                    <a:prstGeom prst="rect">
                      <a:avLst/>
                    </a:prstGeom>
                    <a:noFill/>
                    <a:ln>
                      <a:noFill/>
                    </a:ln>
                  </pic:spPr>
                </pic:pic>
              </a:graphicData>
            </a:graphic>
          </wp:inline>
        </w:drawing>
      </w:r>
    </w:p>
    <w:p w14:paraId="36814B24" w14:textId="77777777" w:rsidR="0046184B" w:rsidRDefault="00000000">
      <w:pPr>
        <w:autoSpaceDE w:val="0"/>
        <w:autoSpaceDN w:val="0"/>
        <w:spacing w:line="360" w:lineRule="auto"/>
        <w:ind w:firstLineChars="200" w:firstLine="480"/>
        <w:textAlignment w:val="bottom"/>
        <w:rPr>
          <w:rFonts w:asciiTheme="minorEastAsia" w:hAnsiTheme="minorEastAsia" w:hint="eastAsia"/>
          <w:bCs/>
          <w:sz w:val="24"/>
          <w:szCs w:val="24"/>
        </w:rPr>
      </w:pPr>
      <w:r>
        <w:rPr>
          <w:rFonts w:asciiTheme="minorEastAsia" w:hAnsiTheme="minorEastAsia"/>
          <w:bCs/>
          <w:sz w:val="24"/>
          <w:szCs w:val="24"/>
        </w:rPr>
        <w:br w:type="page"/>
      </w:r>
    </w:p>
    <w:p w14:paraId="192C6DAA" w14:textId="77777777" w:rsidR="0046184B" w:rsidRDefault="00000000">
      <w:pPr>
        <w:pStyle w:val="1"/>
        <w:jc w:val="center"/>
        <w:rPr>
          <w:sz w:val="30"/>
          <w:szCs w:val="30"/>
        </w:rPr>
      </w:pPr>
      <w:bookmarkStart w:id="208" w:name="_Toc37770213"/>
      <w:bookmarkStart w:id="209" w:name="_Toc416264546"/>
      <w:bookmarkStart w:id="210" w:name="_Toc16789"/>
      <w:bookmarkStart w:id="211" w:name="_Toc22674"/>
      <w:bookmarkStart w:id="212" w:name="_Toc26084"/>
      <w:bookmarkStart w:id="213" w:name="_Toc98560357"/>
      <w:bookmarkStart w:id="214" w:name="_Toc2255"/>
      <w:bookmarkStart w:id="215" w:name="_Toc19520"/>
      <w:bookmarkStart w:id="216" w:name="_Toc141703891"/>
      <w:bookmarkStart w:id="217" w:name="_Toc31469"/>
      <w:bookmarkStart w:id="218" w:name="_Toc123051457"/>
      <w:bookmarkStart w:id="219" w:name="_Toc26383"/>
      <w:bookmarkStart w:id="220" w:name="_Toc352229757"/>
      <w:bookmarkStart w:id="221" w:name="_Toc123112239"/>
      <w:bookmarkStart w:id="222" w:name="_Toc21886"/>
      <w:bookmarkStart w:id="223" w:name="_Toc79392624"/>
      <w:bookmarkStart w:id="224" w:name="_Toc3244"/>
      <w:bookmarkStart w:id="225" w:name="_Toc123102458"/>
      <w:bookmarkStart w:id="226" w:name="_Toc14725"/>
      <w:bookmarkStart w:id="227" w:name="_Toc48649710"/>
      <w:bookmarkStart w:id="228" w:name="_Toc26152"/>
      <w:bookmarkStart w:id="229" w:name="_Toc139991741"/>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r>
        <w:rPr>
          <w:rFonts w:hint="eastAsia"/>
          <w:sz w:val="30"/>
          <w:szCs w:val="30"/>
        </w:rPr>
        <w:lastRenderedPageBreak/>
        <w:t>第十部分</w:t>
      </w:r>
      <w:r>
        <w:rPr>
          <w:sz w:val="30"/>
          <w:szCs w:val="30"/>
        </w:rPr>
        <w:t xml:space="preserve">  </w:t>
      </w:r>
      <w:r>
        <w:rPr>
          <w:rFonts w:hint="eastAsia"/>
          <w:sz w:val="30"/>
          <w:szCs w:val="30"/>
        </w:rPr>
        <w:t>基金的财产</w:t>
      </w:r>
      <w:bookmarkEnd w:id="208"/>
      <w:bookmarkEnd w:id="209"/>
    </w:p>
    <w:p w14:paraId="5877C51C" w14:textId="77777777" w:rsidR="0046184B" w:rsidRDefault="00000000">
      <w:pPr>
        <w:autoSpaceDE w:val="0"/>
        <w:autoSpaceDN w:val="0"/>
        <w:spacing w:line="360" w:lineRule="auto"/>
        <w:ind w:firstLineChars="200" w:firstLine="480"/>
        <w:textAlignment w:val="bottom"/>
        <w:rPr>
          <w:bCs/>
          <w:sz w:val="24"/>
        </w:rPr>
      </w:pPr>
      <w:bookmarkStart w:id="230" w:name="_Toc263092319"/>
      <w:bookmarkStart w:id="231" w:name="_Toc214873600"/>
      <w:bookmarkStart w:id="232" w:name="_Toc416264547"/>
      <w:bookmarkStart w:id="233" w:name="_Toc5477"/>
      <w:bookmarkStart w:id="234" w:name="_Toc2981"/>
      <w:bookmarkStart w:id="235" w:name="_Toc578"/>
      <w:bookmarkStart w:id="236" w:name="_Toc801"/>
      <w:bookmarkStart w:id="237" w:name="_Toc3872"/>
      <w:bookmarkStart w:id="238" w:name="_Toc16437"/>
      <w:bookmarkStart w:id="239" w:name="_Toc22538"/>
      <w:bookmarkStart w:id="240" w:name="_Toc21917"/>
      <w:bookmarkStart w:id="241" w:name="_Toc352229758"/>
      <w:bookmarkStart w:id="242" w:name="_Toc11395"/>
      <w:bookmarkStart w:id="243" w:name="_Toc11351"/>
      <w:bookmarkStart w:id="244" w:name="_Toc13343"/>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r>
        <w:rPr>
          <w:bCs/>
          <w:sz w:val="24"/>
        </w:rPr>
        <w:t>一、基金资产总值</w:t>
      </w:r>
    </w:p>
    <w:p w14:paraId="05D19F6A" w14:textId="77777777" w:rsidR="0046184B" w:rsidRDefault="00000000">
      <w:pPr>
        <w:autoSpaceDE w:val="0"/>
        <w:autoSpaceDN w:val="0"/>
        <w:spacing w:line="360" w:lineRule="auto"/>
        <w:ind w:firstLineChars="200" w:firstLine="480"/>
        <w:textAlignment w:val="bottom"/>
        <w:rPr>
          <w:bCs/>
          <w:sz w:val="24"/>
        </w:rPr>
      </w:pPr>
      <w:r>
        <w:rPr>
          <w:bCs/>
          <w:sz w:val="24"/>
        </w:rPr>
        <w:t>基金资产总值是指购买的各类证券及票据价值、银行存款本息和基金应收的申购基金款以及其他投资所形成的价值总和。</w:t>
      </w:r>
    </w:p>
    <w:p w14:paraId="55DD499F" w14:textId="77777777" w:rsidR="0046184B" w:rsidRDefault="00000000">
      <w:pPr>
        <w:autoSpaceDE w:val="0"/>
        <w:autoSpaceDN w:val="0"/>
        <w:spacing w:line="360" w:lineRule="auto"/>
        <w:ind w:firstLineChars="200" w:firstLine="480"/>
        <w:textAlignment w:val="bottom"/>
        <w:rPr>
          <w:bCs/>
          <w:sz w:val="24"/>
        </w:rPr>
      </w:pPr>
      <w:r>
        <w:rPr>
          <w:bCs/>
          <w:sz w:val="24"/>
        </w:rPr>
        <w:t>二、基金资产净值</w:t>
      </w:r>
    </w:p>
    <w:p w14:paraId="255E47BC" w14:textId="77777777" w:rsidR="0046184B" w:rsidRDefault="00000000">
      <w:pPr>
        <w:autoSpaceDE w:val="0"/>
        <w:autoSpaceDN w:val="0"/>
        <w:spacing w:line="360" w:lineRule="auto"/>
        <w:ind w:firstLineChars="200" w:firstLine="480"/>
        <w:textAlignment w:val="bottom"/>
        <w:rPr>
          <w:bCs/>
          <w:sz w:val="24"/>
        </w:rPr>
      </w:pPr>
      <w:r>
        <w:rPr>
          <w:bCs/>
          <w:sz w:val="24"/>
        </w:rPr>
        <w:t>基金资产净值是指基金资产总值减去基金负债后的价值。</w:t>
      </w:r>
    </w:p>
    <w:p w14:paraId="2CF2AB26" w14:textId="77777777" w:rsidR="0046184B" w:rsidRDefault="00000000">
      <w:pPr>
        <w:autoSpaceDE w:val="0"/>
        <w:autoSpaceDN w:val="0"/>
        <w:spacing w:line="360" w:lineRule="auto"/>
        <w:ind w:firstLineChars="200" w:firstLine="480"/>
        <w:textAlignment w:val="bottom"/>
        <w:rPr>
          <w:bCs/>
          <w:sz w:val="24"/>
        </w:rPr>
      </w:pPr>
      <w:r>
        <w:rPr>
          <w:bCs/>
          <w:sz w:val="24"/>
        </w:rPr>
        <w:t>三、基金财产的账户</w:t>
      </w:r>
    </w:p>
    <w:p w14:paraId="749C9EF4" w14:textId="77777777" w:rsidR="0046184B" w:rsidRDefault="00000000">
      <w:pPr>
        <w:autoSpaceDE w:val="0"/>
        <w:autoSpaceDN w:val="0"/>
        <w:spacing w:line="360" w:lineRule="auto"/>
        <w:ind w:firstLineChars="200" w:firstLine="480"/>
        <w:textAlignment w:val="bottom"/>
        <w:rPr>
          <w:bCs/>
          <w:sz w:val="24"/>
        </w:rPr>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245" w:name="_Hlt88841837"/>
      <w:bookmarkEnd w:id="245"/>
    </w:p>
    <w:p w14:paraId="378AE1CA" w14:textId="77777777" w:rsidR="0046184B" w:rsidRDefault="00000000">
      <w:pPr>
        <w:autoSpaceDE w:val="0"/>
        <w:autoSpaceDN w:val="0"/>
        <w:spacing w:line="360" w:lineRule="auto"/>
        <w:ind w:firstLineChars="200" w:firstLine="480"/>
        <w:textAlignment w:val="bottom"/>
        <w:rPr>
          <w:bCs/>
          <w:sz w:val="24"/>
        </w:rPr>
      </w:pPr>
      <w:r>
        <w:rPr>
          <w:bCs/>
          <w:sz w:val="24"/>
        </w:rPr>
        <w:t>四、基金财产的保管和处分</w:t>
      </w:r>
      <w:bookmarkStart w:id="246" w:name="_Hlt88900062"/>
      <w:bookmarkEnd w:id="246"/>
    </w:p>
    <w:p w14:paraId="6604D2A1" w14:textId="77777777" w:rsidR="0046184B" w:rsidRDefault="00000000">
      <w:pPr>
        <w:autoSpaceDE w:val="0"/>
        <w:autoSpaceDN w:val="0"/>
        <w:spacing w:line="360" w:lineRule="auto"/>
        <w:ind w:firstLineChars="200" w:firstLine="480"/>
        <w:textAlignment w:val="bottom"/>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54A92460" w14:textId="77777777" w:rsidR="0046184B" w:rsidRDefault="00000000">
      <w:pPr>
        <w:adjustRightInd w:val="0"/>
        <w:snapToGrid w:val="0"/>
        <w:spacing w:line="360" w:lineRule="auto"/>
        <w:ind w:firstLineChars="200" w:firstLine="480"/>
        <w:rPr>
          <w:rFonts w:ascii="宋体" w:eastAsia="宋体" w:hAnsi="宋体" w:cs="Arial" w:hint="eastAsia"/>
          <w:sz w:val="24"/>
          <w:szCs w:val="24"/>
        </w:rPr>
        <w:sectPr w:rsidR="0046184B">
          <w:footerReference w:type="default" r:id="rId31"/>
          <w:pgSz w:w="11906" w:h="16838"/>
          <w:pgMar w:top="1440" w:right="1800" w:bottom="1440" w:left="1800" w:header="851" w:footer="992" w:gutter="0"/>
          <w:pgNumType w:chapStyle="1"/>
          <w:cols w:space="720"/>
          <w:docGrid w:type="lines" w:linePitch="312"/>
        </w:sect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p>
    <w:p w14:paraId="56323DC0" w14:textId="77777777" w:rsidR="0046184B" w:rsidRDefault="00000000">
      <w:pPr>
        <w:pStyle w:val="1"/>
        <w:jc w:val="center"/>
        <w:rPr>
          <w:sz w:val="30"/>
          <w:szCs w:val="30"/>
        </w:rPr>
      </w:pPr>
      <w:bookmarkStart w:id="247" w:name="_Toc37770214"/>
      <w:r>
        <w:rPr>
          <w:rFonts w:hint="eastAsia"/>
          <w:sz w:val="30"/>
          <w:szCs w:val="30"/>
        </w:rPr>
        <w:lastRenderedPageBreak/>
        <w:t>第十一部分</w:t>
      </w:r>
      <w:r>
        <w:rPr>
          <w:sz w:val="30"/>
          <w:szCs w:val="30"/>
        </w:rPr>
        <w:t xml:space="preserve">  </w:t>
      </w:r>
      <w:r>
        <w:rPr>
          <w:rFonts w:hint="eastAsia"/>
          <w:sz w:val="30"/>
          <w:szCs w:val="30"/>
        </w:rPr>
        <w:t>基金资产的估值</w:t>
      </w:r>
      <w:bookmarkEnd w:id="230"/>
      <w:bookmarkEnd w:id="231"/>
      <w:bookmarkEnd w:id="232"/>
      <w:bookmarkEnd w:id="247"/>
    </w:p>
    <w:p w14:paraId="6077C60A" w14:textId="77777777" w:rsidR="0046184B" w:rsidRDefault="00000000">
      <w:pPr>
        <w:autoSpaceDE w:val="0"/>
        <w:autoSpaceDN w:val="0"/>
        <w:spacing w:line="360" w:lineRule="auto"/>
        <w:ind w:firstLineChars="200" w:firstLine="480"/>
        <w:textAlignment w:val="bottom"/>
        <w:rPr>
          <w:bCs/>
          <w:sz w:val="24"/>
        </w:rPr>
      </w:pPr>
      <w:r>
        <w:rPr>
          <w:bCs/>
          <w:sz w:val="24"/>
        </w:rPr>
        <w:t>一、估值日</w:t>
      </w:r>
    </w:p>
    <w:p w14:paraId="6DF55EEC" w14:textId="77777777" w:rsidR="0046184B" w:rsidRDefault="00000000">
      <w:pPr>
        <w:autoSpaceDE w:val="0"/>
        <w:autoSpaceDN w:val="0"/>
        <w:spacing w:line="360" w:lineRule="auto"/>
        <w:ind w:firstLineChars="200" w:firstLine="480"/>
        <w:textAlignment w:val="bottom"/>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79477626" w14:textId="77777777" w:rsidR="0046184B" w:rsidRDefault="00000000">
      <w:pPr>
        <w:autoSpaceDE w:val="0"/>
        <w:autoSpaceDN w:val="0"/>
        <w:spacing w:line="360" w:lineRule="auto"/>
        <w:ind w:firstLineChars="200" w:firstLine="480"/>
        <w:textAlignment w:val="bottom"/>
        <w:rPr>
          <w:bCs/>
          <w:sz w:val="24"/>
        </w:rPr>
      </w:pPr>
      <w:r>
        <w:rPr>
          <w:bCs/>
          <w:sz w:val="24"/>
        </w:rPr>
        <w:t>二、估值对象</w:t>
      </w:r>
    </w:p>
    <w:p w14:paraId="458C77BB" w14:textId="77777777" w:rsidR="0046184B" w:rsidRDefault="00000000">
      <w:pPr>
        <w:autoSpaceDE w:val="0"/>
        <w:autoSpaceDN w:val="0"/>
        <w:spacing w:line="360" w:lineRule="auto"/>
        <w:ind w:firstLineChars="200" w:firstLine="480"/>
        <w:textAlignment w:val="bottom"/>
        <w:rPr>
          <w:bCs/>
          <w:sz w:val="24"/>
        </w:rPr>
      </w:pPr>
      <w:r>
        <w:rPr>
          <w:bCs/>
          <w:sz w:val="24"/>
        </w:rPr>
        <w:t>基金所拥有的股票、</w:t>
      </w:r>
      <w:r>
        <w:rPr>
          <w:rFonts w:asciiTheme="minorEastAsia" w:hAnsiTheme="minorEastAsia" w:cs="Times New Roman" w:hint="eastAsia"/>
          <w:bCs/>
          <w:sz w:val="24"/>
          <w:szCs w:val="24"/>
        </w:rPr>
        <w:t>存托凭证、</w:t>
      </w:r>
      <w:r>
        <w:rPr>
          <w:rFonts w:hint="eastAsia"/>
          <w:bCs/>
          <w:sz w:val="24"/>
        </w:rPr>
        <w:t>股指期货合约、国债期货合约、股票期权合约、</w:t>
      </w:r>
      <w:r>
        <w:rPr>
          <w:bCs/>
          <w:sz w:val="24"/>
        </w:rPr>
        <w:t>权证、债券和银行存款本息、应收款项</w:t>
      </w:r>
      <w:r>
        <w:rPr>
          <w:rFonts w:hint="eastAsia"/>
          <w:bCs/>
          <w:sz w:val="24"/>
        </w:rPr>
        <w:t>、</w:t>
      </w:r>
      <w:r>
        <w:rPr>
          <w:bCs/>
          <w:sz w:val="24"/>
        </w:rPr>
        <w:t>其它投资等资产及负债。</w:t>
      </w:r>
    </w:p>
    <w:p w14:paraId="38DA1860" w14:textId="77777777" w:rsidR="0046184B" w:rsidRDefault="00000000">
      <w:pPr>
        <w:autoSpaceDE w:val="0"/>
        <w:autoSpaceDN w:val="0"/>
        <w:spacing w:line="360" w:lineRule="auto"/>
        <w:ind w:firstLineChars="200" w:firstLine="480"/>
        <w:textAlignment w:val="bottom"/>
        <w:rPr>
          <w:bCs/>
          <w:sz w:val="24"/>
        </w:rPr>
      </w:pPr>
      <w:r>
        <w:rPr>
          <w:bCs/>
          <w:sz w:val="24"/>
        </w:rPr>
        <w:t>三、估值方法</w:t>
      </w:r>
    </w:p>
    <w:p w14:paraId="21E5F3BE" w14:textId="77777777" w:rsidR="0046184B" w:rsidRDefault="00000000">
      <w:pPr>
        <w:autoSpaceDE w:val="0"/>
        <w:autoSpaceDN w:val="0"/>
        <w:spacing w:line="360" w:lineRule="auto"/>
        <w:ind w:firstLineChars="200" w:firstLine="480"/>
        <w:textAlignment w:val="bottom"/>
        <w:rPr>
          <w:bCs/>
          <w:sz w:val="24"/>
          <w:szCs w:val="24"/>
        </w:rPr>
      </w:pPr>
      <w:r>
        <w:rPr>
          <w:bCs/>
          <w:sz w:val="24"/>
        </w:rPr>
        <w:t>1</w:t>
      </w:r>
      <w:r>
        <w:rPr>
          <w:bCs/>
          <w:sz w:val="24"/>
        </w:rPr>
        <w:t>、</w:t>
      </w:r>
      <w:r>
        <w:rPr>
          <w:rFonts w:hint="eastAsia"/>
          <w:bCs/>
          <w:sz w:val="24"/>
        </w:rPr>
        <w:t>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DC483D6" w14:textId="77777777" w:rsidR="0046184B" w:rsidRDefault="00000000">
      <w:pPr>
        <w:autoSpaceDE w:val="0"/>
        <w:autoSpaceDN w:val="0"/>
        <w:spacing w:line="360" w:lineRule="auto"/>
        <w:ind w:firstLineChars="200" w:firstLine="480"/>
        <w:textAlignment w:val="bottom"/>
        <w:rPr>
          <w:bCs/>
          <w:sz w:val="24"/>
          <w:szCs w:val="24"/>
        </w:rPr>
      </w:pPr>
      <w:r>
        <w:rPr>
          <w:rFonts w:hint="eastAsia"/>
          <w:bCs/>
          <w:sz w:val="24"/>
          <w:szCs w:val="24"/>
        </w:rPr>
        <w:t>2</w:t>
      </w:r>
      <w:r>
        <w:rPr>
          <w:rFonts w:hint="eastAsia"/>
          <w:bCs/>
          <w:sz w:val="24"/>
          <w:szCs w:val="24"/>
        </w:rPr>
        <w:t>、交易所市场交易的固定收益品种的估值</w:t>
      </w:r>
    </w:p>
    <w:p w14:paraId="47026AFB" w14:textId="77777777" w:rsidR="0046184B"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）对在交易所市场上市交易或挂牌转让的固定收益品种，选取第三方估值机构提供的相应品种当日的估值净价进行估值；</w:t>
      </w:r>
    </w:p>
    <w:p w14:paraId="42CEE88A" w14:textId="77777777" w:rsidR="0046184B"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）对在交易所市场上市交易的可转换债券，按估值日收盘价减去可转换债券收盘价中所含债券应收利息后得到的净价进行估值；</w:t>
      </w:r>
      <w:r>
        <w:rPr>
          <w:bCs/>
          <w:sz w:val="24"/>
        </w:rPr>
        <w:t>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p>
    <w:p w14:paraId="16BBC94E" w14:textId="77777777" w:rsidR="0046184B"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3</w:t>
      </w:r>
      <w:r>
        <w:rPr>
          <w:rFonts w:hint="eastAsia"/>
          <w:bCs/>
          <w:sz w:val="24"/>
          <w:szCs w:val="24"/>
        </w:rPr>
        <w:t>）对在交易所市场挂牌转让的资产支持证券，采用估值技术确定公允价值，在估值技术难以可靠计量公允价值的情况下，按成本估值；</w:t>
      </w:r>
    </w:p>
    <w:p w14:paraId="3D2680A4" w14:textId="77777777" w:rsidR="0046184B"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4</w:t>
      </w:r>
      <w:r>
        <w:rPr>
          <w:rFonts w:hint="eastAsia"/>
          <w:bCs/>
          <w:sz w:val="24"/>
          <w:szCs w:val="24"/>
        </w:rPr>
        <w:t>）对在交易所市场发行未上市或未挂牌转让的固定收益品种，采用估值技术确定公允价值，在估值技术难以可靠计量公允价值的情况下，按成本估值。</w:t>
      </w:r>
    </w:p>
    <w:p w14:paraId="0921DC1D" w14:textId="77777777" w:rsidR="0046184B" w:rsidRDefault="00000000">
      <w:pPr>
        <w:autoSpaceDE w:val="0"/>
        <w:autoSpaceDN w:val="0"/>
        <w:spacing w:line="360" w:lineRule="auto"/>
        <w:ind w:firstLineChars="200" w:firstLine="480"/>
        <w:textAlignment w:val="bottom"/>
        <w:rPr>
          <w:bCs/>
          <w:sz w:val="24"/>
          <w:szCs w:val="24"/>
        </w:rPr>
      </w:pPr>
      <w:r>
        <w:rPr>
          <w:rFonts w:hint="eastAsia"/>
          <w:bCs/>
          <w:sz w:val="24"/>
          <w:szCs w:val="24"/>
        </w:rPr>
        <w:t>3</w:t>
      </w:r>
      <w:r>
        <w:rPr>
          <w:rFonts w:hint="eastAsia"/>
          <w:bCs/>
          <w:sz w:val="24"/>
          <w:szCs w:val="24"/>
        </w:rPr>
        <w:t>、银行间市场交易的固定收益品种的估值</w:t>
      </w:r>
    </w:p>
    <w:p w14:paraId="7305F16A" w14:textId="77777777" w:rsidR="0046184B"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1</w:t>
      </w:r>
      <w:r>
        <w:rPr>
          <w:rFonts w:hint="eastAsia"/>
          <w:bCs/>
          <w:sz w:val="24"/>
          <w:szCs w:val="24"/>
        </w:rPr>
        <w:t>）银行间市场交易的固定收益品种，选取第三方估值机构提供的相应品</w:t>
      </w:r>
      <w:r>
        <w:rPr>
          <w:rFonts w:hint="eastAsia"/>
          <w:bCs/>
          <w:sz w:val="24"/>
          <w:szCs w:val="24"/>
        </w:rPr>
        <w:lastRenderedPageBreak/>
        <w:t>种当日的估值净价进行估值。</w:t>
      </w:r>
    </w:p>
    <w:p w14:paraId="460B6824" w14:textId="77777777" w:rsidR="0046184B" w:rsidRDefault="00000000">
      <w:pPr>
        <w:autoSpaceDE w:val="0"/>
        <w:autoSpaceDN w:val="0"/>
        <w:spacing w:line="360" w:lineRule="auto"/>
        <w:ind w:firstLineChars="200" w:firstLine="480"/>
        <w:textAlignment w:val="bottom"/>
        <w:rPr>
          <w:bCs/>
          <w:sz w:val="24"/>
          <w:szCs w:val="24"/>
        </w:rPr>
      </w:pPr>
      <w:r>
        <w:rPr>
          <w:rFonts w:hint="eastAsia"/>
          <w:bCs/>
          <w:sz w:val="24"/>
          <w:szCs w:val="24"/>
        </w:rPr>
        <w:t>（</w:t>
      </w:r>
      <w:r>
        <w:rPr>
          <w:rFonts w:hint="eastAsia"/>
          <w:bCs/>
          <w:sz w:val="24"/>
          <w:szCs w:val="24"/>
        </w:rPr>
        <w:t>2</w:t>
      </w:r>
      <w:r>
        <w:rPr>
          <w:rFonts w:hint="eastAsia"/>
          <w:bCs/>
          <w:sz w:val="24"/>
          <w:szCs w:val="24"/>
        </w:rPr>
        <w:t>）对银行间市场未上市，且第三方估值机构未提供估值价格的固定收益品种，按成本估值。</w:t>
      </w:r>
    </w:p>
    <w:p w14:paraId="3EA71800" w14:textId="77777777" w:rsidR="0046184B" w:rsidRDefault="00000000">
      <w:pPr>
        <w:autoSpaceDE w:val="0"/>
        <w:autoSpaceDN w:val="0"/>
        <w:spacing w:line="360" w:lineRule="auto"/>
        <w:ind w:firstLineChars="200" w:firstLine="480"/>
        <w:textAlignment w:val="bottom"/>
        <w:rPr>
          <w:bCs/>
          <w:sz w:val="24"/>
        </w:rPr>
      </w:pPr>
      <w:r>
        <w:rPr>
          <w:rFonts w:hint="eastAsia"/>
          <w:bCs/>
          <w:sz w:val="24"/>
        </w:rPr>
        <w:t>4</w:t>
      </w:r>
      <w:r>
        <w:rPr>
          <w:bCs/>
          <w:sz w:val="24"/>
        </w:rPr>
        <w:t>、处于未上市期间的有价证券应区分如下情况处理：</w:t>
      </w:r>
    </w:p>
    <w:p w14:paraId="2B50998F"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）送股、转增股、配股和公开增发的新股，按估值日在证券交易所挂牌的同一股票的估值方法估值；该日无交易的，以最近一日的市价（收盘价）估值；</w:t>
      </w:r>
    </w:p>
    <w:p w14:paraId="4E1FC975"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2</w:t>
      </w:r>
      <w:r>
        <w:rPr>
          <w:bCs/>
          <w:sz w:val="24"/>
        </w:rPr>
        <w:t>）首次公开发行未上市的股票、债券和权证，采用估值技术确定公允价值，在估值技术难以可靠计量公允价值的情况下，按成本估值</w:t>
      </w:r>
      <w:r>
        <w:rPr>
          <w:rFonts w:hint="eastAsia"/>
          <w:bCs/>
          <w:sz w:val="24"/>
        </w:rPr>
        <w:t>；</w:t>
      </w:r>
    </w:p>
    <w:p w14:paraId="3480646C"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3</w:t>
      </w:r>
      <w:r>
        <w:rPr>
          <w:bCs/>
          <w:sz w:val="24"/>
        </w:rPr>
        <w:t>）首次公开发行有明确锁定期的股票，同一股票在交易所上市后，按交易所上市的同一股票的估值方法估值；非公开发行有明确锁定期的股票，按监管机构或行业协会有关规定确定公允价值。</w:t>
      </w:r>
    </w:p>
    <w:p w14:paraId="3C9951A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、同一债券同时在两个或两个以上市场交易的，按债券所处的市场分别估值。</w:t>
      </w:r>
    </w:p>
    <w:p w14:paraId="60DF873B" w14:textId="77777777" w:rsidR="0046184B"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、本基金投资股指期货、国债期货合约，一般以估值当日结算价进行估值，估值当日无结算价的，且最近交易日后经济环境未发生重大变化的，采用最近交易日结算价估值。</w:t>
      </w:r>
    </w:p>
    <w:p w14:paraId="7A53C86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、中小企业私募债券，采用估值技术确定公允价值。在估值技术难以可靠计量公允价值的情况下，按成本估值。</w:t>
      </w:r>
    </w:p>
    <w:p w14:paraId="7B3C4626" w14:textId="77777777" w:rsidR="0046184B" w:rsidRDefault="00000000">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、本基金投资股票期权，根据相关法律法规以及监管部门的规定估值。</w:t>
      </w:r>
    </w:p>
    <w:p w14:paraId="525C101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、当本基金发生大额申购或赎回情形时，基金管理人可以对本基金采用摆动定价机制，以确保基金估值的公平性。</w:t>
      </w:r>
    </w:p>
    <w:p w14:paraId="30E359E4" w14:textId="77777777" w:rsidR="0046184B" w:rsidRDefault="00000000">
      <w:pPr>
        <w:autoSpaceDE w:val="0"/>
        <w:autoSpaceDN w:val="0"/>
        <w:spacing w:line="360" w:lineRule="auto"/>
        <w:ind w:firstLineChars="200" w:firstLine="480"/>
        <w:textAlignment w:val="bottom"/>
        <w:rPr>
          <w:bCs/>
          <w:sz w:val="24"/>
        </w:rPr>
      </w:pPr>
      <w:r>
        <w:rPr>
          <w:bCs/>
          <w:sz w:val="24"/>
        </w:rPr>
        <w:t>10</w:t>
      </w:r>
      <w:r>
        <w:rPr>
          <w:bCs/>
          <w:sz w:val="24"/>
        </w:rPr>
        <w:t>、</w:t>
      </w:r>
      <w:r>
        <w:rPr>
          <w:rFonts w:hint="eastAsia"/>
          <w:bCs/>
          <w:sz w:val="24"/>
        </w:rPr>
        <w:t>本基金投资存托凭证的估值核算，依照境内上市交易的股票执行。</w:t>
      </w:r>
    </w:p>
    <w:p w14:paraId="1CFC577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w:t>
      </w:r>
      <w:r>
        <w:rPr>
          <w:bCs/>
          <w:sz w:val="24"/>
        </w:rPr>
        <w:t>如有确凿证据表明按上述方法进行估值不能客观反映其公允价值的，基金管理人可根据具体情况与基金托管人商定后，按最能反映公允价值的价格估值。</w:t>
      </w:r>
    </w:p>
    <w:p w14:paraId="17B56A8C" w14:textId="77777777" w:rsidR="0046184B" w:rsidRDefault="00000000">
      <w:pPr>
        <w:autoSpaceDE w:val="0"/>
        <w:autoSpaceDN w:val="0"/>
        <w:spacing w:line="360" w:lineRule="auto"/>
        <w:ind w:firstLineChars="200" w:firstLine="480"/>
        <w:textAlignment w:val="bottom"/>
        <w:rPr>
          <w:bCs/>
          <w:sz w:val="24"/>
        </w:rPr>
      </w:pPr>
      <w:r>
        <w:rPr>
          <w:rFonts w:hint="eastAsia"/>
          <w:bCs/>
          <w:sz w:val="24"/>
        </w:rPr>
        <w:t>12</w:t>
      </w:r>
      <w:r>
        <w:rPr>
          <w:bCs/>
          <w:sz w:val="24"/>
        </w:rPr>
        <w:t>、相关法律法规以及监管部门有强制规定的，从其规定。如有新增事项，按国家最新规定估值。</w:t>
      </w:r>
    </w:p>
    <w:p w14:paraId="25C5344F" w14:textId="77777777" w:rsidR="0046184B" w:rsidRDefault="00000000">
      <w:pPr>
        <w:autoSpaceDE w:val="0"/>
        <w:autoSpaceDN w:val="0"/>
        <w:spacing w:line="360" w:lineRule="auto"/>
        <w:ind w:firstLineChars="200" w:firstLine="480"/>
        <w:textAlignment w:val="bottom"/>
        <w:rPr>
          <w:sz w:val="24"/>
        </w:rPr>
      </w:pPr>
      <w:r>
        <w:rPr>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9747E10" w14:textId="77777777" w:rsidR="0046184B" w:rsidRDefault="00000000">
      <w:pPr>
        <w:autoSpaceDE w:val="0"/>
        <w:autoSpaceDN w:val="0"/>
        <w:spacing w:line="360" w:lineRule="auto"/>
        <w:ind w:firstLineChars="200" w:firstLine="480"/>
        <w:textAlignment w:val="bottom"/>
        <w:rPr>
          <w:bCs/>
          <w:sz w:val="24"/>
        </w:rPr>
      </w:pPr>
      <w:r>
        <w:rPr>
          <w:bCs/>
          <w:sz w:val="24"/>
        </w:rPr>
        <w:lastRenderedPageBreak/>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2514EA9B" w14:textId="77777777" w:rsidR="0046184B" w:rsidRDefault="00000000">
      <w:pPr>
        <w:autoSpaceDE w:val="0"/>
        <w:autoSpaceDN w:val="0"/>
        <w:spacing w:line="360" w:lineRule="auto"/>
        <w:ind w:firstLineChars="200" w:firstLine="480"/>
        <w:textAlignment w:val="bottom"/>
        <w:rPr>
          <w:bCs/>
          <w:sz w:val="24"/>
        </w:rPr>
      </w:pPr>
      <w:r>
        <w:rPr>
          <w:bCs/>
          <w:sz w:val="24"/>
        </w:rPr>
        <w:t>四、估值程序</w:t>
      </w:r>
    </w:p>
    <w:p w14:paraId="2E78F807"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w:t>
      </w:r>
      <w:r>
        <w:rPr>
          <w:rFonts w:hint="eastAsia"/>
          <w:bCs/>
          <w:sz w:val="24"/>
        </w:rPr>
        <w:t>各类</w:t>
      </w:r>
      <w:r>
        <w:rPr>
          <w:bCs/>
          <w:sz w:val="24"/>
        </w:rPr>
        <w:t>基金份额净值是按照每个工作日闭市后，</w:t>
      </w:r>
      <w:r>
        <w:rPr>
          <w:rFonts w:hint="eastAsia"/>
          <w:bCs/>
          <w:sz w:val="24"/>
        </w:rPr>
        <w:t>该类</w:t>
      </w:r>
      <w:r>
        <w:rPr>
          <w:bCs/>
          <w:sz w:val="24"/>
        </w:rPr>
        <w:t>基金资产净值除以当日</w:t>
      </w:r>
      <w:r>
        <w:rPr>
          <w:rFonts w:hint="eastAsia"/>
          <w:bCs/>
          <w:sz w:val="24"/>
        </w:rPr>
        <w:t>该类</w:t>
      </w:r>
      <w:r>
        <w:rPr>
          <w:bCs/>
          <w:sz w:val="24"/>
        </w:rPr>
        <w:t>基金份额的余额数量计算，精确到</w:t>
      </w:r>
      <w:r>
        <w:rPr>
          <w:rFonts w:hint="eastAsia"/>
          <w:bCs/>
          <w:sz w:val="24"/>
        </w:rPr>
        <w:t>0.0001</w:t>
      </w:r>
      <w:r>
        <w:rPr>
          <w:bCs/>
          <w:sz w:val="24"/>
        </w:rPr>
        <w:t>元，小数点后第</w:t>
      </w:r>
      <w:r>
        <w:rPr>
          <w:rFonts w:hint="eastAsia"/>
          <w:bCs/>
          <w:sz w:val="24"/>
        </w:rPr>
        <w:t>5</w:t>
      </w:r>
      <w:r>
        <w:rPr>
          <w:bCs/>
          <w:sz w:val="24"/>
        </w:rPr>
        <w:t>位四舍五入。国家另有规定的，从其规定。</w:t>
      </w:r>
    </w:p>
    <w:p w14:paraId="71CFF576"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基金管理人每个工作日计算基金资产净值及两类基金份额净值，经基金托管人复核，并按规定公告</w:t>
      </w:r>
      <w:r>
        <w:rPr>
          <w:bCs/>
          <w:sz w:val="24"/>
        </w:rPr>
        <w:t>。</w:t>
      </w:r>
    </w:p>
    <w:p w14:paraId="5208B6AA"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工作日对基金资产估值。但基金管理人根据法律法规或基金合同的规定暂停估值时除外。基金管理人每个工作日对基金资产估值后，将</w:t>
      </w:r>
      <w:r>
        <w:rPr>
          <w:rFonts w:hint="eastAsia"/>
          <w:bCs/>
          <w:sz w:val="24"/>
        </w:rPr>
        <w:t>两类</w:t>
      </w:r>
      <w:r>
        <w:rPr>
          <w:bCs/>
          <w:sz w:val="24"/>
        </w:rPr>
        <w:t>基金份额净值结果发送基金托管人，经基金托管人复核无误后，由基金管理人对外公布。</w:t>
      </w:r>
    </w:p>
    <w:p w14:paraId="335468E8" w14:textId="77777777" w:rsidR="0046184B" w:rsidRDefault="00000000">
      <w:pPr>
        <w:autoSpaceDE w:val="0"/>
        <w:autoSpaceDN w:val="0"/>
        <w:spacing w:line="360" w:lineRule="auto"/>
        <w:ind w:firstLineChars="200" w:firstLine="480"/>
        <w:textAlignment w:val="bottom"/>
        <w:rPr>
          <w:bCs/>
          <w:sz w:val="24"/>
        </w:rPr>
      </w:pPr>
      <w:r>
        <w:rPr>
          <w:bCs/>
          <w:sz w:val="24"/>
        </w:rPr>
        <w:t>五、估值错误的处理</w:t>
      </w:r>
    </w:p>
    <w:p w14:paraId="48495B41" w14:textId="77777777" w:rsidR="0046184B" w:rsidRDefault="00000000">
      <w:pPr>
        <w:autoSpaceDE w:val="0"/>
        <w:autoSpaceDN w:val="0"/>
        <w:spacing w:line="360" w:lineRule="auto"/>
        <w:ind w:firstLineChars="200" w:firstLine="480"/>
        <w:textAlignment w:val="bottom"/>
        <w:rPr>
          <w:bCs/>
          <w:sz w:val="24"/>
        </w:rPr>
      </w:pPr>
      <w:r>
        <w:rPr>
          <w:bCs/>
          <w:sz w:val="24"/>
        </w:rPr>
        <w:t>基金管理人和基金托管人将采取必要、适当、合理的措施确保基金资产估值的准确性、及时性。当基金份额净值小数点后</w:t>
      </w:r>
      <w:r>
        <w:rPr>
          <w:rFonts w:hint="eastAsia"/>
          <w:bCs/>
          <w:sz w:val="24"/>
        </w:rPr>
        <w:t>4</w:t>
      </w:r>
      <w:r>
        <w:rPr>
          <w:bCs/>
          <w:sz w:val="24"/>
        </w:rPr>
        <w:t>位以内</w:t>
      </w:r>
      <w:r>
        <w:rPr>
          <w:rFonts w:hint="eastAsia"/>
          <w:bCs/>
          <w:sz w:val="24"/>
        </w:rPr>
        <w:t>（</w:t>
      </w:r>
      <w:r>
        <w:rPr>
          <w:bCs/>
          <w:sz w:val="24"/>
        </w:rPr>
        <w:t>含第</w:t>
      </w:r>
      <w:r>
        <w:rPr>
          <w:rFonts w:hint="eastAsia"/>
          <w:bCs/>
          <w:sz w:val="24"/>
        </w:rPr>
        <w:t>4</w:t>
      </w:r>
      <w:r>
        <w:rPr>
          <w:bCs/>
          <w:sz w:val="24"/>
        </w:rPr>
        <w:t>位</w:t>
      </w:r>
      <w:r>
        <w:rPr>
          <w:rFonts w:hint="eastAsia"/>
          <w:bCs/>
          <w:sz w:val="24"/>
        </w:rPr>
        <w:t>）</w:t>
      </w:r>
      <w:r>
        <w:rPr>
          <w:bCs/>
          <w:sz w:val="24"/>
        </w:rPr>
        <w:t>发生估值错误时，视为基金份额净值错误。</w:t>
      </w:r>
    </w:p>
    <w:p w14:paraId="413EB7B0" w14:textId="77777777" w:rsidR="0046184B" w:rsidRDefault="00000000">
      <w:pPr>
        <w:autoSpaceDE w:val="0"/>
        <w:autoSpaceDN w:val="0"/>
        <w:spacing w:line="360" w:lineRule="auto"/>
        <w:ind w:firstLineChars="200" w:firstLine="480"/>
        <w:textAlignment w:val="bottom"/>
        <w:rPr>
          <w:bCs/>
          <w:sz w:val="24"/>
        </w:rPr>
      </w:pPr>
      <w:r>
        <w:rPr>
          <w:bCs/>
          <w:sz w:val="24"/>
        </w:rPr>
        <w:t>基金合同的当事人应按照以下约定处理：</w:t>
      </w:r>
    </w:p>
    <w:p w14:paraId="1E19A412"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、估值错误类型</w:t>
      </w:r>
    </w:p>
    <w:p w14:paraId="58B804CE" w14:textId="77777777" w:rsidR="0046184B" w:rsidRDefault="00000000">
      <w:pPr>
        <w:autoSpaceDE w:val="0"/>
        <w:autoSpaceDN w:val="0"/>
        <w:spacing w:line="360" w:lineRule="auto"/>
        <w:ind w:firstLineChars="200" w:firstLine="480"/>
        <w:textAlignment w:val="bottom"/>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rFonts w:hint="eastAsia"/>
          <w:bCs/>
          <w:sz w:val="24"/>
        </w:rPr>
        <w:t>（“</w:t>
      </w:r>
      <w:r>
        <w:rPr>
          <w:bCs/>
          <w:sz w:val="24"/>
        </w:rPr>
        <w:t>受损方</w:t>
      </w:r>
      <w:r>
        <w:rPr>
          <w:rFonts w:hint="eastAsia"/>
          <w:bCs/>
          <w:sz w:val="24"/>
        </w:rPr>
        <w:t>”）</w:t>
      </w:r>
      <w:r>
        <w:rPr>
          <w:bCs/>
          <w:sz w:val="24"/>
        </w:rPr>
        <w:t>的直接损失按下述</w:t>
      </w:r>
      <w:r>
        <w:rPr>
          <w:rFonts w:hint="eastAsia"/>
          <w:bCs/>
          <w:sz w:val="24"/>
        </w:rPr>
        <w:t>“</w:t>
      </w:r>
      <w:r>
        <w:rPr>
          <w:bCs/>
          <w:sz w:val="24"/>
        </w:rPr>
        <w:t>估值错误处理原则</w:t>
      </w:r>
      <w:r>
        <w:rPr>
          <w:rFonts w:hint="eastAsia"/>
          <w:bCs/>
          <w:sz w:val="24"/>
        </w:rPr>
        <w:t>”</w:t>
      </w:r>
      <w:r>
        <w:rPr>
          <w:bCs/>
          <w:sz w:val="24"/>
        </w:rPr>
        <w:t>给予赔偿，承担赔偿责任。</w:t>
      </w:r>
    </w:p>
    <w:p w14:paraId="269D2A81" w14:textId="77777777" w:rsidR="0046184B" w:rsidRDefault="00000000">
      <w:pPr>
        <w:autoSpaceDE w:val="0"/>
        <w:autoSpaceDN w:val="0"/>
        <w:spacing w:line="360" w:lineRule="auto"/>
        <w:ind w:firstLineChars="200" w:firstLine="480"/>
        <w:textAlignment w:val="bottom"/>
        <w:rPr>
          <w:bCs/>
          <w:sz w:val="24"/>
        </w:rPr>
      </w:pPr>
      <w:r>
        <w:rPr>
          <w:bCs/>
          <w:sz w:val="24"/>
        </w:rPr>
        <w:t>上述估值错误的主要类型包括但不限于：资料申报差错、数据传输差错、数据计算差错、系统故障差错、下达指令差错等。</w:t>
      </w:r>
    </w:p>
    <w:p w14:paraId="76745E44"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、估值错误处理原则</w:t>
      </w:r>
    </w:p>
    <w:p w14:paraId="69515AE0"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w:t>
      </w:r>
      <w:r>
        <w:rPr>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1182D19"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4786FD3C"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rFonts w:hint="eastAsia"/>
          <w:bCs/>
          <w:sz w:val="24"/>
        </w:rPr>
        <w:t>（“</w:t>
      </w:r>
      <w:r>
        <w:rPr>
          <w:bCs/>
          <w:sz w:val="24"/>
        </w:rPr>
        <w:t>受损方</w:t>
      </w:r>
      <w:r>
        <w:rPr>
          <w:rFonts w:hint="eastAsia"/>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20ADC908"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）估值错误调整采用尽量恢复至假设未发生估值错误的正确情形的方式。</w:t>
      </w:r>
    </w:p>
    <w:p w14:paraId="4605F067" w14:textId="77777777" w:rsidR="0046184B" w:rsidRDefault="00000000">
      <w:pPr>
        <w:autoSpaceDE w:val="0"/>
        <w:autoSpaceDN w:val="0"/>
        <w:spacing w:line="360" w:lineRule="auto"/>
        <w:ind w:firstLineChars="200" w:firstLine="480"/>
        <w:textAlignment w:val="bottom"/>
        <w:rPr>
          <w:bCs/>
          <w:sz w:val="24"/>
        </w:rPr>
      </w:pPr>
      <w:r>
        <w:rPr>
          <w:bCs/>
          <w:sz w:val="24"/>
        </w:rPr>
        <w:t>3</w:t>
      </w:r>
      <w:r>
        <w:rPr>
          <w:bCs/>
          <w:sz w:val="24"/>
        </w:rPr>
        <w:t>、估值错误处理程序</w:t>
      </w:r>
    </w:p>
    <w:p w14:paraId="6CE4779B" w14:textId="77777777" w:rsidR="0046184B" w:rsidRDefault="00000000">
      <w:pPr>
        <w:autoSpaceDE w:val="0"/>
        <w:autoSpaceDN w:val="0"/>
        <w:spacing w:line="360" w:lineRule="auto"/>
        <w:ind w:firstLineChars="200" w:firstLine="480"/>
        <w:textAlignment w:val="bottom"/>
        <w:rPr>
          <w:bCs/>
          <w:sz w:val="24"/>
        </w:rPr>
      </w:pPr>
      <w:r>
        <w:rPr>
          <w:bCs/>
          <w:sz w:val="24"/>
        </w:rPr>
        <w:t>估值错误被发现后，有关的当事人应当及时进行处理，处理的程序如下：</w:t>
      </w:r>
    </w:p>
    <w:p w14:paraId="13CD6D7F"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4AEE6219"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3636456E"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5B125976"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4</w:t>
      </w:r>
      <w:r>
        <w:rPr>
          <w:bCs/>
          <w:sz w:val="24"/>
        </w:rPr>
        <w:t>）根据估值错误处理的方法，需要修改基金登记机构交易数据的，由基金登记机构进行更正，并就估值错误的更正向有关当事人进行确认。</w:t>
      </w:r>
    </w:p>
    <w:p w14:paraId="69FEEF2A" w14:textId="77777777" w:rsidR="0046184B" w:rsidRDefault="00000000">
      <w:pPr>
        <w:autoSpaceDE w:val="0"/>
        <w:autoSpaceDN w:val="0"/>
        <w:spacing w:line="360" w:lineRule="auto"/>
        <w:ind w:firstLineChars="200" w:firstLine="480"/>
        <w:textAlignment w:val="bottom"/>
        <w:rPr>
          <w:bCs/>
          <w:sz w:val="24"/>
        </w:rPr>
      </w:pPr>
      <w:r>
        <w:rPr>
          <w:bCs/>
          <w:sz w:val="24"/>
        </w:rPr>
        <w:t>4</w:t>
      </w:r>
      <w:r>
        <w:rPr>
          <w:bCs/>
          <w:sz w:val="24"/>
        </w:rPr>
        <w:t>、基金份额净值估值错误处理的方法如下：</w:t>
      </w:r>
    </w:p>
    <w:p w14:paraId="7429FC4A"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09C0A184"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2</w:t>
      </w:r>
      <w:r>
        <w:rPr>
          <w:bCs/>
          <w:sz w:val="24"/>
        </w:rPr>
        <w:t>）错误偏差达到基金份额净值的</w:t>
      </w:r>
      <w:r>
        <w:rPr>
          <w:bCs/>
          <w:sz w:val="24"/>
        </w:rPr>
        <w:t>0.25%</w:t>
      </w:r>
      <w:r>
        <w:rPr>
          <w:bCs/>
          <w:sz w:val="24"/>
        </w:rPr>
        <w:t>时，基金管理人应当通报基金托管</w:t>
      </w:r>
      <w:r>
        <w:rPr>
          <w:bCs/>
          <w:sz w:val="24"/>
        </w:rPr>
        <w:lastRenderedPageBreak/>
        <w:t>人并报中国证监会备案；错误偏差达到基金份额净值的</w:t>
      </w:r>
      <w:r>
        <w:rPr>
          <w:bCs/>
          <w:sz w:val="24"/>
        </w:rPr>
        <w:t>0.5%</w:t>
      </w:r>
      <w:r>
        <w:rPr>
          <w:bCs/>
          <w:sz w:val="24"/>
        </w:rPr>
        <w:t>时，基金管理人应当公告。</w:t>
      </w:r>
    </w:p>
    <w:p w14:paraId="3E00F788" w14:textId="77777777" w:rsidR="0046184B" w:rsidRDefault="0000000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）前述内容如法律法规或者监管部门另有规定的，从其规定。如果行业另有通行做法，双方当事人应本着平等和保护基金份额持有人利益的原则进行协商。</w:t>
      </w:r>
    </w:p>
    <w:p w14:paraId="4624E72F" w14:textId="77777777" w:rsidR="0046184B" w:rsidRDefault="00000000">
      <w:pPr>
        <w:spacing w:line="360" w:lineRule="auto"/>
        <w:ind w:firstLineChars="200" w:firstLine="480"/>
        <w:rPr>
          <w:bCs/>
          <w:sz w:val="24"/>
        </w:rPr>
      </w:pPr>
      <w:r>
        <w:rPr>
          <w:bCs/>
          <w:sz w:val="24"/>
        </w:rPr>
        <w:t>六、暂停估值的情形</w:t>
      </w:r>
    </w:p>
    <w:p w14:paraId="10C5DA8E"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、基金投资所涉及的证券</w:t>
      </w:r>
      <w:r>
        <w:rPr>
          <w:rFonts w:hint="eastAsia"/>
          <w:bCs/>
          <w:sz w:val="24"/>
        </w:rPr>
        <w:t>、期货</w:t>
      </w:r>
      <w:r>
        <w:rPr>
          <w:bCs/>
          <w:sz w:val="24"/>
        </w:rPr>
        <w:t>交易市场遇法定节假日或因其他原因暂停营业时；</w:t>
      </w:r>
    </w:p>
    <w:p w14:paraId="115E4352"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、因不可抗力致使基金管理人、基金托管人无法准确评估基金资产价值时；</w:t>
      </w:r>
    </w:p>
    <w:p w14:paraId="68494A13" w14:textId="77777777" w:rsidR="0046184B"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、当前一估值日基金资产净值</w:t>
      </w:r>
      <w:r>
        <w:rPr>
          <w:rFonts w:hint="eastAsia"/>
          <w:bCs/>
          <w:sz w:val="24"/>
        </w:rPr>
        <w:t xml:space="preserve"> 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公允价值存在重大不确定性时，经与基金托管人协商一致的；</w:t>
      </w:r>
    </w:p>
    <w:p w14:paraId="5EAB97F6" w14:textId="77777777" w:rsidR="0046184B"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bCs/>
          <w:sz w:val="24"/>
        </w:rPr>
        <w:t>中国证监会和基金合同认定的其它情形。</w:t>
      </w:r>
    </w:p>
    <w:p w14:paraId="77F1A922" w14:textId="77777777" w:rsidR="0046184B" w:rsidRDefault="00000000">
      <w:pPr>
        <w:autoSpaceDE w:val="0"/>
        <w:autoSpaceDN w:val="0"/>
        <w:spacing w:line="360" w:lineRule="auto"/>
        <w:ind w:firstLineChars="200" w:firstLine="480"/>
        <w:textAlignment w:val="bottom"/>
        <w:rPr>
          <w:bCs/>
          <w:sz w:val="24"/>
        </w:rPr>
      </w:pPr>
      <w:r>
        <w:rPr>
          <w:bCs/>
          <w:sz w:val="24"/>
        </w:rPr>
        <w:t>七、基金净值的确认</w:t>
      </w:r>
    </w:p>
    <w:p w14:paraId="0CF2655B" w14:textId="77777777" w:rsidR="0046184B" w:rsidRDefault="00000000">
      <w:pPr>
        <w:autoSpaceDE w:val="0"/>
        <w:autoSpaceDN w:val="0"/>
        <w:spacing w:line="360" w:lineRule="auto"/>
        <w:ind w:firstLineChars="200" w:firstLine="480"/>
        <w:textAlignment w:val="bottom"/>
        <w:rPr>
          <w:bCs/>
          <w:sz w:val="24"/>
        </w:rPr>
      </w:pPr>
      <w:r>
        <w:rPr>
          <w:bCs/>
          <w:sz w:val="24"/>
        </w:rPr>
        <w:t>用于基金信息披露的基金资产净值和</w:t>
      </w:r>
      <w:r>
        <w:rPr>
          <w:rFonts w:hint="eastAsia"/>
          <w:bCs/>
          <w:sz w:val="24"/>
        </w:rPr>
        <w:t>两类</w:t>
      </w:r>
      <w:r>
        <w:rPr>
          <w:bCs/>
          <w:sz w:val="24"/>
        </w:rPr>
        <w:t>基金份额净值由基金管理人负责计算，基金托管人负责进行复核。基金管理人应于每个开放日交易结束后计算当日的基金资产净值和</w:t>
      </w:r>
      <w:r>
        <w:rPr>
          <w:rFonts w:hint="eastAsia"/>
          <w:bCs/>
          <w:sz w:val="24"/>
        </w:rPr>
        <w:t>两类</w:t>
      </w:r>
      <w:r>
        <w:rPr>
          <w:bCs/>
          <w:sz w:val="24"/>
        </w:rPr>
        <w:t>基金份额净值并发送给基金托管人。基金托管人对净值计算结果复核确认后发送给基金管理人，由基金管理人对基金净值</w:t>
      </w:r>
      <w:r>
        <w:rPr>
          <w:rFonts w:hint="eastAsia"/>
          <w:bCs/>
          <w:sz w:val="24"/>
        </w:rPr>
        <w:t>按约定</w:t>
      </w:r>
      <w:r>
        <w:rPr>
          <w:bCs/>
          <w:sz w:val="24"/>
        </w:rPr>
        <w:t>予以公布。</w:t>
      </w:r>
    </w:p>
    <w:p w14:paraId="4A270C0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八、特殊情况的处理</w:t>
      </w:r>
    </w:p>
    <w:p w14:paraId="57055CAE" w14:textId="77777777" w:rsidR="0046184B"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、基金管理人或基金托管人按估值方法的第</w:t>
      </w:r>
      <w:r>
        <w:rPr>
          <w:rFonts w:hint="eastAsia"/>
          <w:bCs/>
          <w:sz w:val="24"/>
        </w:rPr>
        <w:t>11</w:t>
      </w:r>
      <w:r>
        <w:rPr>
          <w:rFonts w:hint="eastAsia"/>
          <w:bCs/>
          <w:sz w:val="24"/>
        </w:rPr>
        <w:t>项进行估值时，所造成的误差不作为基金资产估值错误处理。</w:t>
      </w:r>
    </w:p>
    <w:p w14:paraId="593C7977" w14:textId="77777777" w:rsidR="0046184B" w:rsidRDefault="00000000">
      <w:pPr>
        <w:widowControl/>
        <w:spacing w:line="360" w:lineRule="auto"/>
        <w:ind w:firstLineChars="200" w:firstLine="480"/>
        <w:jc w:val="left"/>
        <w:rPr>
          <w:rFonts w:asciiTheme="minorEastAsia" w:hAnsiTheme="minorEastAsia" w:cs="Times New Roman" w:hint="eastAsia"/>
          <w:b/>
          <w:bCs/>
          <w:kern w:val="0"/>
          <w:sz w:val="24"/>
          <w:szCs w:val="24"/>
        </w:rPr>
        <w:sectPr w:rsidR="0046184B">
          <w:footerReference w:type="default" r:id="rId32"/>
          <w:pgSz w:w="11906" w:h="16838"/>
          <w:pgMar w:top="1440" w:right="1800" w:bottom="1440" w:left="1800" w:header="851" w:footer="992" w:gutter="0"/>
          <w:pgNumType w:chapStyle="1"/>
          <w:cols w:space="720"/>
          <w:docGrid w:type="lines" w:linePitch="312"/>
        </w:sectPr>
      </w:pPr>
      <w:r>
        <w:rPr>
          <w:rFonts w:hint="eastAsia"/>
          <w:bCs/>
          <w:sz w:val="24"/>
        </w:rPr>
        <w:t>2</w:t>
      </w:r>
      <w:r>
        <w:rPr>
          <w:rFonts w:hint="eastAsia"/>
          <w:bCs/>
          <w:sz w:val="24"/>
        </w:rPr>
        <w:t>、由于不可抗力原因，或由于证券、期货交易所或登记结算公司发送的数据错误等原因，基金管理人和基金托管人虽然已经采取必要、适当、合理的措施进行检查，但是未能发现该错误的，由此造成的基金资产估值错误，基金管理人和基金托管人可以免除赔偿责任。但基金管理人和基金托管人应当积极采取必要的措施消除或减轻由此造成的影响</w:t>
      </w:r>
      <w:r>
        <w:rPr>
          <w:rFonts w:asciiTheme="minorEastAsia" w:hAnsiTheme="minorEastAsia" w:cs="Times New Roman" w:hint="eastAsia"/>
          <w:bCs/>
          <w:sz w:val="24"/>
          <w:szCs w:val="24"/>
        </w:rPr>
        <w:t xml:space="preserve">。 </w:t>
      </w:r>
    </w:p>
    <w:p w14:paraId="0ECC1E0C" w14:textId="77777777" w:rsidR="0046184B" w:rsidRDefault="00000000">
      <w:pPr>
        <w:pStyle w:val="1"/>
        <w:jc w:val="center"/>
        <w:rPr>
          <w:sz w:val="30"/>
          <w:szCs w:val="30"/>
        </w:rPr>
      </w:pPr>
      <w:bookmarkStart w:id="248" w:name="_Toc263092320"/>
      <w:bookmarkStart w:id="249" w:name="_Toc37770215"/>
      <w:bookmarkStart w:id="250" w:name="_Toc416264548"/>
      <w:bookmarkEnd w:id="233"/>
      <w:bookmarkEnd w:id="234"/>
      <w:bookmarkEnd w:id="235"/>
      <w:bookmarkEnd w:id="236"/>
      <w:bookmarkEnd w:id="237"/>
      <w:bookmarkEnd w:id="238"/>
      <w:bookmarkEnd w:id="239"/>
      <w:bookmarkEnd w:id="240"/>
      <w:bookmarkEnd w:id="241"/>
      <w:bookmarkEnd w:id="242"/>
      <w:bookmarkEnd w:id="243"/>
      <w:bookmarkEnd w:id="244"/>
      <w:r>
        <w:rPr>
          <w:rFonts w:hint="eastAsia"/>
          <w:sz w:val="30"/>
          <w:szCs w:val="30"/>
        </w:rPr>
        <w:lastRenderedPageBreak/>
        <w:t>第十二部分</w:t>
      </w:r>
      <w:r>
        <w:rPr>
          <w:sz w:val="30"/>
          <w:szCs w:val="30"/>
        </w:rPr>
        <w:t xml:space="preserve">  </w:t>
      </w:r>
      <w:r>
        <w:rPr>
          <w:rFonts w:hint="eastAsia"/>
          <w:sz w:val="30"/>
          <w:szCs w:val="30"/>
        </w:rPr>
        <w:t>基金的收益分配</w:t>
      </w:r>
      <w:bookmarkEnd w:id="248"/>
      <w:bookmarkEnd w:id="249"/>
      <w:bookmarkEnd w:id="250"/>
    </w:p>
    <w:p w14:paraId="47A959C6" w14:textId="77777777" w:rsidR="0046184B" w:rsidRDefault="00000000">
      <w:pPr>
        <w:autoSpaceDE w:val="0"/>
        <w:autoSpaceDN w:val="0"/>
        <w:spacing w:line="360" w:lineRule="auto"/>
        <w:ind w:firstLineChars="200" w:firstLine="480"/>
        <w:textAlignment w:val="bottom"/>
        <w:rPr>
          <w:bCs/>
          <w:sz w:val="24"/>
        </w:rPr>
      </w:pPr>
      <w:bookmarkStart w:id="251" w:name="_Toc21073401"/>
      <w:bookmarkStart w:id="252" w:name="_Toc263092321"/>
      <w:bookmarkStart w:id="253" w:name="_Toc214873602"/>
      <w:bookmarkStart w:id="254" w:name="_Toc147463128"/>
      <w:bookmarkStart w:id="255" w:name="_Toc416264549"/>
      <w:bookmarkStart w:id="256" w:name="_Toc12357181"/>
      <w:bookmarkStart w:id="257" w:name="_Toc27832"/>
      <w:bookmarkStart w:id="258" w:name="_Toc2623"/>
      <w:bookmarkStart w:id="259" w:name="_Toc7802"/>
      <w:bookmarkStart w:id="260" w:name="_Toc19714"/>
      <w:bookmarkStart w:id="261" w:name="_Toc31917"/>
      <w:bookmarkStart w:id="262" w:name="_Toc17782"/>
      <w:bookmarkStart w:id="263" w:name="_Toc352229760"/>
      <w:bookmarkStart w:id="264" w:name="_Toc139991744"/>
      <w:bookmarkStart w:id="265" w:name="_Toc871"/>
      <w:bookmarkStart w:id="266" w:name="_Toc141703894"/>
      <w:r>
        <w:rPr>
          <w:bCs/>
          <w:sz w:val="24"/>
        </w:rPr>
        <w:t>一、基金利润的构成</w:t>
      </w:r>
    </w:p>
    <w:p w14:paraId="46E5C93C" w14:textId="77777777" w:rsidR="0046184B" w:rsidRDefault="00000000">
      <w:pPr>
        <w:autoSpaceDE w:val="0"/>
        <w:autoSpaceDN w:val="0"/>
        <w:spacing w:line="360" w:lineRule="auto"/>
        <w:ind w:firstLineChars="200" w:firstLine="480"/>
        <w:textAlignment w:val="bottom"/>
        <w:rPr>
          <w:bCs/>
          <w:sz w:val="24"/>
        </w:rPr>
      </w:pPr>
      <w:r>
        <w:rPr>
          <w:bCs/>
          <w:sz w:val="24"/>
        </w:rPr>
        <w:t>基金利润指基金利息收入、投资收益、公允价值变动收益和其他收入扣除相关费用后的余额，基金已实现收益指基金利润减去公允价值变动收益后的余额。</w:t>
      </w:r>
    </w:p>
    <w:p w14:paraId="7865E77F" w14:textId="77777777" w:rsidR="0046184B" w:rsidRDefault="00000000">
      <w:pPr>
        <w:autoSpaceDE w:val="0"/>
        <w:autoSpaceDN w:val="0"/>
        <w:spacing w:line="360" w:lineRule="auto"/>
        <w:ind w:firstLineChars="200" w:firstLine="480"/>
        <w:textAlignment w:val="bottom"/>
        <w:rPr>
          <w:bCs/>
          <w:sz w:val="24"/>
        </w:rPr>
      </w:pPr>
      <w:r>
        <w:rPr>
          <w:bCs/>
          <w:sz w:val="24"/>
        </w:rPr>
        <w:t>二、基金可供分配利润</w:t>
      </w:r>
    </w:p>
    <w:p w14:paraId="786EF822" w14:textId="77777777" w:rsidR="0046184B" w:rsidRDefault="00000000">
      <w:pPr>
        <w:autoSpaceDE w:val="0"/>
        <w:autoSpaceDN w:val="0"/>
        <w:spacing w:line="360" w:lineRule="auto"/>
        <w:ind w:firstLineChars="200" w:firstLine="480"/>
        <w:textAlignment w:val="bottom"/>
        <w:rPr>
          <w:bCs/>
          <w:sz w:val="24"/>
        </w:rPr>
      </w:pPr>
      <w:r>
        <w:rPr>
          <w:bCs/>
          <w:sz w:val="24"/>
        </w:rPr>
        <w:t>基金可供分配利润指截至收益分配基准日基金未分配利润与未分配利润中已实现收益的孰低数。</w:t>
      </w:r>
    </w:p>
    <w:p w14:paraId="54321A13" w14:textId="77777777" w:rsidR="0046184B" w:rsidRDefault="00000000">
      <w:pPr>
        <w:autoSpaceDE w:val="0"/>
        <w:autoSpaceDN w:val="0"/>
        <w:spacing w:line="360" w:lineRule="auto"/>
        <w:ind w:firstLineChars="200" w:firstLine="480"/>
        <w:textAlignment w:val="bottom"/>
        <w:rPr>
          <w:bCs/>
          <w:sz w:val="24"/>
        </w:rPr>
      </w:pPr>
      <w:r>
        <w:rPr>
          <w:bCs/>
          <w:sz w:val="24"/>
        </w:rPr>
        <w:t>三、基金收益分配原则</w:t>
      </w:r>
    </w:p>
    <w:p w14:paraId="211F3022" w14:textId="77777777" w:rsidR="0046184B"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44864B0A" w14:textId="77777777" w:rsidR="0046184B"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、本基金收益分配方式分两种：现金分红与红利再投资，投资者可选择现金红利或将现金红利自动转为相应类别基金份额进行再投资；若投资者不选择，本基金默认的收益分配方式是现金分红；</w:t>
      </w:r>
    </w:p>
    <w:p w14:paraId="6EF98B6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76670221" w14:textId="77777777" w:rsidR="0046184B"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w:t>
      </w:r>
      <w:r>
        <w:rPr>
          <w:rFonts w:hint="eastAsia"/>
          <w:bCs/>
          <w:sz w:val="24"/>
        </w:rPr>
        <w:t xml:space="preserve">A </w:t>
      </w:r>
      <w:r>
        <w:rPr>
          <w:rFonts w:hint="eastAsia"/>
          <w:bCs/>
          <w:sz w:val="24"/>
        </w:rPr>
        <w:t>类基金份额和</w:t>
      </w:r>
      <w:r>
        <w:rPr>
          <w:rFonts w:hint="eastAsia"/>
          <w:bCs/>
          <w:sz w:val="24"/>
        </w:rPr>
        <w:t>C</w:t>
      </w:r>
      <w:r>
        <w:rPr>
          <w:rFonts w:hint="eastAsia"/>
          <w:bCs/>
          <w:sz w:val="24"/>
        </w:rPr>
        <w:t>类基金份额之间由于</w:t>
      </w:r>
      <w:r>
        <w:rPr>
          <w:rFonts w:hint="eastAsia"/>
          <w:bCs/>
          <w:sz w:val="24"/>
        </w:rPr>
        <w:t>A</w:t>
      </w:r>
      <w:r>
        <w:rPr>
          <w:rFonts w:hint="eastAsia"/>
          <w:bCs/>
          <w:sz w:val="24"/>
        </w:rPr>
        <w:t>类基金份额不收取而</w:t>
      </w:r>
      <w:r>
        <w:rPr>
          <w:rFonts w:hint="eastAsia"/>
          <w:bCs/>
          <w:sz w:val="24"/>
        </w:rPr>
        <w:t>C</w:t>
      </w:r>
      <w:r>
        <w:rPr>
          <w:rFonts w:hint="eastAsia"/>
          <w:bCs/>
          <w:sz w:val="24"/>
        </w:rPr>
        <w:t>类基金份额收取销售服务费将导致在可供分配利润上有所不同；本基金同一类别的每份基金份额享有同等分配权；</w:t>
      </w:r>
    </w:p>
    <w:p w14:paraId="68C99FE6" w14:textId="77777777" w:rsidR="0046184B"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1A083AC2"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在对基金份额持有人利益无实质不利影响的前提下，基金管理人可与基金托管人协商一致后调整基金收益分配原则和支付方式，不需召开基金份额持有人大会。</w:t>
      </w:r>
    </w:p>
    <w:p w14:paraId="48C2F626" w14:textId="77777777" w:rsidR="0046184B" w:rsidRDefault="00000000">
      <w:pPr>
        <w:autoSpaceDE w:val="0"/>
        <w:autoSpaceDN w:val="0"/>
        <w:spacing w:line="360" w:lineRule="auto"/>
        <w:ind w:firstLineChars="200" w:firstLine="480"/>
        <w:textAlignment w:val="bottom"/>
        <w:rPr>
          <w:bCs/>
          <w:sz w:val="24"/>
        </w:rPr>
      </w:pPr>
      <w:r>
        <w:rPr>
          <w:bCs/>
          <w:sz w:val="24"/>
        </w:rPr>
        <w:t>四、收益分配方案</w:t>
      </w:r>
    </w:p>
    <w:p w14:paraId="7A69E931" w14:textId="77777777" w:rsidR="0046184B" w:rsidRDefault="00000000">
      <w:pPr>
        <w:autoSpaceDE w:val="0"/>
        <w:autoSpaceDN w:val="0"/>
        <w:spacing w:line="360" w:lineRule="auto"/>
        <w:ind w:firstLineChars="200" w:firstLine="480"/>
        <w:textAlignment w:val="bottom"/>
        <w:rPr>
          <w:bCs/>
          <w:sz w:val="24"/>
        </w:rPr>
      </w:pPr>
      <w:r>
        <w:rPr>
          <w:bCs/>
          <w:sz w:val="24"/>
        </w:rPr>
        <w:t>基金收益分配方案中应载明截止收益分配基准日的可供分配利润、基金收益分配对象、分配时间、分配数额及比例、分配方式等内容。</w:t>
      </w:r>
    </w:p>
    <w:p w14:paraId="4C23F164" w14:textId="77777777" w:rsidR="0046184B" w:rsidRDefault="00000000">
      <w:pPr>
        <w:autoSpaceDE w:val="0"/>
        <w:autoSpaceDN w:val="0"/>
        <w:spacing w:line="360" w:lineRule="auto"/>
        <w:ind w:firstLineChars="200" w:firstLine="480"/>
        <w:textAlignment w:val="bottom"/>
        <w:rPr>
          <w:bCs/>
          <w:sz w:val="24"/>
        </w:rPr>
      </w:pPr>
      <w:r>
        <w:rPr>
          <w:bCs/>
          <w:sz w:val="24"/>
        </w:rPr>
        <w:t>五、收益分配方案的确定、公告与实施</w:t>
      </w:r>
    </w:p>
    <w:p w14:paraId="19F05515" w14:textId="77777777" w:rsidR="0046184B" w:rsidRDefault="00000000">
      <w:pPr>
        <w:autoSpaceDE w:val="0"/>
        <w:autoSpaceDN w:val="0"/>
        <w:spacing w:line="360" w:lineRule="auto"/>
        <w:ind w:firstLineChars="200" w:firstLine="480"/>
        <w:textAlignment w:val="bottom"/>
        <w:rPr>
          <w:bCs/>
          <w:sz w:val="24"/>
        </w:rPr>
      </w:pPr>
      <w:r>
        <w:rPr>
          <w:bCs/>
          <w:sz w:val="24"/>
        </w:rPr>
        <w:t>本基金收益分配方案由基金管理人拟定，并由基金托管人复核，</w:t>
      </w:r>
      <w:r>
        <w:rPr>
          <w:rFonts w:hint="eastAsia"/>
          <w:bCs/>
          <w:kern w:val="0"/>
          <w:sz w:val="24"/>
        </w:rPr>
        <w:t>依据相关规定在指定媒介公告。</w:t>
      </w:r>
    </w:p>
    <w:p w14:paraId="33FCD29B" w14:textId="77777777" w:rsidR="0046184B" w:rsidRDefault="00000000">
      <w:pPr>
        <w:autoSpaceDE w:val="0"/>
        <w:autoSpaceDN w:val="0"/>
        <w:spacing w:line="360" w:lineRule="auto"/>
        <w:ind w:firstLineChars="200" w:firstLine="480"/>
        <w:textAlignment w:val="bottom"/>
        <w:rPr>
          <w:bCs/>
          <w:sz w:val="24"/>
        </w:rPr>
      </w:pPr>
      <w:r>
        <w:rPr>
          <w:bCs/>
          <w:sz w:val="24"/>
        </w:rPr>
        <w:lastRenderedPageBreak/>
        <w:t>基金红利发放</w:t>
      </w:r>
      <w:proofErr w:type="gramStart"/>
      <w:r>
        <w:rPr>
          <w:bCs/>
          <w:sz w:val="24"/>
        </w:rPr>
        <w:t>日距离</w:t>
      </w:r>
      <w:proofErr w:type="gramEnd"/>
      <w:r>
        <w:rPr>
          <w:bCs/>
          <w:sz w:val="24"/>
        </w:rPr>
        <w:t>收益分配基准日（即可供分配利润计算截止日）的时间不得超过</w:t>
      </w:r>
      <w:r>
        <w:rPr>
          <w:bCs/>
          <w:sz w:val="24"/>
        </w:rPr>
        <w:t>15</w:t>
      </w:r>
      <w:r>
        <w:rPr>
          <w:bCs/>
          <w:sz w:val="24"/>
        </w:rPr>
        <w:t>个工作日。</w:t>
      </w:r>
    </w:p>
    <w:p w14:paraId="05286532" w14:textId="77777777" w:rsidR="0046184B" w:rsidRDefault="00000000">
      <w:pPr>
        <w:autoSpaceDE w:val="0"/>
        <w:autoSpaceDN w:val="0"/>
        <w:spacing w:line="360" w:lineRule="auto"/>
        <w:ind w:firstLineChars="200" w:firstLine="480"/>
        <w:textAlignment w:val="bottom"/>
        <w:rPr>
          <w:bCs/>
          <w:sz w:val="24"/>
        </w:rPr>
      </w:pPr>
      <w:r>
        <w:rPr>
          <w:bCs/>
          <w:sz w:val="24"/>
        </w:rPr>
        <w:t>六、基金收益分配中发生的费用</w:t>
      </w:r>
    </w:p>
    <w:p w14:paraId="10ACB42E" w14:textId="77777777" w:rsidR="0046184B" w:rsidRDefault="00000000">
      <w:pPr>
        <w:adjustRightInd w:val="0"/>
        <w:snapToGrid w:val="0"/>
        <w:spacing w:line="360" w:lineRule="auto"/>
        <w:ind w:firstLineChars="200" w:firstLine="480"/>
        <w:rPr>
          <w:rFonts w:asciiTheme="minorEastAsia" w:hAnsiTheme="minorEastAsia" w:cs="Times New Roman" w:hint="eastAsia"/>
          <w:bCs/>
          <w:sz w:val="24"/>
          <w:szCs w:val="24"/>
        </w:rPr>
        <w:sectPr w:rsidR="0046184B">
          <w:footerReference w:type="default" r:id="rId33"/>
          <w:pgSz w:w="11906" w:h="16838"/>
          <w:pgMar w:top="1440" w:right="1800" w:bottom="1440" w:left="1800" w:header="851" w:footer="992" w:gutter="0"/>
          <w:pgNumType w:chapStyle="1"/>
          <w:cols w:space="720"/>
          <w:docGrid w:type="lines" w:linePitch="312"/>
        </w:sect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sz w:val="24"/>
        </w:rPr>
        <w:t>相应类别</w:t>
      </w:r>
      <w:r>
        <w:rPr>
          <w:bCs/>
          <w:sz w:val="24"/>
        </w:rPr>
        <w:t>基金份额。红利再投资的计算方法，依照《业务规则》执行。</w:t>
      </w:r>
    </w:p>
    <w:p w14:paraId="70860147" w14:textId="77777777" w:rsidR="0046184B" w:rsidRDefault="00000000">
      <w:pPr>
        <w:pStyle w:val="1"/>
        <w:jc w:val="center"/>
        <w:rPr>
          <w:sz w:val="30"/>
          <w:szCs w:val="30"/>
        </w:rPr>
      </w:pPr>
      <w:bookmarkStart w:id="267" w:name="_Toc37770216"/>
      <w:r>
        <w:rPr>
          <w:rFonts w:hint="eastAsia"/>
          <w:sz w:val="30"/>
          <w:szCs w:val="30"/>
        </w:rPr>
        <w:lastRenderedPageBreak/>
        <w:t>第十三部分</w:t>
      </w:r>
      <w:r>
        <w:rPr>
          <w:sz w:val="30"/>
          <w:szCs w:val="30"/>
        </w:rPr>
        <w:t xml:space="preserve">  </w:t>
      </w:r>
      <w:r>
        <w:rPr>
          <w:rFonts w:hint="eastAsia"/>
          <w:sz w:val="30"/>
          <w:szCs w:val="30"/>
        </w:rPr>
        <w:t>基金费用与税收</w:t>
      </w:r>
      <w:bookmarkEnd w:id="251"/>
      <w:bookmarkEnd w:id="252"/>
      <w:bookmarkEnd w:id="253"/>
      <w:bookmarkEnd w:id="254"/>
      <w:bookmarkEnd w:id="255"/>
      <w:bookmarkEnd w:id="256"/>
      <w:bookmarkEnd w:id="267"/>
    </w:p>
    <w:p w14:paraId="5FEBF8C0" w14:textId="77777777" w:rsidR="0046184B" w:rsidRDefault="00000000">
      <w:pPr>
        <w:autoSpaceDE w:val="0"/>
        <w:autoSpaceDN w:val="0"/>
        <w:spacing w:line="360" w:lineRule="auto"/>
        <w:ind w:firstLineChars="200" w:firstLine="480"/>
        <w:textAlignment w:val="bottom"/>
        <w:rPr>
          <w:bCs/>
          <w:sz w:val="24"/>
        </w:rPr>
      </w:pPr>
      <w:bookmarkStart w:id="268" w:name="_Toc416264550"/>
      <w:bookmarkStart w:id="269" w:name="_Toc263092322"/>
      <w:bookmarkStart w:id="270" w:name="_Toc214873603"/>
      <w:bookmarkStart w:id="271" w:name="_Toc32041"/>
      <w:bookmarkStart w:id="272" w:name="_Toc32227"/>
      <w:bookmarkStart w:id="273" w:name="_Toc19706"/>
      <w:bookmarkStart w:id="274" w:name="_Toc24601"/>
      <w:bookmarkStart w:id="275" w:name="_Toc12105"/>
      <w:bookmarkStart w:id="276" w:name="_Toc139991745"/>
      <w:bookmarkStart w:id="277" w:name="_Toc19752"/>
      <w:bookmarkStart w:id="278" w:name="_Toc15779"/>
      <w:bookmarkStart w:id="279" w:name="_Toc6493"/>
      <w:bookmarkStart w:id="280" w:name="_Toc141703895"/>
      <w:bookmarkStart w:id="281" w:name="_Toc13987"/>
      <w:bookmarkStart w:id="282" w:name="_Toc32046"/>
      <w:bookmarkStart w:id="283" w:name="_Toc3365"/>
      <w:bookmarkStart w:id="284" w:name="_Toc352229761"/>
      <w:bookmarkEnd w:id="257"/>
      <w:bookmarkEnd w:id="258"/>
      <w:bookmarkEnd w:id="259"/>
      <w:bookmarkEnd w:id="260"/>
      <w:bookmarkEnd w:id="261"/>
      <w:bookmarkEnd w:id="262"/>
      <w:bookmarkEnd w:id="263"/>
      <w:bookmarkEnd w:id="264"/>
      <w:bookmarkEnd w:id="265"/>
      <w:bookmarkEnd w:id="266"/>
      <w:r>
        <w:rPr>
          <w:bCs/>
          <w:sz w:val="24"/>
        </w:rPr>
        <w:t>一、基金费用的种类</w:t>
      </w:r>
    </w:p>
    <w:p w14:paraId="7AB2D69B"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、基金管理人的管理费；</w:t>
      </w:r>
    </w:p>
    <w:p w14:paraId="39DFF7FD"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60396C2A" w14:textId="77777777" w:rsidR="0046184B"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w:t>
      </w:r>
      <w:r>
        <w:rPr>
          <w:bCs/>
          <w:sz w:val="24"/>
        </w:rPr>
        <w:t>的</w:t>
      </w:r>
      <w:r>
        <w:rPr>
          <w:rFonts w:hint="eastAsia"/>
          <w:bCs/>
          <w:sz w:val="24"/>
        </w:rPr>
        <w:t>销售服务费；</w:t>
      </w:r>
    </w:p>
    <w:p w14:paraId="15F77D7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4</w:t>
      </w:r>
      <w:r>
        <w:rPr>
          <w:bCs/>
          <w:sz w:val="24"/>
        </w:rPr>
        <w:t>、《基金合同》生效后与基金相关的信息披露费用；</w:t>
      </w:r>
    </w:p>
    <w:p w14:paraId="52963CB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和仲裁费</w:t>
      </w:r>
      <w:r>
        <w:rPr>
          <w:bCs/>
          <w:sz w:val="24"/>
        </w:rPr>
        <w:t>；</w:t>
      </w:r>
    </w:p>
    <w:p w14:paraId="68A50310" w14:textId="77777777" w:rsidR="0046184B" w:rsidRDefault="00000000">
      <w:pPr>
        <w:autoSpaceDE w:val="0"/>
        <w:autoSpaceDN w:val="0"/>
        <w:spacing w:line="360" w:lineRule="auto"/>
        <w:ind w:firstLineChars="200" w:firstLine="480"/>
        <w:textAlignment w:val="bottom"/>
        <w:rPr>
          <w:bCs/>
          <w:sz w:val="24"/>
        </w:rPr>
      </w:pPr>
      <w:r>
        <w:rPr>
          <w:rFonts w:hint="eastAsia"/>
          <w:bCs/>
          <w:sz w:val="24"/>
        </w:rPr>
        <w:t>6</w:t>
      </w:r>
      <w:r>
        <w:rPr>
          <w:bCs/>
          <w:sz w:val="24"/>
        </w:rPr>
        <w:t>、基金份额持有人大会费用；</w:t>
      </w:r>
    </w:p>
    <w:p w14:paraId="1D7365F0" w14:textId="77777777" w:rsidR="0046184B" w:rsidRDefault="00000000">
      <w:pPr>
        <w:autoSpaceDE w:val="0"/>
        <w:autoSpaceDN w:val="0"/>
        <w:spacing w:line="360" w:lineRule="auto"/>
        <w:ind w:firstLineChars="200" w:firstLine="480"/>
        <w:textAlignment w:val="bottom"/>
        <w:rPr>
          <w:bCs/>
          <w:sz w:val="24"/>
        </w:rPr>
      </w:pPr>
      <w:r>
        <w:rPr>
          <w:rFonts w:hint="eastAsia"/>
          <w:bCs/>
          <w:sz w:val="24"/>
        </w:rPr>
        <w:t>7</w:t>
      </w:r>
      <w:r>
        <w:rPr>
          <w:bCs/>
          <w:sz w:val="24"/>
        </w:rPr>
        <w:t>、基金的证券</w:t>
      </w:r>
      <w:r>
        <w:rPr>
          <w:rFonts w:hint="eastAsia"/>
          <w:bCs/>
          <w:sz w:val="24"/>
        </w:rPr>
        <w:t>、期货</w:t>
      </w:r>
      <w:r>
        <w:rPr>
          <w:bCs/>
          <w:sz w:val="24"/>
        </w:rPr>
        <w:t>交易费用；</w:t>
      </w:r>
    </w:p>
    <w:p w14:paraId="6F1A7BF4" w14:textId="77777777" w:rsidR="0046184B" w:rsidRDefault="00000000">
      <w:pPr>
        <w:autoSpaceDE w:val="0"/>
        <w:autoSpaceDN w:val="0"/>
        <w:spacing w:line="360" w:lineRule="auto"/>
        <w:ind w:firstLineChars="200" w:firstLine="480"/>
        <w:textAlignment w:val="bottom"/>
        <w:rPr>
          <w:bCs/>
          <w:sz w:val="24"/>
        </w:rPr>
      </w:pPr>
      <w:r>
        <w:rPr>
          <w:rFonts w:hint="eastAsia"/>
          <w:bCs/>
          <w:sz w:val="24"/>
        </w:rPr>
        <w:t>8</w:t>
      </w:r>
      <w:r>
        <w:rPr>
          <w:bCs/>
          <w:sz w:val="24"/>
        </w:rPr>
        <w:t>、基金的银行汇划费用；</w:t>
      </w:r>
    </w:p>
    <w:p w14:paraId="661242B0" w14:textId="77777777" w:rsidR="0046184B" w:rsidRDefault="00000000">
      <w:pPr>
        <w:autoSpaceDE w:val="0"/>
        <w:autoSpaceDN w:val="0"/>
        <w:spacing w:line="360" w:lineRule="auto"/>
        <w:ind w:firstLineChars="200" w:firstLine="480"/>
        <w:textAlignment w:val="bottom"/>
        <w:rPr>
          <w:bCs/>
          <w:sz w:val="24"/>
        </w:rPr>
      </w:pPr>
      <w:r>
        <w:rPr>
          <w:rFonts w:hint="eastAsia"/>
          <w:bCs/>
          <w:sz w:val="24"/>
        </w:rPr>
        <w:t>9</w:t>
      </w:r>
      <w:r>
        <w:rPr>
          <w:bCs/>
          <w:sz w:val="24"/>
        </w:rPr>
        <w:t>、</w:t>
      </w:r>
      <w:r>
        <w:rPr>
          <w:rFonts w:hint="eastAsia"/>
          <w:bCs/>
          <w:sz w:val="24"/>
        </w:rPr>
        <w:t>基金的账户开户费用、账户维护费用；</w:t>
      </w:r>
    </w:p>
    <w:p w14:paraId="65954E4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w:t>
      </w:r>
      <w:r>
        <w:rPr>
          <w:bCs/>
          <w:sz w:val="24"/>
        </w:rPr>
        <w:t>按照国家有关规定和《基金合同》约定，可以在基金财产中列支的其他费用。</w:t>
      </w:r>
    </w:p>
    <w:p w14:paraId="2BE9BD2F" w14:textId="77777777" w:rsidR="0046184B" w:rsidRDefault="00000000">
      <w:pPr>
        <w:autoSpaceDE w:val="0"/>
        <w:autoSpaceDN w:val="0"/>
        <w:spacing w:line="360" w:lineRule="auto"/>
        <w:ind w:firstLineChars="200" w:firstLine="480"/>
        <w:textAlignment w:val="bottom"/>
        <w:rPr>
          <w:bCs/>
          <w:sz w:val="24"/>
        </w:rPr>
      </w:pPr>
      <w:r>
        <w:rPr>
          <w:bCs/>
          <w:sz w:val="24"/>
        </w:rPr>
        <w:t>二、基金费用计提方法、计提标准和支付方式</w:t>
      </w:r>
    </w:p>
    <w:p w14:paraId="410B8C6A" w14:textId="77777777" w:rsidR="0046184B"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73169E43"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0.6%</w:t>
      </w:r>
      <w:r>
        <w:rPr>
          <w:rFonts w:hint="eastAsia"/>
          <w:bCs/>
          <w:sz w:val="24"/>
        </w:rPr>
        <w:t>年费率计提。管理费的计算方法如下：</w:t>
      </w:r>
    </w:p>
    <w:p w14:paraId="45C275C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0.6%</w:t>
      </w:r>
      <w:r>
        <w:rPr>
          <w:rFonts w:hint="eastAsia"/>
          <w:bCs/>
          <w:sz w:val="24"/>
        </w:rPr>
        <w:t>÷当年天数</w:t>
      </w:r>
    </w:p>
    <w:p w14:paraId="502D8D30" w14:textId="77777777" w:rsidR="0046184B"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7E8E5D3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369B5E66"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0181514A"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、基金托管人的托管费</w:t>
      </w:r>
    </w:p>
    <w:p w14:paraId="59183C61" w14:textId="77777777" w:rsidR="0046184B" w:rsidRDefault="00000000">
      <w:pPr>
        <w:autoSpaceDE w:val="0"/>
        <w:autoSpaceDN w:val="0"/>
        <w:spacing w:line="360" w:lineRule="auto"/>
        <w:ind w:firstLineChars="200" w:firstLine="480"/>
        <w:textAlignment w:val="bottom"/>
        <w:rPr>
          <w:bCs/>
          <w:sz w:val="24"/>
        </w:rPr>
      </w:pPr>
      <w:r>
        <w:rPr>
          <w:bCs/>
          <w:sz w:val="24"/>
        </w:rPr>
        <w:t>本基金的托管费按前一日基金资产净值的</w:t>
      </w:r>
      <w:r>
        <w:rPr>
          <w:rFonts w:hint="eastAsia"/>
          <w:bCs/>
          <w:sz w:val="24"/>
        </w:rPr>
        <w:t>0.15</w:t>
      </w:r>
      <w:r>
        <w:rPr>
          <w:bCs/>
          <w:sz w:val="24"/>
        </w:rPr>
        <w:t>%</w:t>
      </w:r>
      <w:r>
        <w:rPr>
          <w:bCs/>
          <w:sz w:val="24"/>
        </w:rPr>
        <w:t>的年费率计提。托管费的计算方法如下：</w:t>
      </w:r>
    </w:p>
    <w:p w14:paraId="11D12D6F" w14:textId="77777777" w:rsidR="0046184B" w:rsidRDefault="00000000">
      <w:pPr>
        <w:autoSpaceDE w:val="0"/>
        <w:autoSpaceDN w:val="0"/>
        <w:spacing w:line="360" w:lineRule="auto"/>
        <w:ind w:firstLineChars="200" w:firstLine="480"/>
        <w:textAlignment w:val="bottom"/>
        <w:rPr>
          <w:bCs/>
          <w:sz w:val="24"/>
        </w:rPr>
      </w:pPr>
      <w:r>
        <w:rPr>
          <w:bCs/>
          <w:sz w:val="24"/>
        </w:rPr>
        <w:t>H</w:t>
      </w:r>
      <w:r>
        <w:rPr>
          <w:bCs/>
          <w:sz w:val="24"/>
        </w:rPr>
        <w:t>＝</w:t>
      </w:r>
      <w:r>
        <w:rPr>
          <w:bCs/>
          <w:sz w:val="24"/>
        </w:rPr>
        <w:t>E×</w:t>
      </w:r>
      <w:r>
        <w:rPr>
          <w:rFonts w:hint="eastAsia"/>
          <w:bCs/>
          <w:sz w:val="24"/>
        </w:rPr>
        <w:t>0.15%</w:t>
      </w:r>
      <w:r>
        <w:rPr>
          <w:bCs/>
          <w:sz w:val="24"/>
        </w:rPr>
        <w:t>÷</w:t>
      </w:r>
      <w:r>
        <w:rPr>
          <w:bCs/>
          <w:sz w:val="24"/>
        </w:rPr>
        <w:t>当年天数</w:t>
      </w:r>
    </w:p>
    <w:p w14:paraId="20C8B240" w14:textId="77777777" w:rsidR="0046184B" w:rsidRDefault="00000000">
      <w:pPr>
        <w:autoSpaceDE w:val="0"/>
        <w:autoSpaceDN w:val="0"/>
        <w:spacing w:line="360" w:lineRule="auto"/>
        <w:ind w:firstLineChars="200" w:firstLine="480"/>
        <w:textAlignment w:val="bottom"/>
        <w:rPr>
          <w:bCs/>
          <w:sz w:val="24"/>
        </w:rPr>
      </w:pPr>
      <w:r>
        <w:rPr>
          <w:bCs/>
          <w:sz w:val="24"/>
        </w:rPr>
        <w:t>H</w:t>
      </w:r>
      <w:r>
        <w:rPr>
          <w:bCs/>
          <w:sz w:val="24"/>
        </w:rPr>
        <w:t>为每日应计提的基金托管费</w:t>
      </w:r>
    </w:p>
    <w:p w14:paraId="4E6AFA32" w14:textId="77777777" w:rsidR="0046184B" w:rsidRDefault="00000000">
      <w:pPr>
        <w:autoSpaceDE w:val="0"/>
        <w:autoSpaceDN w:val="0"/>
        <w:spacing w:line="360" w:lineRule="auto"/>
        <w:ind w:firstLineChars="200" w:firstLine="480"/>
        <w:textAlignment w:val="bottom"/>
        <w:rPr>
          <w:bCs/>
          <w:sz w:val="24"/>
        </w:rPr>
      </w:pPr>
      <w:r>
        <w:rPr>
          <w:bCs/>
          <w:sz w:val="24"/>
        </w:rPr>
        <w:lastRenderedPageBreak/>
        <w:t>E</w:t>
      </w:r>
      <w:r>
        <w:rPr>
          <w:bCs/>
          <w:sz w:val="24"/>
        </w:rPr>
        <w:t>为前一日的基金资产净值</w:t>
      </w:r>
    </w:p>
    <w:p w14:paraId="790D2BCC"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基金托管费每日计算，逐日累计至每月月末，按月支付，经基金管理人与基金托管人双方核对无误后，</w:t>
      </w:r>
      <w:r>
        <w:rPr>
          <w:bCs/>
          <w:sz w:val="24"/>
        </w:rPr>
        <w:t>基金托管人</w:t>
      </w:r>
      <w:r>
        <w:rPr>
          <w:rFonts w:hint="eastAsia"/>
          <w:bCs/>
          <w:sz w:val="24"/>
          <w:szCs w:val="24"/>
        </w:rPr>
        <w:t>按照</w:t>
      </w:r>
      <w:r>
        <w:rPr>
          <w:rFonts w:ascii="宋体" w:hAnsi="宋体" w:hint="eastAsia"/>
          <w:sz w:val="24"/>
          <w:szCs w:val="24"/>
        </w:rPr>
        <w:t>与基金管理人协商一致的方式</w:t>
      </w:r>
      <w:r>
        <w:rPr>
          <w:rFonts w:hint="eastAsia"/>
          <w:bCs/>
          <w:sz w:val="24"/>
        </w:rPr>
        <w:t>于次月前</w:t>
      </w:r>
      <w:r>
        <w:rPr>
          <w:rFonts w:hint="eastAsia"/>
          <w:bCs/>
          <w:sz w:val="24"/>
        </w:rPr>
        <w:t>5</w:t>
      </w:r>
      <w:r>
        <w:rPr>
          <w:rFonts w:hint="eastAsia"/>
          <w:bCs/>
          <w:sz w:val="24"/>
        </w:rPr>
        <w:t>个工作日内从基金财产中一次性支取。若遇法定节假日、公休日等，支付日期顺延。</w:t>
      </w:r>
    </w:p>
    <w:p w14:paraId="095636E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4B86322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0.1%</w:t>
      </w:r>
      <w:r>
        <w:rPr>
          <w:rFonts w:hint="eastAsia"/>
          <w:bCs/>
          <w:sz w:val="24"/>
        </w:rPr>
        <w:t>。</w:t>
      </w:r>
    </w:p>
    <w:p w14:paraId="76401A3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本基金销售服务费将专门用于本基金的销售与基金份额持有人服务，销售服务费计提的计算公式如下：</w:t>
      </w:r>
      <w:r>
        <w:rPr>
          <w:rFonts w:hint="eastAsia"/>
          <w:bCs/>
          <w:sz w:val="24"/>
        </w:rPr>
        <w:t xml:space="preserve"> </w:t>
      </w:r>
    </w:p>
    <w:p w14:paraId="143B052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H=E</w:t>
      </w:r>
      <w:r>
        <w:rPr>
          <w:rFonts w:hint="eastAsia"/>
          <w:bCs/>
          <w:sz w:val="24"/>
        </w:rPr>
        <w:t>×</w:t>
      </w:r>
      <w:r>
        <w:rPr>
          <w:rFonts w:hint="eastAsia"/>
          <w:bCs/>
          <w:sz w:val="24"/>
        </w:rPr>
        <w:t>0.1%</w:t>
      </w:r>
      <w:r>
        <w:rPr>
          <w:rFonts w:hint="eastAsia"/>
          <w:bCs/>
          <w:sz w:val="24"/>
        </w:rPr>
        <w:t>÷当年天数</w:t>
      </w:r>
    </w:p>
    <w:p w14:paraId="37417A2B" w14:textId="77777777" w:rsidR="0046184B"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65F884A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w:t>
      </w:r>
      <w:r>
        <w:rPr>
          <w:rFonts w:hint="eastAsia"/>
          <w:bCs/>
          <w:sz w:val="24"/>
        </w:rPr>
        <w:t>C</w:t>
      </w:r>
      <w:r>
        <w:rPr>
          <w:rFonts w:hint="eastAsia"/>
          <w:bCs/>
          <w:sz w:val="24"/>
        </w:rPr>
        <w:t>类基金份额前一日基金资产净值</w:t>
      </w:r>
    </w:p>
    <w:p w14:paraId="0A061459" w14:textId="77777777" w:rsidR="0046184B" w:rsidRDefault="00000000">
      <w:pPr>
        <w:autoSpaceDE w:val="0"/>
        <w:autoSpaceDN w:val="0"/>
        <w:spacing w:line="360" w:lineRule="auto"/>
        <w:ind w:firstLine="420"/>
        <w:textAlignment w:val="bottom"/>
        <w:rPr>
          <w:bCs/>
          <w:sz w:val="24"/>
        </w:rPr>
      </w:pPr>
      <w:r>
        <w:rPr>
          <w:rFonts w:hint="eastAsia"/>
          <w:bCs/>
          <w:sz w:val="24"/>
        </w:rPr>
        <w:t>基金销售服务费每日计算，逐日累计至每月月末，按月支付。经基金管理人与基金托管人双方核对无误后，基金托管人按照与基金管理人协商一致的方式于次月前</w:t>
      </w:r>
      <w:r>
        <w:rPr>
          <w:rFonts w:hint="eastAsia"/>
          <w:bCs/>
          <w:sz w:val="24"/>
        </w:rPr>
        <w:t>5</w:t>
      </w:r>
      <w:r>
        <w:rPr>
          <w:rFonts w:hint="eastAsia"/>
          <w:bCs/>
          <w:sz w:val="24"/>
        </w:rPr>
        <w:t>个工作日内从基金财产中一次性支付给基金管理人。若遇法定节假日、公休假等，支付日期顺延。</w:t>
      </w:r>
    </w:p>
    <w:p w14:paraId="264762B7" w14:textId="77777777" w:rsidR="0046184B" w:rsidRDefault="00000000">
      <w:pPr>
        <w:autoSpaceDE w:val="0"/>
        <w:autoSpaceDN w:val="0"/>
        <w:spacing w:line="360" w:lineRule="auto"/>
        <w:ind w:firstLineChars="200" w:firstLine="480"/>
        <w:textAlignment w:val="bottom"/>
        <w:rPr>
          <w:bCs/>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rFonts w:hint="eastAsia"/>
          <w:bCs/>
          <w:sz w:val="24"/>
        </w:rPr>
        <w:t>4</w:t>
      </w:r>
      <w:r>
        <w:rPr>
          <w:bCs/>
          <w:sz w:val="24"/>
        </w:rPr>
        <w:t>－</w:t>
      </w:r>
      <w:r>
        <w:rPr>
          <w:rFonts w:hint="eastAsia"/>
          <w:bCs/>
          <w:sz w:val="24"/>
        </w:rPr>
        <w:t>10</w:t>
      </w:r>
      <w:r>
        <w:rPr>
          <w:bCs/>
          <w:sz w:val="24"/>
        </w:rPr>
        <w:t>项费用，根据有关法规及相应协议规定，按费用实际支出金额列入当期费用，由基金托管人从基金财产中支付。</w:t>
      </w:r>
    </w:p>
    <w:p w14:paraId="1BA2CBCB" w14:textId="77777777" w:rsidR="0046184B" w:rsidRDefault="00000000">
      <w:pPr>
        <w:autoSpaceDE w:val="0"/>
        <w:autoSpaceDN w:val="0"/>
        <w:spacing w:line="360" w:lineRule="auto"/>
        <w:ind w:firstLineChars="200" w:firstLine="480"/>
        <w:textAlignment w:val="bottom"/>
        <w:rPr>
          <w:bCs/>
          <w:sz w:val="24"/>
        </w:rPr>
      </w:pPr>
      <w:r>
        <w:rPr>
          <w:bCs/>
          <w:sz w:val="24"/>
        </w:rPr>
        <w:t>三、不列入基金费用的项目</w:t>
      </w:r>
    </w:p>
    <w:p w14:paraId="4F70DEE5" w14:textId="77777777" w:rsidR="0046184B" w:rsidRDefault="00000000">
      <w:pPr>
        <w:autoSpaceDE w:val="0"/>
        <w:autoSpaceDN w:val="0"/>
        <w:spacing w:line="360" w:lineRule="auto"/>
        <w:ind w:firstLineChars="200" w:firstLine="480"/>
        <w:textAlignment w:val="bottom"/>
        <w:rPr>
          <w:bCs/>
          <w:sz w:val="24"/>
        </w:rPr>
      </w:pPr>
      <w:r>
        <w:rPr>
          <w:bCs/>
          <w:sz w:val="24"/>
        </w:rPr>
        <w:t>下列费用不列入基金费用：</w:t>
      </w:r>
    </w:p>
    <w:p w14:paraId="3823E137"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、基金管理人和基金托管人因未履行或未完全履行义务导致的费用支出或基金财产的损失；</w:t>
      </w:r>
    </w:p>
    <w:p w14:paraId="5383D5A5"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、基金管理人和基金托管人处理与基金运作无关的事项发生的费用；</w:t>
      </w:r>
    </w:p>
    <w:p w14:paraId="03A7EC8B" w14:textId="77777777" w:rsidR="0046184B" w:rsidRDefault="00000000">
      <w:pPr>
        <w:autoSpaceDE w:val="0"/>
        <w:autoSpaceDN w:val="0"/>
        <w:spacing w:line="360" w:lineRule="auto"/>
        <w:ind w:firstLineChars="200" w:firstLine="480"/>
        <w:textAlignment w:val="bottom"/>
        <w:rPr>
          <w:bCs/>
          <w:sz w:val="24"/>
        </w:rPr>
      </w:pPr>
      <w:r>
        <w:rPr>
          <w:bCs/>
          <w:sz w:val="24"/>
        </w:rPr>
        <w:t>3</w:t>
      </w:r>
      <w:r>
        <w:rPr>
          <w:bCs/>
          <w:sz w:val="24"/>
        </w:rPr>
        <w:t>、《基金合同》生效前的相关费用；</w:t>
      </w:r>
    </w:p>
    <w:p w14:paraId="5C2A3C8D" w14:textId="77777777" w:rsidR="0046184B" w:rsidRDefault="00000000">
      <w:pPr>
        <w:autoSpaceDE w:val="0"/>
        <w:autoSpaceDN w:val="0"/>
        <w:spacing w:line="360" w:lineRule="auto"/>
        <w:ind w:firstLineChars="200" w:firstLine="480"/>
        <w:textAlignment w:val="bottom"/>
        <w:rPr>
          <w:bCs/>
          <w:sz w:val="24"/>
        </w:rPr>
      </w:pPr>
      <w:r>
        <w:rPr>
          <w:bCs/>
          <w:sz w:val="24"/>
        </w:rPr>
        <w:t>4</w:t>
      </w:r>
      <w:r>
        <w:rPr>
          <w:bCs/>
          <w:sz w:val="24"/>
        </w:rPr>
        <w:t>、其他根据相关法律法规及中国证监会的有关规定不得列入基金费用的项目。</w:t>
      </w:r>
      <w:bookmarkStart w:id="285" w:name="_Hlt88827255"/>
      <w:bookmarkEnd w:id="285"/>
    </w:p>
    <w:p w14:paraId="5B61E5EE"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四</w:t>
      </w:r>
      <w:r>
        <w:rPr>
          <w:bCs/>
          <w:sz w:val="24"/>
        </w:rPr>
        <w:t>、基金税收</w:t>
      </w:r>
    </w:p>
    <w:p w14:paraId="55BECD33" w14:textId="77777777" w:rsidR="0046184B" w:rsidRDefault="00000000">
      <w:pPr>
        <w:autoSpaceDE w:val="0"/>
        <w:autoSpaceDN w:val="0"/>
        <w:spacing w:line="360" w:lineRule="auto"/>
        <w:ind w:firstLineChars="200" w:firstLine="480"/>
        <w:textAlignment w:val="bottom"/>
        <w:rPr>
          <w:bCs/>
          <w:sz w:val="24"/>
        </w:rPr>
      </w:pPr>
      <w:r>
        <w:rPr>
          <w:bCs/>
          <w:sz w:val="24"/>
        </w:rPr>
        <w:t>本基金运作过程中涉及的各纳税主体，其纳税义务按国家税收法律、法规执</w:t>
      </w:r>
      <w:r>
        <w:rPr>
          <w:bCs/>
          <w:sz w:val="24"/>
        </w:rPr>
        <w:lastRenderedPageBreak/>
        <w:t>行。</w:t>
      </w:r>
    </w:p>
    <w:p w14:paraId="53B31B60" w14:textId="77777777" w:rsidR="0046184B" w:rsidRDefault="00000000">
      <w:pPr>
        <w:autoSpaceDE w:val="0"/>
        <w:autoSpaceDN w:val="0"/>
        <w:spacing w:line="360" w:lineRule="auto"/>
        <w:ind w:firstLineChars="200" w:firstLine="480"/>
        <w:textAlignment w:val="bottom"/>
        <w:rPr>
          <w:rFonts w:asciiTheme="minorEastAsia" w:hAnsiTheme="minorEastAsia" w:cs="Times New Roman" w:hint="eastAsia"/>
          <w:bCs/>
          <w:sz w:val="24"/>
          <w:szCs w:val="24"/>
        </w:rPr>
        <w:sectPr w:rsidR="0046184B">
          <w:footerReference w:type="default" r:id="rId34"/>
          <w:pgSz w:w="11906" w:h="16838"/>
          <w:pgMar w:top="1440" w:right="1800" w:bottom="1440" w:left="1800" w:header="851" w:footer="992" w:gutter="0"/>
          <w:pgNumType w:chapStyle="1"/>
          <w:cols w:space="720"/>
          <w:docGrid w:type="lines" w:linePitch="312"/>
        </w:sectPr>
      </w:pPr>
      <w:r>
        <w:rPr>
          <w:rFonts w:hint="eastAsia"/>
          <w:bCs/>
          <w:sz w:val="24"/>
        </w:rPr>
        <w:t>基金财产投资的相关税收，由基金份额持有人承担，基金管理人或者其他扣缴义务人按照国家有关税收征收的规定代扣代缴。</w:t>
      </w:r>
    </w:p>
    <w:p w14:paraId="4AD1B872" w14:textId="77777777" w:rsidR="0046184B" w:rsidRDefault="00000000">
      <w:pPr>
        <w:pStyle w:val="1"/>
        <w:jc w:val="center"/>
        <w:rPr>
          <w:sz w:val="30"/>
          <w:szCs w:val="30"/>
        </w:rPr>
      </w:pPr>
      <w:bookmarkStart w:id="286" w:name="_Toc37770217"/>
      <w:r>
        <w:rPr>
          <w:rFonts w:hint="eastAsia"/>
          <w:sz w:val="30"/>
          <w:szCs w:val="30"/>
        </w:rPr>
        <w:lastRenderedPageBreak/>
        <w:t>第十四部分</w:t>
      </w:r>
      <w:r>
        <w:rPr>
          <w:sz w:val="30"/>
          <w:szCs w:val="30"/>
        </w:rPr>
        <w:t xml:space="preserve">  </w:t>
      </w:r>
      <w:r>
        <w:rPr>
          <w:rFonts w:hint="eastAsia"/>
          <w:sz w:val="30"/>
          <w:szCs w:val="30"/>
        </w:rPr>
        <w:t>基金的会计与审计</w:t>
      </w:r>
      <w:bookmarkEnd w:id="268"/>
      <w:bookmarkEnd w:id="269"/>
      <w:bookmarkEnd w:id="270"/>
      <w:bookmarkEnd w:id="286"/>
    </w:p>
    <w:p w14:paraId="6A9DBE09" w14:textId="77777777" w:rsidR="0046184B" w:rsidRDefault="00000000">
      <w:pPr>
        <w:autoSpaceDE w:val="0"/>
        <w:autoSpaceDN w:val="0"/>
        <w:spacing w:line="360" w:lineRule="auto"/>
        <w:ind w:firstLineChars="200" w:firstLine="480"/>
        <w:textAlignment w:val="bottom"/>
        <w:rPr>
          <w:bCs/>
          <w:sz w:val="24"/>
        </w:rPr>
      </w:pPr>
      <w:r>
        <w:rPr>
          <w:bCs/>
          <w:sz w:val="24"/>
        </w:rPr>
        <w:t>一、基金会计政策</w:t>
      </w:r>
    </w:p>
    <w:p w14:paraId="40904A31"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、基金管理人为本基金的基金会计责任方；</w:t>
      </w:r>
    </w:p>
    <w:p w14:paraId="7A7B1B5B"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14:paraId="5FD55EEE" w14:textId="77777777" w:rsidR="0046184B" w:rsidRDefault="00000000">
      <w:pPr>
        <w:autoSpaceDE w:val="0"/>
        <w:autoSpaceDN w:val="0"/>
        <w:spacing w:line="360" w:lineRule="auto"/>
        <w:ind w:firstLineChars="200" w:firstLine="480"/>
        <w:textAlignment w:val="bottom"/>
        <w:rPr>
          <w:bCs/>
          <w:sz w:val="24"/>
        </w:rPr>
      </w:pPr>
      <w:r>
        <w:rPr>
          <w:bCs/>
          <w:sz w:val="24"/>
        </w:rPr>
        <w:t>3</w:t>
      </w:r>
      <w:r>
        <w:rPr>
          <w:bCs/>
          <w:sz w:val="24"/>
        </w:rPr>
        <w:t>、基金核算以人民币为记账本位币，以人民币元为记账单位；</w:t>
      </w:r>
    </w:p>
    <w:p w14:paraId="17A7A775" w14:textId="77777777" w:rsidR="0046184B" w:rsidRDefault="00000000">
      <w:pPr>
        <w:autoSpaceDE w:val="0"/>
        <w:autoSpaceDN w:val="0"/>
        <w:spacing w:line="360" w:lineRule="auto"/>
        <w:ind w:firstLineChars="200" w:firstLine="480"/>
        <w:textAlignment w:val="bottom"/>
        <w:rPr>
          <w:bCs/>
          <w:sz w:val="24"/>
        </w:rPr>
      </w:pPr>
      <w:r>
        <w:rPr>
          <w:bCs/>
          <w:sz w:val="24"/>
        </w:rPr>
        <w:t>4</w:t>
      </w:r>
      <w:r>
        <w:rPr>
          <w:bCs/>
          <w:sz w:val="24"/>
        </w:rPr>
        <w:t>、会计制度执行国家有关会计制度；</w:t>
      </w:r>
    </w:p>
    <w:p w14:paraId="15CFE290" w14:textId="77777777" w:rsidR="0046184B" w:rsidRDefault="00000000">
      <w:pPr>
        <w:autoSpaceDE w:val="0"/>
        <w:autoSpaceDN w:val="0"/>
        <w:spacing w:line="360" w:lineRule="auto"/>
        <w:ind w:firstLineChars="200" w:firstLine="480"/>
        <w:textAlignment w:val="bottom"/>
        <w:rPr>
          <w:bCs/>
          <w:sz w:val="24"/>
        </w:rPr>
      </w:pPr>
      <w:r>
        <w:rPr>
          <w:bCs/>
          <w:sz w:val="24"/>
        </w:rPr>
        <w:t>5</w:t>
      </w:r>
      <w:r>
        <w:rPr>
          <w:bCs/>
          <w:sz w:val="24"/>
        </w:rPr>
        <w:t>、本基金独立建账、独立核算；</w:t>
      </w:r>
    </w:p>
    <w:p w14:paraId="6333647C" w14:textId="77777777" w:rsidR="0046184B" w:rsidRDefault="00000000">
      <w:pPr>
        <w:autoSpaceDE w:val="0"/>
        <w:autoSpaceDN w:val="0"/>
        <w:spacing w:line="360" w:lineRule="auto"/>
        <w:ind w:firstLineChars="200" w:firstLine="480"/>
        <w:textAlignment w:val="bottom"/>
        <w:rPr>
          <w:bCs/>
          <w:sz w:val="24"/>
        </w:rPr>
      </w:pPr>
      <w:r>
        <w:rPr>
          <w:bCs/>
          <w:sz w:val="24"/>
        </w:rPr>
        <w:t>6</w:t>
      </w:r>
      <w:r>
        <w:rPr>
          <w:bCs/>
          <w:sz w:val="24"/>
        </w:rPr>
        <w:t>、基金管理人及基金托管人各自保留完整的会计账目、凭证并进行日常的会计核算，按照有关规定编制基金会计报表；</w:t>
      </w:r>
    </w:p>
    <w:p w14:paraId="45A2CF66" w14:textId="77777777" w:rsidR="0046184B" w:rsidRDefault="00000000">
      <w:pPr>
        <w:autoSpaceDE w:val="0"/>
        <w:autoSpaceDN w:val="0"/>
        <w:spacing w:line="360" w:lineRule="auto"/>
        <w:ind w:firstLineChars="200" w:firstLine="480"/>
        <w:textAlignment w:val="bottom"/>
        <w:rPr>
          <w:bCs/>
          <w:sz w:val="24"/>
        </w:rPr>
      </w:pPr>
      <w:r>
        <w:rPr>
          <w:bCs/>
          <w:sz w:val="24"/>
        </w:rPr>
        <w:t>7</w:t>
      </w:r>
      <w:r>
        <w:rPr>
          <w:bCs/>
          <w:sz w:val="24"/>
        </w:rPr>
        <w:t>、基金托管人每月与基金管理人就基金的会计核算、报表编制等进行核对并以书面方式确认。</w:t>
      </w:r>
    </w:p>
    <w:p w14:paraId="11FB5A8B" w14:textId="77777777" w:rsidR="0046184B" w:rsidRDefault="00000000">
      <w:pPr>
        <w:autoSpaceDE w:val="0"/>
        <w:autoSpaceDN w:val="0"/>
        <w:spacing w:line="360" w:lineRule="auto"/>
        <w:ind w:firstLineChars="200" w:firstLine="480"/>
        <w:textAlignment w:val="bottom"/>
        <w:rPr>
          <w:bCs/>
          <w:sz w:val="24"/>
        </w:rPr>
      </w:pPr>
      <w:r>
        <w:rPr>
          <w:bCs/>
          <w:sz w:val="24"/>
        </w:rPr>
        <w:t>二、基金的年度审计</w:t>
      </w:r>
    </w:p>
    <w:p w14:paraId="72CD3BD8"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、基金管理人聘请与基金管理人、基金托管人相互独立的</w:t>
      </w:r>
      <w:r>
        <w:rPr>
          <w:rFonts w:hint="eastAsia"/>
          <w:bCs/>
          <w:kern w:val="0"/>
          <w:sz w:val="24"/>
        </w:rPr>
        <w:t>具有证券、期货相关业务资格</w:t>
      </w:r>
      <w:r>
        <w:rPr>
          <w:bCs/>
          <w:sz w:val="24"/>
        </w:rPr>
        <w:t>的会计师事务所及其注册会计师对本基金的年度财务报表进行审计。</w:t>
      </w:r>
    </w:p>
    <w:p w14:paraId="467DB3E5"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、会计师事务所更换经办注册会计师，应事先征得基金管理人同意。</w:t>
      </w:r>
    </w:p>
    <w:p w14:paraId="5F6B3DB8"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bCs/>
          <w:sz w:val="24"/>
        </w:rPr>
        <w:t>3</w:t>
      </w:r>
      <w:r>
        <w:rPr>
          <w:bCs/>
          <w:sz w:val="24"/>
        </w:rPr>
        <w:t>、</w:t>
      </w:r>
      <w:bookmarkStart w:id="287" w:name="_Hlt4221115"/>
      <w:bookmarkEnd w:id="287"/>
      <w:r>
        <w:rPr>
          <w:bCs/>
          <w:sz w:val="24"/>
        </w:rPr>
        <w:t>基金管理人认为有充足理由更换会计师事务所，须通报基金托管人。更换会计师事务所需在</w:t>
      </w:r>
      <w:r>
        <w:rPr>
          <w:rFonts w:hint="eastAsia"/>
          <w:bCs/>
          <w:sz w:val="24"/>
        </w:rPr>
        <w:t>2</w:t>
      </w:r>
      <w:r>
        <w:rPr>
          <w:rFonts w:hint="eastAsia"/>
          <w:bCs/>
          <w:sz w:val="24"/>
        </w:rPr>
        <w:t>个工作</w:t>
      </w:r>
      <w:r>
        <w:rPr>
          <w:bCs/>
          <w:sz w:val="24"/>
        </w:rPr>
        <w:t>日内在</w:t>
      </w:r>
      <w:r>
        <w:rPr>
          <w:rFonts w:hint="eastAsia"/>
          <w:bCs/>
          <w:sz w:val="24"/>
        </w:rPr>
        <w:t>指定媒介</w:t>
      </w:r>
      <w:r>
        <w:rPr>
          <w:bCs/>
          <w:sz w:val="24"/>
        </w:rPr>
        <w:t>公告。</w:t>
      </w:r>
    </w:p>
    <w:p w14:paraId="4C2426B5" w14:textId="77777777" w:rsidR="0046184B" w:rsidRDefault="0046184B">
      <w:pPr>
        <w:widowControl/>
        <w:spacing w:line="360" w:lineRule="auto"/>
        <w:jc w:val="left"/>
        <w:rPr>
          <w:rFonts w:asciiTheme="minorEastAsia" w:hAnsiTheme="minorEastAsia" w:cs="Times New Roman" w:hint="eastAsia"/>
          <w:b/>
          <w:kern w:val="0"/>
          <w:sz w:val="24"/>
          <w:szCs w:val="24"/>
        </w:rPr>
        <w:sectPr w:rsidR="0046184B">
          <w:footerReference w:type="default" r:id="rId35"/>
          <w:pgSz w:w="11906" w:h="16838"/>
          <w:pgMar w:top="1440" w:right="1800" w:bottom="1440" w:left="1800" w:header="851" w:footer="992" w:gutter="0"/>
          <w:pgNumType w:chapStyle="1"/>
          <w:cols w:space="720"/>
          <w:docGrid w:type="lines" w:linePitch="312"/>
        </w:sectPr>
      </w:pPr>
    </w:p>
    <w:p w14:paraId="1417EBD2" w14:textId="77777777" w:rsidR="0046184B" w:rsidRDefault="00000000">
      <w:pPr>
        <w:pStyle w:val="1"/>
        <w:jc w:val="center"/>
        <w:rPr>
          <w:sz w:val="30"/>
          <w:szCs w:val="30"/>
        </w:rPr>
      </w:pPr>
      <w:bookmarkStart w:id="288" w:name="_Toc79978642"/>
      <w:bookmarkStart w:id="289" w:name="_Toc214873604"/>
      <w:bookmarkStart w:id="290" w:name="_Toc263092323"/>
      <w:bookmarkStart w:id="291" w:name="_Toc37770218"/>
      <w:bookmarkStart w:id="292" w:name="_Toc416264551"/>
      <w:bookmarkStart w:id="293" w:name="_Toc22552"/>
      <w:bookmarkStart w:id="294" w:name="_Toc25883"/>
      <w:bookmarkStart w:id="295" w:name="_Toc21829"/>
      <w:bookmarkStart w:id="296" w:name="_Toc1617"/>
      <w:bookmarkStart w:id="297" w:name="_Toc92662707"/>
      <w:bookmarkStart w:id="298" w:name="_Toc178"/>
      <w:bookmarkStart w:id="299" w:name="_Toc93226149"/>
      <w:bookmarkStart w:id="300" w:name="_Toc15525"/>
      <w:bookmarkStart w:id="301" w:name="_Toc3656"/>
      <w:bookmarkStart w:id="302" w:name="_Toc352229762"/>
      <w:bookmarkStart w:id="303" w:name="_Toc141703896"/>
      <w:bookmarkStart w:id="304" w:name="_Toc128310499"/>
      <w:bookmarkStart w:id="305" w:name="_Toc20052"/>
      <w:bookmarkStart w:id="306" w:name="_Toc15351"/>
      <w:bookmarkStart w:id="307" w:name="_Toc19558"/>
      <w:bookmarkStart w:id="308" w:name="_Toc139991746"/>
      <w:bookmarkStart w:id="309" w:name="_Toc12761"/>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r>
        <w:rPr>
          <w:rFonts w:hint="eastAsia"/>
          <w:sz w:val="30"/>
          <w:szCs w:val="30"/>
        </w:rPr>
        <w:lastRenderedPageBreak/>
        <w:t>第十五部分</w:t>
      </w:r>
      <w:r>
        <w:rPr>
          <w:sz w:val="30"/>
          <w:szCs w:val="30"/>
        </w:rPr>
        <w:t xml:space="preserve">  </w:t>
      </w:r>
      <w:r>
        <w:rPr>
          <w:rFonts w:hint="eastAsia"/>
          <w:sz w:val="30"/>
          <w:szCs w:val="30"/>
        </w:rPr>
        <w:t>基金的信息披露</w:t>
      </w:r>
      <w:bookmarkEnd w:id="288"/>
      <w:bookmarkEnd w:id="289"/>
      <w:bookmarkEnd w:id="290"/>
      <w:bookmarkEnd w:id="291"/>
      <w:bookmarkEnd w:id="292"/>
    </w:p>
    <w:p w14:paraId="74BE831F" w14:textId="77777777" w:rsidR="0046184B" w:rsidRDefault="00000000">
      <w:pPr>
        <w:autoSpaceDE w:val="0"/>
        <w:autoSpaceDN w:val="0"/>
        <w:spacing w:line="360" w:lineRule="auto"/>
        <w:ind w:firstLineChars="200" w:firstLine="480"/>
        <w:textAlignment w:val="bottom"/>
        <w:rPr>
          <w:bCs/>
          <w:sz w:val="24"/>
        </w:rPr>
      </w:pPr>
      <w:r>
        <w:rPr>
          <w:bCs/>
          <w:sz w:val="24"/>
        </w:rPr>
        <w:t>一、本基金的信息披露应符合《基金法》、《运作办法》、《信息披露办法》、《基金合同》及其他有关规定。</w:t>
      </w:r>
    </w:p>
    <w:p w14:paraId="4BB92011" w14:textId="77777777" w:rsidR="0046184B" w:rsidRDefault="00000000">
      <w:pPr>
        <w:autoSpaceDE w:val="0"/>
        <w:autoSpaceDN w:val="0"/>
        <w:spacing w:line="360" w:lineRule="auto"/>
        <w:ind w:firstLineChars="200" w:firstLine="480"/>
        <w:textAlignment w:val="bottom"/>
        <w:rPr>
          <w:bCs/>
          <w:sz w:val="24"/>
        </w:rPr>
      </w:pPr>
      <w:r>
        <w:rPr>
          <w:bCs/>
          <w:sz w:val="24"/>
        </w:rPr>
        <w:t>二、信息披露义务人</w:t>
      </w:r>
    </w:p>
    <w:p w14:paraId="181003EB" w14:textId="77777777" w:rsidR="0046184B" w:rsidRDefault="00000000">
      <w:pPr>
        <w:autoSpaceDE w:val="0"/>
        <w:autoSpaceDN w:val="0"/>
        <w:spacing w:line="360" w:lineRule="auto"/>
        <w:ind w:firstLineChars="200" w:firstLine="480"/>
        <w:textAlignment w:val="bottom"/>
        <w:rPr>
          <w:bCs/>
          <w:sz w:val="24"/>
        </w:rPr>
      </w:pPr>
      <w:r>
        <w:rPr>
          <w:bCs/>
          <w:sz w:val="24"/>
        </w:rPr>
        <w:t>本基金信息披露义务人包括基金管理人、基金托管人、召集基金份额持有人大会的基金份额持有人等法律法规和中国证监会规定的自然人、法人和</w:t>
      </w:r>
      <w:r>
        <w:rPr>
          <w:rFonts w:hint="eastAsia"/>
          <w:bCs/>
          <w:sz w:val="24"/>
        </w:rPr>
        <w:t>非法人</w:t>
      </w:r>
      <w:r>
        <w:rPr>
          <w:bCs/>
          <w:sz w:val="24"/>
        </w:rPr>
        <w:t>组织。</w:t>
      </w:r>
    </w:p>
    <w:p w14:paraId="39731CBF" w14:textId="77777777" w:rsidR="0046184B" w:rsidRDefault="00000000">
      <w:pPr>
        <w:autoSpaceDE w:val="0"/>
        <w:autoSpaceDN w:val="0"/>
        <w:spacing w:line="360" w:lineRule="auto"/>
        <w:ind w:firstLineChars="200" w:firstLine="480"/>
        <w:textAlignment w:val="bottom"/>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kern w:val="0"/>
          <w:sz w:val="24"/>
        </w:rPr>
        <w:t>、及时性、简明性和易得性</w:t>
      </w:r>
      <w:r>
        <w:rPr>
          <w:bCs/>
          <w:sz w:val="24"/>
        </w:rPr>
        <w:t>。</w:t>
      </w:r>
    </w:p>
    <w:p w14:paraId="1022A514" w14:textId="77777777" w:rsidR="0046184B" w:rsidRDefault="00000000">
      <w:pPr>
        <w:autoSpaceDE w:val="0"/>
        <w:autoSpaceDN w:val="0"/>
        <w:spacing w:line="360" w:lineRule="auto"/>
        <w:ind w:firstLineChars="200" w:firstLine="480"/>
        <w:textAlignment w:val="bottom"/>
        <w:rPr>
          <w:bCs/>
          <w:sz w:val="24"/>
        </w:rPr>
      </w:pPr>
      <w:r>
        <w:rPr>
          <w:bCs/>
          <w:sz w:val="24"/>
        </w:rPr>
        <w:t>本基金信息披露义务人应当在中国证监会规定时间内，将应予披露的基金信息通过中国证监会指定的</w:t>
      </w:r>
      <w:r>
        <w:rPr>
          <w:rFonts w:hint="eastAsia"/>
          <w:bCs/>
          <w:sz w:val="24"/>
        </w:rPr>
        <w:t>媒介</w:t>
      </w:r>
      <w:r>
        <w:rPr>
          <w:bCs/>
          <w:sz w:val="24"/>
        </w:rPr>
        <w:t>和基金管理人、基金托管人的互联网网站（以下简称</w:t>
      </w:r>
      <w:r>
        <w:rPr>
          <w:rFonts w:hint="eastAsia"/>
          <w:bCs/>
          <w:sz w:val="24"/>
        </w:rPr>
        <w:t>“</w:t>
      </w:r>
      <w:r>
        <w:rPr>
          <w:bCs/>
          <w:sz w:val="24"/>
        </w:rPr>
        <w:t>网站</w:t>
      </w:r>
      <w:r>
        <w:rPr>
          <w:rFonts w:hint="eastAsia"/>
          <w:bCs/>
          <w:sz w:val="24"/>
        </w:rPr>
        <w:t>”</w:t>
      </w:r>
      <w:r>
        <w:rPr>
          <w:bCs/>
          <w:sz w:val="24"/>
        </w:rPr>
        <w:t>）等媒介披露，并保证基金投资者能够按照《基金合同》约定的时间和方式查阅或者复制公开披露的信息资料。</w:t>
      </w:r>
    </w:p>
    <w:p w14:paraId="1C23B401" w14:textId="77777777" w:rsidR="0046184B" w:rsidRDefault="00000000">
      <w:pPr>
        <w:autoSpaceDE w:val="0"/>
        <w:autoSpaceDN w:val="0"/>
        <w:spacing w:line="360" w:lineRule="auto"/>
        <w:ind w:firstLineChars="200" w:firstLine="480"/>
        <w:textAlignment w:val="bottom"/>
        <w:rPr>
          <w:bCs/>
          <w:sz w:val="24"/>
        </w:rPr>
      </w:pPr>
      <w:r>
        <w:rPr>
          <w:bCs/>
          <w:sz w:val="24"/>
        </w:rPr>
        <w:t>三、本基金信息披露义务人承诺公开披露的基金信息，不得有下列行为：</w:t>
      </w:r>
    </w:p>
    <w:p w14:paraId="20BD45A2"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、虚假记载、误导性陈述或者重大遗漏；</w:t>
      </w:r>
    </w:p>
    <w:p w14:paraId="18252555"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、对证券投资业绩进行预测；</w:t>
      </w:r>
    </w:p>
    <w:p w14:paraId="6415DA4F" w14:textId="77777777" w:rsidR="0046184B" w:rsidRDefault="00000000">
      <w:pPr>
        <w:autoSpaceDE w:val="0"/>
        <w:autoSpaceDN w:val="0"/>
        <w:spacing w:line="360" w:lineRule="auto"/>
        <w:ind w:firstLineChars="200" w:firstLine="480"/>
        <w:textAlignment w:val="bottom"/>
        <w:rPr>
          <w:bCs/>
          <w:sz w:val="24"/>
        </w:rPr>
      </w:pPr>
      <w:r>
        <w:rPr>
          <w:bCs/>
          <w:sz w:val="24"/>
        </w:rPr>
        <w:t>3</w:t>
      </w:r>
      <w:r>
        <w:rPr>
          <w:bCs/>
          <w:sz w:val="24"/>
        </w:rPr>
        <w:t>、违规承诺收益或者承担损失；</w:t>
      </w:r>
    </w:p>
    <w:p w14:paraId="3564FDE3" w14:textId="77777777" w:rsidR="0046184B" w:rsidRDefault="00000000">
      <w:pPr>
        <w:autoSpaceDE w:val="0"/>
        <w:autoSpaceDN w:val="0"/>
        <w:spacing w:line="360" w:lineRule="auto"/>
        <w:ind w:firstLineChars="200" w:firstLine="480"/>
        <w:textAlignment w:val="bottom"/>
        <w:rPr>
          <w:bCs/>
          <w:sz w:val="24"/>
        </w:rPr>
      </w:pPr>
      <w:r>
        <w:rPr>
          <w:bCs/>
          <w:sz w:val="24"/>
        </w:rPr>
        <w:t>4</w:t>
      </w:r>
      <w:r>
        <w:rPr>
          <w:bCs/>
          <w:sz w:val="24"/>
        </w:rPr>
        <w:t>、诋毁其他基金管理人、基金托管人或者基金销售机构；</w:t>
      </w:r>
    </w:p>
    <w:p w14:paraId="7E6CCA99" w14:textId="77777777" w:rsidR="0046184B" w:rsidRDefault="00000000">
      <w:pPr>
        <w:autoSpaceDE w:val="0"/>
        <w:autoSpaceDN w:val="0"/>
        <w:spacing w:line="360" w:lineRule="auto"/>
        <w:ind w:firstLineChars="200" w:firstLine="480"/>
        <w:textAlignment w:val="bottom"/>
        <w:rPr>
          <w:bCs/>
          <w:sz w:val="24"/>
        </w:rPr>
      </w:pPr>
      <w:r>
        <w:rPr>
          <w:bCs/>
          <w:sz w:val="24"/>
        </w:rPr>
        <w:t>5</w:t>
      </w:r>
      <w:r>
        <w:rPr>
          <w:bCs/>
          <w:sz w:val="24"/>
        </w:rPr>
        <w:t>、登载任何自然人、法人或者</w:t>
      </w:r>
      <w:r>
        <w:rPr>
          <w:rFonts w:hint="eastAsia"/>
          <w:bCs/>
          <w:sz w:val="24"/>
        </w:rPr>
        <w:t>非法人</w:t>
      </w:r>
      <w:r>
        <w:rPr>
          <w:bCs/>
          <w:sz w:val="24"/>
        </w:rPr>
        <w:t>组织的祝贺性、恭维性或推荐性的文字；</w:t>
      </w:r>
    </w:p>
    <w:p w14:paraId="2EA54752" w14:textId="77777777" w:rsidR="0046184B" w:rsidRDefault="00000000">
      <w:pPr>
        <w:autoSpaceDE w:val="0"/>
        <w:autoSpaceDN w:val="0"/>
        <w:spacing w:line="360" w:lineRule="auto"/>
        <w:ind w:firstLineChars="200" w:firstLine="480"/>
        <w:textAlignment w:val="bottom"/>
        <w:rPr>
          <w:bCs/>
          <w:sz w:val="24"/>
        </w:rPr>
      </w:pPr>
      <w:r>
        <w:rPr>
          <w:bCs/>
          <w:sz w:val="24"/>
        </w:rPr>
        <w:t>6</w:t>
      </w:r>
      <w:r>
        <w:rPr>
          <w:bCs/>
          <w:sz w:val="24"/>
        </w:rPr>
        <w:t>、中国证监会禁止的其他行为。</w:t>
      </w:r>
    </w:p>
    <w:p w14:paraId="15ADD275" w14:textId="77777777" w:rsidR="0046184B" w:rsidRDefault="00000000">
      <w:pPr>
        <w:autoSpaceDE w:val="0"/>
        <w:autoSpaceDN w:val="0"/>
        <w:spacing w:line="360" w:lineRule="auto"/>
        <w:ind w:firstLineChars="200" w:firstLine="480"/>
        <w:textAlignment w:val="bottom"/>
        <w:rPr>
          <w:bCs/>
          <w:sz w:val="24"/>
        </w:rPr>
      </w:pPr>
      <w:r>
        <w:rPr>
          <w:bCs/>
          <w:sz w:val="24"/>
        </w:rPr>
        <w:t>四、本基金公开披露的信息应采用中文文本。</w:t>
      </w:r>
      <w:r>
        <w:rPr>
          <w:rFonts w:hint="eastAsia"/>
          <w:bCs/>
          <w:kern w:val="0"/>
          <w:sz w:val="24"/>
        </w:rPr>
        <w:t>如同时采用外文文本的，基金信息披露义务人应保证不同文本的内容一致。不同文本之间发生歧义的，以中文文本为准。</w:t>
      </w:r>
    </w:p>
    <w:p w14:paraId="486F98C9" w14:textId="77777777" w:rsidR="0046184B" w:rsidRDefault="00000000">
      <w:pPr>
        <w:autoSpaceDE w:val="0"/>
        <w:autoSpaceDN w:val="0"/>
        <w:spacing w:line="360" w:lineRule="auto"/>
        <w:ind w:firstLineChars="200" w:firstLine="480"/>
        <w:textAlignment w:val="bottom"/>
        <w:rPr>
          <w:bCs/>
          <w:sz w:val="24"/>
        </w:rPr>
      </w:pPr>
      <w:r>
        <w:rPr>
          <w:bCs/>
          <w:sz w:val="24"/>
        </w:rPr>
        <w:t>本基金公开披露的信息采用阿拉伯数字；除特别说明外，货币单位为人民币元。</w:t>
      </w:r>
    </w:p>
    <w:p w14:paraId="7C453F64" w14:textId="77777777" w:rsidR="0046184B" w:rsidRDefault="00000000">
      <w:pPr>
        <w:autoSpaceDE w:val="0"/>
        <w:autoSpaceDN w:val="0"/>
        <w:spacing w:line="360" w:lineRule="auto"/>
        <w:ind w:firstLineChars="200" w:firstLine="480"/>
        <w:textAlignment w:val="bottom"/>
        <w:rPr>
          <w:bCs/>
          <w:sz w:val="24"/>
        </w:rPr>
      </w:pPr>
      <w:r>
        <w:rPr>
          <w:bCs/>
          <w:sz w:val="24"/>
        </w:rPr>
        <w:t>五、公开披露的基金信息</w:t>
      </w:r>
    </w:p>
    <w:p w14:paraId="079DE082" w14:textId="77777777" w:rsidR="0046184B" w:rsidRDefault="00000000">
      <w:pPr>
        <w:autoSpaceDE w:val="0"/>
        <w:autoSpaceDN w:val="0"/>
        <w:spacing w:line="360" w:lineRule="auto"/>
        <w:ind w:firstLineChars="200" w:firstLine="480"/>
        <w:textAlignment w:val="bottom"/>
        <w:rPr>
          <w:bCs/>
          <w:sz w:val="24"/>
        </w:rPr>
      </w:pPr>
      <w:r>
        <w:rPr>
          <w:bCs/>
          <w:sz w:val="24"/>
        </w:rPr>
        <w:t>公开披露的基金信息包括：</w:t>
      </w:r>
    </w:p>
    <w:p w14:paraId="4EBA9465" w14:textId="77777777" w:rsidR="0046184B" w:rsidRDefault="00000000">
      <w:pPr>
        <w:autoSpaceDE w:val="0"/>
        <w:autoSpaceDN w:val="0"/>
        <w:spacing w:line="360" w:lineRule="auto"/>
        <w:ind w:firstLineChars="200" w:firstLine="480"/>
        <w:textAlignment w:val="bottom"/>
        <w:rPr>
          <w:bCs/>
          <w:sz w:val="24"/>
        </w:rPr>
      </w:pPr>
      <w:r>
        <w:rPr>
          <w:bCs/>
          <w:sz w:val="24"/>
        </w:rPr>
        <w:lastRenderedPageBreak/>
        <w:t>（一）基金招募说明书、《基金合同》、基金托管协议</w:t>
      </w:r>
      <w:r>
        <w:rPr>
          <w:rFonts w:hint="eastAsia"/>
          <w:bCs/>
          <w:kern w:val="0"/>
          <w:sz w:val="24"/>
        </w:rPr>
        <w:t>、基金产品资料概要</w:t>
      </w:r>
    </w:p>
    <w:p w14:paraId="66DBD73B"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1ADCEBE5"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、基金招募说明书应当最大限度地披露影响基金投资者决策的全部事项，说明基金</w:t>
      </w:r>
      <w:r>
        <w:rPr>
          <w:rFonts w:hint="eastAsia"/>
          <w:bCs/>
          <w:sz w:val="24"/>
        </w:rPr>
        <w:t>认购、</w:t>
      </w:r>
      <w:r>
        <w:rPr>
          <w:bCs/>
          <w:sz w:val="24"/>
        </w:rPr>
        <w:t>申购和赎回安排、基金投资、基金产品特性、风险揭示、信息披露及基金份额持有人服务等内容。《基金合同》生效后，</w:t>
      </w:r>
      <w:r>
        <w:rPr>
          <w:rFonts w:hint="eastAsia"/>
          <w:bCs/>
          <w:kern w:val="0"/>
          <w:sz w:val="24"/>
        </w:rPr>
        <w:t>基金招募说明书的信息发生重大变更的，基金管理人应当在三个工作日内，更新基金招募说明书并登载在指定网站上；基金招募说明书其他信息发生变更的，基金管理人至少每年更新一次。基金终止运作的，基金管理人不再更新基金招募说明书。</w:t>
      </w:r>
    </w:p>
    <w:p w14:paraId="28527487" w14:textId="77777777" w:rsidR="0046184B" w:rsidRDefault="00000000">
      <w:pPr>
        <w:autoSpaceDE w:val="0"/>
        <w:autoSpaceDN w:val="0"/>
        <w:spacing w:line="360" w:lineRule="auto"/>
        <w:ind w:firstLineChars="200" w:firstLine="480"/>
        <w:textAlignment w:val="bottom"/>
        <w:rPr>
          <w:bCs/>
          <w:sz w:val="24"/>
        </w:rPr>
      </w:pPr>
      <w:r>
        <w:rPr>
          <w:bCs/>
          <w:sz w:val="24"/>
        </w:rPr>
        <w:t>3</w:t>
      </w:r>
      <w:r>
        <w:rPr>
          <w:bCs/>
          <w:sz w:val="24"/>
        </w:rPr>
        <w:t>、基金托管协议是界定基金托管人和基金管理人在基金财产保管及基金运作监督等活动中的权利、义务关系的法律文件。</w:t>
      </w:r>
    </w:p>
    <w:p w14:paraId="7E4D2BB1" w14:textId="77777777" w:rsidR="0046184B" w:rsidRDefault="00000000">
      <w:pPr>
        <w:spacing w:line="360" w:lineRule="auto"/>
        <w:ind w:firstLineChars="200" w:firstLine="480"/>
        <w:rPr>
          <w:bCs/>
          <w:sz w:val="24"/>
        </w:rPr>
      </w:pPr>
      <w:r>
        <w:rPr>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指定网站及基金销售机构网站或营业网点；基金产品资料概要其他信息发生变更的，基金管理人至少每年更新一次。基金终止运作的，基金管理人不再更新基金产品资料概要。</w:t>
      </w:r>
    </w:p>
    <w:p w14:paraId="71921E88" w14:textId="77777777" w:rsidR="0046184B" w:rsidRDefault="00000000">
      <w:pPr>
        <w:autoSpaceDE w:val="0"/>
        <w:autoSpaceDN w:val="0"/>
        <w:spacing w:line="360" w:lineRule="auto"/>
        <w:ind w:firstLineChars="200" w:firstLine="480"/>
        <w:textAlignment w:val="bottom"/>
        <w:rPr>
          <w:bCs/>
          <w:sz w:val="24"/>
        </w:rPr>
      </w:pPr>
      <w:r>
        <w:rPr>
          <w:bCs/>
          <w:kern w:val="0"/>
          <w:sz w:val="24"/>
        </w:rPr>
        <w:t>5</w:t>
      </w:r>
      <w:r>
        <w:rPr>
          <w:rFonts w:hint="eastAsia"/>
          <w:bCs/>
          <w:kern w:val="0"/>
          <w:sz w:val="24"/>
        </w:rPr>
        <w:t>、基金募集申请经中国证监会注册后，基金管理人应当在基金份额发售的三日前，将基金份额发售公告、基金招募说明书提示性公告和基金合同提示性公告登载在指定报刊上，将基金份额发售公告、基金招募说明书、基金产品资料概要、《基金合同》和基金托管协议登载在指定网站上，并将基金产品资料概要登载在基金销售机构网站或营业网点；基金托管人应当同时将基金合同、基金托管协议登载在网站上。</w:t>
      </w:r>
    </w:p>
    <w:p w14:paraId="0DAA43B7" w14:textId="77777777" w:rsidR="0046184B" w:rsidRDefault="00000000">
      <w:pPr>
        <w:autoSpaceDE w:val="0"/>
        <w:autoSpaceDN w:val="0"/>
        <w:spacing w:line="360" w:lineRule="auto"/>
        <w:ind w:firstLineChars="200" w:firstLine="480"/>
        <w:textAlignment w:val="bottom"/>
        <w:rPr>
          <w:bCs/>
          <w:sz w:val="24"/>
        </w:rPr>
      </w:pPr>
      <w:r>
        <w:rPr>
          <w:bCs/>
          <w:sz w:val="24"/>
        </w:rPr>
        <w:t>（二）基金份额发售公告</w:t>
      </w:r>
    </w:p>
    <w:p w14:paraId="57F48424" w14:textId="77777777" w:rsidR="0046184B" w:rsidRDefault="00000000">
      <w:pPr>
        <w:autoSpaceDE w:val="0"/>
        <w:autoSpaceDN w:val="0"/>
        <w:spacing w:line="360" w:lineRule="auto"/>
        <w:ind w:firstLineChars="200" w:firstLine="480"/>
        <w:textAlignment w:val="bottom"/>
        <w:rPr>
          <w:bCs/>
          <w:sz w:val="24"/>
        </w:rPr>
      </w:pPr>
      <w:r>
        <w:rPr>
          <w:bCs/>
          <w:sz w:val="24"/>
        </w:rPr>
        <w:t>基金管理人应当就基金份额发售的具体事宜编制基金份额发售公告，并在披露招募说明书的当日登载于指定媒介上。</w:t>
      </w:r>
    </w:p>
    <w:p w14:paraId="5A7E4FEA" w14:textId="77777777" w:rsidR="0046184B" w:rsidRDefault="00000000">
      <w:pPr>
        <w:autoSpaceDE w:val="0"/>
        <w:autoSpaceDN w:val="0"/>
        <w:spacing w:line="360" w:lineRule="auto"/>
        <w:ind w:firstLineChars="200" w:firstLine="480"/>
        <w:textAlignment w:val="bottom"/>
        <w:rPr>
          <w:bCs/>
          <w:sz w:val="24"/>
        </w:rPr>
      </w:pPr>
      <w:r>
        <w:rPr>
          <w:bCs/>
          <w:sz w:val="24"/>
        </w:rPr>
        <w:t>（三）《基金合同》生效公告</w:t>
      </w:r>
    </w:p>
    <w:p w14:paraId="3ACCA0FF" w14:textId="77777777" w:rsidR="0046184B" w:rsidRDefault="00000000">
      <w:pPr>
        <w:autoSpaceDE w:val="0"/>
        <w:autoSpaceDN w:val="0"/>
        <w:spacing w:line="360" w:lineRule="auto"/>
        <w:ind w:firstLineChars="200" w:firstLine="480"/>
        <w:textAlignment w:val="bottom"/>
        <w:rPr>
          <w:bCs/>
          <w:sz w:val="24"/>
        </w:rPr>
      </w:pPr>
      <w:r>
        <w:rPr>
          <w:bCs/>
          <w:sz w:val="24"/>
        </w:rPr>
        <w:t>基金管理人应当在收到中国证监会确认文件的次日在指定媒介上登载《基金</w:t>
      </w:r>
      <w:r>
        <w:rPr>
          <w:bCs/>
          <w:sz w:val="24"/>
        </w:rPr>
        <w:lastRenderedPageBreak/>
        <w:t>合同》生效公告。</w:t>
      </w:r>
    </w:p>
    <w:p w14:paraId="57491A12"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四</w:t>
      </w:r>
      <w:r>
        <w:rPr>
          <w:bCs/>
          <w:sz w:val="24"/>
        </w:rPr>
        <w:t>）</w:t>
      </w:r>
      <w:r>
        <w:rPr>
          <w:rFonts w:hint="eastAsia"/>
          <w:bCs/>
          <w:kern w:val="0"/>
          <w:sz w:val="24"/>
        </w:rPr>
        <w:t>基金净值信息</w:t>
      </w:r>
    </w:p>
    <w:p w14:paraId="2A7A10AA" w14:textId="77777777" w:rsidR="0046184B" w:rsidRDefault="00000000">
      <w:pPr>
        <w:autoSpaceDE w:val="0"/>
        <w:autoSpaceDN w:val="0"/>
        <w:spacing w:line="360" w:lineRule="auto"/>
        <w:ind w:firstLineChars="200" w:firstLine="480"/>
        <w:textAlignment w:val="bottom"/>
        <w:rPr>
          <w:bCs/>
          <w:sz w:val="24"/>
        </w:rPr>
      </w:pPr>
      <w:r>
        <w:rPr>
          <w:bCs/>
          <w:sz w:val="24"/>
        </w:rPr>
        <w:t>《基金合同》生效后，在开始办理基金份额申购或者赎回前，</w:t>
      </w:r>
      <w:r>
        <w:rPr>
          <w:rFonts w:hint="eastAsia"/>
          <w:bCs/>
          <w:kern w:val="0"/>
          <w:sz w:val="24"/>
        </w:rPr>
        <w:t>基金管理人应当至少每周在指定网站披露一次基金份额净值和基金份额累计净值。</w:t>
      </w:r>
    </w:p>
    <w:p w14:paraId="27DE015B" w14:textId="77777777" w:rsidR="0046184B" w:rsidRDefault="00000000">
      <w:pPr>
        <w:autoSpaceDE w:val="0"/>
        <w:autoSpaceDN w:val="0"/>
        <w:spacing w:line="360" w:lineRule="auto"/>
        <w:ind w:firstLineChars="200" w:firstLine="480"/>
        <w:textAlignment w:val="bottom"/>
        <w:rPr>
          <w:bCs/>
          <w:sz w:val="24"/>
        </w:rPr>
      </w:pPr>
      <w:r>
        <w:rPr>
          <w:bCs/>
          <w:sz w:val="24"/>
        </w:rPr>
        <w:t>在开始办理基金份额申购或者赎回后，</w:t>
      </w:r>
      <w:r>
        <w:rPr>
          <w:rFonts w:hint="eastAsia"/>
          <w:bCs/>
          <w:kern w:val="0"/>
          <w:sz w:val="24"/>
        </w:rPr>
        <w:t>基金管理人应当在不晚于每个开放日的次日，通过其指定网站、基金销售机构网站或营业网点披露开放日的基金份额净值和基金份额累计净值。</w:t>
      </w:r>
    </w:p>
    <w:p w14:paraId="0AE6D15C"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基金管理人应在不晚于半年度和年度最后一日的次日，在指定网站披露半年度和年度最后一日的基金份额净值和基金份额累计净值。</w:t>
      </w:r>
    </w:p>
    <w:p w14:paraId="53FA6CF8"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五</w:t>
      </w:r>
      <w:r>
        <w:rPr>
          <w:bCs/>
          <w:sz w:val="24"/>
        </w:rPr>
        <w:t>）基金份额申购、赎回价格</w:t>
      </w:r>
    </w:p>
    <w:p w14:paraId="493348ED" w14:textId="77777777" w:rsidR="0046184B" w:rsidRDefault="00000000">
      <w:pPr>
        <w:autoSpaceDE w:val="0"/>
        <w:autoSpaceDN w:val="0"/>
        <w:spacing w:line="360" w:lineRule="auto"/>
        <w:ind w:firstLineChars="200" w:firstLine="480"/>
        <w:textAlignment w:val="bottom"/>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w:t>
      </w:r>
      <w:r>
        <w:rPr>
          <w:rFonts w:hint="eastAsia"/>
          <w:bCs/>
          <w:kern w:val="0"/>
          <w:sz w:val="24"/>
        </w:rPr>
        <w:t>并保证投资者能够在基金销售机构网站或营业网点查阅或者复制前述信息库资料。</w:t>
      </w:r>
    </w:p>
    <w:p w14:paraId="4F8175FA"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六</w:t>
      </w:r>
      <w:r>
        <w:rPr>
          <w:bCs/>
          <w:sz w:val="24"/>
        </w:rPr>
        <w:t>）基金定期报告，包括基金年度报告、基金</w:t>
      </w:r>
      <w:r>
        <w:rPr>
          <w:rFonts w:hint="eastAsia"/>
          <w:bCs/>
          <w:sz w:val="24"/>
        </w:rPr>
        <w:t>中期</w:t>
      </w:r>
      <w:r>
        <w:rPr>
          <w:bCs/>
          <w:sz w:val="24"/>
        </w:rPr>
        <w:t>报告和基金季度报告</w:t>
      </w:r>
    </w:p>
    <w:p w14:paraId="3497D568" w14:textId="77777777" w:rsidR="0046184B" w:rsidRDefault="00000000">
      <w:pPr>
        <w:autoSpaceDE w:val="0"/>
        <w:autoSpaceDN w:val="0"/>
        <w:spacing w:line="360" w:lineRule="auto"/>
        <w:ind w:firstLineChars="200" w:firstLine="480"/>
        <w:textAlignment w:val="bottom"/>
        <w:rPr>
          <w:bCs/>
          <w:sz w:val="24"/>
        </w:rPr>
      </w:pPr>
      <w:r>
        <w:rPr>
          <w:bCs/>
          <w:sz w:val="24"/>
        </w:rPr>
        <w:t>基金管理人应当在每年结束之日起</w:t>
      </w:r>
      <w:r>
        <w:rPr>
          <w:rFonts w:hint="eastAsia"/>
          <w:bCs/>
          <w:sz w:val="24"/>
        </w:rPr>
        <w:t>三个月</w:t>
      </w:r>
      <w:r>
        <w:rPr>
          <w:bCs/>
          <w:sz w:val="24"/>
        </w:rPr>
        <w:t>内，编制完成基金年度报告，</w:t>
      </w:r>
      <w:r>
        <w:rPr>
          <w:rFonts w:hint="eastAsia"/>
          <w:bCs/>
          <w:kern w:val="0"/>
          <w:sz w:val="24"/>
        </w:rPr>
        <w:t>将年度报告登载在指定网站上，将年度报告提示性公告登载在指定报刊上。基金年度报告中的财务会计报告应当经过具有证券、期货相关业务资格的会计师事务所审计。</w:t>
      </w:r>
    </w:p>
    <w:p w14:paraId="3FE2CB9A" w14:textId="77777777" w:rsidR="0046184B" w:rsidRDefault="00000000">
      <w:pPr>
        <w:autoSpaceDE w:val="0"/>
        <w:autoSpaceDN w:val="0"/>
        <w:spacing w:line="360" w:lineRule="auto"/>
        <w:ind w:firstLineChars="200" w:firstLine="480"/>
        <w:textAlignment w:val="bottom"/>
        <w:rPr>
          <w:bCs/>
          <w:sz w:val="24"/>
        </w:rPr>
      </w:pPr>
      <w:r>
        <w:rPr>
          <w:rFonts w:hint="eastAsia"/>
          <w:bCs/>
          <w:kern w:val="0"/>
          <w:sz w:val="24"/>
        </w:rPr>
        <w:t>基金管理人应当在上半年结束之日起两个月内，编制完成基金中期报告，将中期报告登载在指定网站上，并将中期报告提示性公告登载在指定报刊上。</w:t>
      </w:r>
    </w:p>
    <w:p w14:paraId="7AA99E18" w14:textId="77777777" w:rsidR="0046184B" w:rsidRDefault="00000000">
      <w:pPr>
        <w:autoSpaceDE w:val="0"/>
        <w:autoSpaceDN w:val="0"/>
        <w:spacing w:line="360" w:lineRule="auto"/>
        <w:ind w:firstLineChars="200" w:firstLine="480"/>
        <w:textAlignment w:val="bottom"/>
        <w:rPr>
          <w:bCs/>
          <w:sz w:val="24"/>
        </w:rPr>
      </w:pPr>
      <w:r>
        <w:rPr>
          <w:bCs/>
          <w:sz w:val="24"/>
        </w:rPr>
        <w:t>基金管理人应当在每个季度结束之日起</w:t>
      </w:r>
      <w:r>
        <w:rPr>
          <w:bCs/>
          <w:sz w:val="24"/>
        </w:rPr>
        <w:t>15</w:t>
      </w:r>
      <w:r>
        <w:rPr>
          <w:bCs/>
          <w:sz w:val="24"/>
        </w:rPr>
        <w:t>个工作日内，</w:t>
      </w:r>
      <w:r>
        <w:rPr>
          <w:rFonts w:hint="eastAsia"/>
          <w:bCs/>
          <w:kern w:val="0"/>
          <w:sz w:val="24"/>
        </w:rPr>
        <w:t>编制完成基金季度报告，将季度报告登载在指定网站上，并将季度报告提示性公告登载在指定报刊上。</w:t>
      </w:r>
    </w:p>
    <w:p w14:paraId="5823060A" w14:textId="77777777" w:rsidR="0046184B" w:rsidRDefault="00000000">
      <w:pPr>
        <w:autoSpaceDE w:val="0"/>
        <w:autoSpaceDN w:val="0"/>
        <w:spacing w:line="360" w:lineRule="auto"/>
        <w:ind w:firstLineChars="200" w:firstLine="480"/>
        <w:textAlignment w:val="bottom"/>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52AB894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的情形，为保障其他投资者利益，基金管理人至少应当在定期报告“影响投资者决策的其他重要信息”项下披露该投资者的类别、报告期末持有份额及占比、报告期内持有份额变化情况及本基金的特有风险。</w:t>
      </w:r>
    </w:p>
    <w:p w14:paraId="19BDFB87"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本基金持续运作过程中，应当在基金年度报告和中期报告中披露基金组合资</w:t>
      </w:r>
      <w:r>
        <w:rPr>
          <w:rFonts w:hint="eastAsia"/>
          <w:bCs/>
          <w:sz w:val="24"/>
        </w:rPr>
        <w:lastRenderedPageBreak/>
        <w:t>产情况及其流动性风险分析等。</w:t>
      </w:r>
    </w:p>
    <w:p w14:paraId="28672D41"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七</w:t>
      </w:r>
      <w:r>
        <w:rPr>
          <w:bCs/>
          <w:sz w:val="24"/>
        </w:rPr>
        <w:t>）临时报告</w:t>
      </w:r>
    </w:p>
    <w:p w14:paraId="193FEDD5" w14:textId="77777777" w:rsidR="0046184B" w:rsidRDefault="00000000">
      <w:pPr>
        <w:autoSpaceDE w:val="0"/>
        <w:autoSpaceDN w:val="0"/>
        <w:spacing w:line="360" w:lineRule="auto"/>
        <w:ind w:firstLineChars="200" w:firstLine="480"/>
        <w:textAlignment w:val="bottom"/>
        <w:rPr>
          <w:bCs/>
          <w:sz w:val="24"/>
        </w:rPr>
      </w:pPr>
      <w:r>
        <w:rPr>
          <w:rFonts w:hint="eastAsia"/>
          <w:bCs/>
          <w:kern w:val="0"/>
          <w:sz w:val="24"/>
        </w:rPr>
        <w:t>本基金发生重大事件，有关信息披露义务人应在</w:t>
      </w:r>
      <w:r>
        <w:rPr>
          <w:bCs/>
          <w:kern w:val="0"/>
          <w:sz w:val="24"/>
        </w:rPr>
        <w:t>2</w:t>
      </w:r>
      <w:r>
        <w:rPr>
          <w:rFonts w:hint="eastAsia"/>
          <w:bCs/>
          <w:kern w:val="0"/>
          <w:sz w:val="24"/>
        </w:rPr>
        <w:t>日内编制临时报告书，并登载在指定报刊和指定网站上。</w:t>
      </w:r>
    </w:p>
    <w:p w14:paraId="4493C857" w14:textId="77777777" w:rsidR="0046184B" w:rsidRDefault="00000000">
      <w:pPr>
        <w:autoSpaceDE w:val="0"/>
        <w:autoSpaceDN w:val="0"/>
        <w:spacing w:line="360" w:lineRule="auto"/>
        <w:ind w:firstLineChars="200" w:firstLine="480"/>
        <w:textAlignment w:val="bottom"/>
        <w:rPr>
          <w:bCs/>
          <w:sz w:val="24"/>
        </w:rPr>
      </w:pPr>
      <w:r>
        <w:rPr>
          <w:bCs/>
          <w:sz w:val="24"/>
        </w:rPr>
        <w:t>前款所称重大事件，是指可能对基金份额持有人权益或者基金份额的价格产生重大影响的下列事件：</w:t>
      </w:r>
    </w:p>
    <w:p w14:paraId="747981C7" w14:textId="77777777" w:rsidR="0046184B" w:rsidRDefault="00000000">
      <w:pPr>
        <w:spacing w:line="360" w:lineRule="auto"/>
        <w:ind w:firstLineChars="200" w:firstLine="480"/>
        <w:rPr>
          <w:bCs/>
          <w:sz w:val="24"/>
        </w:rPr>
      </w:pPr>
      <w:r>
        <w:rPr>
          <w:bCs/>
          <w:sz w:val="24"/>
        </w:rPr>
        <w:t>1</w:t>
      </w:r>
      <w:r>
        <w:rPr>
          <w:rFonts w:hint="eastAsia"/>
          <w:bCs/>
          <w:sz w:val="24"/>
        </w:rPr>
        <w:t>、基金份额持有人大会的召开及决定的事项；</w:t>
      </w:r>
    </w:p>
    <w:p w14:paraId="747496C4" w14:textId="77777777" w:rsidR="0046184B" w:rsidRDefault="00000000">
      <w:pPr>
        <w:spacing w:line="360" w:lineRule="auto"/>
        <w:ind w:firstLineChars="200" w:firstLine="480"/>
        <w:rPr>
          <w:bCs/>
          <w:sz w:val="24"/>
        </w:rPr>
      </w:pPr>
      <w:r>
        <w:rPr>
          <w:bCs/>
          <w:sz w:val="24"/>
        </w:rPr>
        <w:t>2</w:t>
      </w:r>
      <w:r>
        <w:rPr>
          <w:rFonts w:hint="eastAsia"/>
          <w:bCs/>
          <w:sz w:val="24"/>
        </w:rPr>
        <w:t>、基金终止上市交易、基金合同终止、基金清算；</w:t>
      </w:r>
    </w:p>
    <w:p w14:paraId="37C8D790" w14:textId="77777777" w:rsidR="0046184B" w:rsidRDefault="00000000">
      <w:pPr>
        <w:spacing w:line="360" w:lineRule="auto"/>
        <w:ind w:firstLineChars="200" w:firstLine="480"/>
        <w:rPr>
          <w:bCs/>
          <w:sz w:val="24"/>
        </w:rPr>
      </w:pPr>
      <w:r>
        <w:rPr>
          <w:bCs/>
          <w:sz w:val="24"/>
        </w:rPr>
        <w:t>3</w:t>
      </w:r>
      <w:r>
        <w:rPr>
          <w:rFonts w:hint="eastAsia"/>
          <w:bCs/>
          <w:sz w:val="24"/>
        </w:rPr>
        <w:t>、转换基金运作方式、基金合并；</w:t>
      </w:r>
    </w:p>
    <w:p w14:paraId="2F027A9E" w14:textId="77777777" w:rsidR="0046184B" w:rsidRDefault="00000000">
      <w:pPr>
        <w:spacing w:line="360" w:lineRule="auto"/>
        <w:ind w:firstLineChars="200" w:firstLine="480"/>
        <w:rPr>
          <w:bCs/>
          <w:sz w:val="24"/>
        </w:rPr>
      </w:pPr>
      <w:r>
        <w:rPr>
          <w:bCs/>
          <w:sz w:val="24"/>
        </w:rPr>
        <w:t>4</w:t>
      </w:r>
      <w:r>
        <w:rPr>
          <w:rFonts w:hint="eastAsia"/>
          <w:bCs/>
          <w:sz w:val="24"/>
        </w:rPr>
        <w:t>、更换基金管理人、基金托管人、基金份额登记机构，基金改聘会计师事务所；</w:t>
      </w:r>
    </w:p>
    <w:p w14:paraId="0D26C7EF" w14:textId="77777777" w:rsidR="0046184B" w:rsidRDefault="00000000">
      <w:pPr>
        <w:spacing w:line="360" w:lineRule="auto"/>
        <w:ind w:firstLineChars="200" w:firstLine="480"/>
        <w:rPr>
          <w:bCs/>
          <w:sz w:val="24"/>
        </w:rPr>
      </w:pPr>
      <w:r>
        <w:rPr>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23D0C8B5" w14:textId="77777777" w:rsidR="0046184B" w:rsidRDefault="00000000">
      <w:pPr>
        <w:spacing w:line="360" w:lineRule="auto"/>
        <w:ind w:firstLineChars="200" w:firstLine="480"/>
        <w:rPr>
          <w:bCs/>
          <w:sz w:val="24"/>
        </w:rPr>
      </w:pPr>
      <w:r>
        <w:rPr>
          <w:bCs/>
          <w:sz w:val="24"/>
        </w:rPr>
        <w:t>6</w:t>
      </w:r>
      <w:r>
        <w:rPr>
          <w:rFonts w:hint="eastAsia"/>
          <w:bCs/>
          <w:sz w:val="24"/>
        </w:rPr>
        <w:t>、基金管理人、基金托管人的法定名称、住所发生变更；</w:t>
      </w:r>
    </w:p>
    <w:p w14:paraId="1BB09A07" w14:textId="77777777" w:rsidR="0046184B" w:rsidRDefault="00000000">
      <w:pPr>
        <w:spacing w:line="360" w:lineRule="auto"/>
        <w:ind w:firstLineChars="200" w:firstLine="480"/>
        <w:rPr>
          <w:bCs/>
          <w:sz w:val="24"/>
        </w:rPr>
      </w:pPr>
      <w:r>
        <w:rPr>
          <w:bCs/>
          <w:sz w:val="24"/>
        </w:rPr>
        <w:t>7</w:t>
      </w:r>
      <w:r>
        <w:rPr>
          <w:rFonts w:hint="eastAsia"/>
          <w:bCs/>
          <w:sz w:val="24"/>
        </w:rPr>
        <w:t>、基金管理人变更持有百分之五以上股权的股东、基金管理人的实际控制人变更；</w:t>
      </w:r>
    </w:p>
    <w:p w14:paraId="6111C2F3" w14:textId="77777777" w:rsidR="0046184B" w:rsidRDefault="00000000">
      <w:pPr>
        <w:spacing w:line="360" w:lineRule="auto"/>
        <w:ind w:firstLineChars="200" w:firstLine="480"/>
        <w:rPr>
          <w:bCs/>
          <w:sz w:val="24"/>
        </w:rPr>
      </w:pPr>
      <w:r>
        <w:rPr>
          <w:bCs/>
          <w:sz w:val="24"/>
        </w:rPr>
        <w:t>8</w:t>
      </w:r>
      <w:r>
        <w:rPr>
          <w:rFonts w:hint="eastAsia"/>
          <w:bCs/>
          <w:sz w:val="24"/>
        </w:rPr>
        <w:t>、基金募集期延长或提前结束募集；</w:t>
      </w:r>
    </w:p>
    <w:p w14:paraId="0170DE44" w14:textId="77777777" w:rsidR="0046184B" w:rsidRDefault="00000000">
      <w:pPr>
        <w:spacing w:line="360" w:lineRule="auto"/>
        <w:ind w:firstLineChars="200" w:firstLine="480"/>
        <w:rPr>
          <w:bCs/>
          <w:sz w:val="24"/>
        </w:rPr>
      </w:pPr>
      <w:r>
        <w:rPr>
          <w:bCs/>
          <w:sz w:val="24"/>
        </w:rPr>
        <w:t>9</w:t>
      </w:r>
      <w:r>
        <w:rPr>
          <w:rFonts w:hint="eastAsia"/>
          <w:bCs/>
          <w:sz w:val="24"/>
        </w:rPr>
        <w:t>、基金管理人的高级管理人员、基金经理和基金托管人专门基金托管部门负责人发生变动；</w:t>
      </w:r>
    </w:p>
    <w:p w14:paraId="620B7F16" w14:textId="77777777" w:rsidR="0046184B" w:rsidRDefault="00000000">
      <w:pPr>
        <w:spacing w:line="360" w:lineRule="auto"/>
        <w:ind w:firstLineChars="200" w:firstLine="480"/>
        <w:rPr>
          <w:bCs/>
          <w:sz w:val="24"/>
        </w:rPr>
      </w:pPr>
      <w:r>
        <w:rPr>
          <w:bCs/>
          <w:sz w:val="24"/>
        </w:rPr>
        <w:t>10</w:t>
      </w:r>
      <w:r>
        <w:rPr>
          <w:rFonts w:hint="eastAsia"/>
          <w:bCs/>
          <w:sz w:val="24"/>
        </w:rPr>
        <w:t>、基金管理人的董事在最近</w:t>
      </w:r>
      <w:r>
        <w:rPr>
          <w:bCs/>
          <w:sz w:val="24"/>
        </w:rPr>
        <w:t>12</w:t>
      </w:r>
      <w:r>
        <w:rPr>
          <w:rFonts w:hint="eastAsia"/>
          <w:bCs/>
          <w:sz w:val="24"/>
        </w:rPr>
        <w:t>个月内变更超过百分之五十，基金管理人、基金托管人专门基金托管部门的主要业务人员在最近</w:t>
      </w:r>
      <w:r>
        <w:rPr>
          <w:bCs/>
          <w:sz w:val="24"/>
        </w:rPr>
        <w:t>12</w:t>
      </w:r>
      <w:r>
        <w:rPr>
          <w:rFonts w:hint="eastAsia"/>
          <w:bCs/>
          <w:sz w:val="24"/>
        </w:rPr>
        <w:t>个月内，变动超过百分之三十；</w:t>
      </w:r>
    </w:p>
    <w:p w14:paraId="6E176B86" w14:textId="77777777" w:rsidR="0046184B" w:rsidRDefault="00000000">
      <w:pPr>
        <w:spacing w:line="360" w:lineRule="auto"/>
        <w:ind w:firstLineChars="200" w:firstLine="480"/>
        <w:rPr>
          <w:bCs/>
          <w:sz w:val="24"/>
        </w:rPr>
      </w:pPr>
      <w:r>
        <w:rPr>
          <w:bCs/>
          <w:sz w:val="24"/>
        </w:rPr>
        <w:t>11</w:t>
      </w:r>
      <w:r>
        <w:rPr>
          <w:rFonts w:hint="eastAsia"/>
          <w:bCs/>
          <w:sz w:val="24"/>
        </w:rPr>
        <w:t>、涉及基金财产、基金管理业务、基金托管业务的诉讼或仲裁；</w:t>
      </w:r>
    </w:p>
    <w:p w14:paraId="1384D4A4" w14:textId="77777777" w:rsidR="0046184B" w:rsidRDefault="00000000">
      <w:pPr>
        <w:spacing w:line="360" w:lineRule="auto"/>
        <w:ind w:firstLineChars="200" w:firstLine="480"/>
        <w:rPr>
          <w:bCs/>
          <w:sz w:val="24"/>
        </w:rPr>
      </w:pPr>
      <w:r>
        <w:rPr>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69DE4CDA" w14:textId="77777777" w:rsidR="0046184B" w:rsidRDefault="00000000">
      <w:pPr>
        <w:spacing w:line="360" w:lineRule="auto"/>
        <w:ind w:firstLineChars="200" w:firstLine="480"/>
        <w:rPr>
          <w:bCs/>
          <w:sz w:val="24"/>
        </w:rPr>
      </w:pPr>
      <w:r>
        <w:rPr>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中国证监会另有规定的情形除外；</w:t>
      </w:r>
    </w:p>
    <w:p w14:paraId="103726A8" w14:textId="77777777" w:rsidR="0046184B" w:rsidRDefault="00000000">
      <w:pPr>
        <w:spacing w:line="360" w:lineRule="auto"/>
        <w:ind w:firstLineChars="200" w:firstLine="480"/>
        <w:rPr>
          <w:bCs/>
          <w:sz w:val="24"/>
        </w:rPr>
      </w:pPr>
      <w:r>
        <w:rPr>
          <w:bCs/>
          <w:sz w:val="24"/>
        </w:rPr>
        <w:lastRenderedPageBreak/>
        <w:t>14</w:t>
      </w:r>
      <w:r>
        <w:rPr>
          <w:rFonts w:hint="eastAsia"/>
          <w:bCs/>
          <w:sz w:val="24"/>
        </w:rPr>
        <w:t>、基金收益分配事项；</w:t>
      </w:r>
      <w:r>
        <w:rPr>
          <w:bCs/>
          <w:sz w:val="24"/>
        </w:rPr>
        <w:t xml:space="preserve"> </w:t>
      </w:r>
    </w:p>
    <w:p w14:paraId="2ED2BE3E" w14:textId="77777777" w:rsidR="0046184B" w:rsidRDefault="00000000">
      <w:pPr>
        <w:spacing w:line="360" w:lineRule="auto"/>
        <w:ind w:firstLineChars="200" w:firstLine="480"/>
        <w:rPr>
          <w:bCs/>
          <w:sz w:val="24"/>
        </w:rPr>
      </w:pPr>
      <w:r>
        <w:rPr>
          <w:bCs/>
          <w:sz w:val="24"/>
        </w:rPr>
        <w:t>15</w:t>
      </w:r>
      <w:r>
        <w:rPr>
          <w:rFonts w:hint="eastAsia"/>
          <w:bCs/>
          <w:sz w:val="24"/>
        </w:rPr>
        <w:t>、管理费、托管费、申购费、赎回费等费用计提标准、计提方式和费率发生变更；</w:t>
      </w:r>
    </w:p>
    <w:p w14:paraId="65D927BD" w14:textId="77777777" w:rsidR="0046184B" w:rsidRDefault="00000000">
      <w:pPr>
        <w:spacing w:line="360" w:lineRule="auto"/>
        <w:ind w:firstLineChars="200" w:firstLine="480"/>
        <w:rPr>
          <w:bCs/>
          <w:sz w:val="24"/>
        </w:rPr>
      </w:pPr>
      <w:r>
        <w:rPr>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56D667FB" w14:textId="77777777" w:rsidR="0046184B" w:rsidRDefault="00000000">
      <w:pPr>
        <w:spacing w:line="360" w:lineRule="auto"/>
        <w:ind w:firstLineChars="200" w:firstLine="480"/>
        <w:rPr>
          <w:bCs/>
          <w:sz w:val="24"/>
        </w:rPr>
      </w:pPr>
      <w:r>
        <w:rPr>
          <w:bCs/>
          <w:sz w:val="24"/>
        </w:rPr>
        <w:t>17</w:t>
      </w:r>
      <w:r>
        <w:rPr>
          <w:rFonts w:hint="eastAsia"/>
          <w:bCs/>
          <w:sz w:val="24"/>
        </w:rPr>
        <w:t>、本基金开始办理申购、赎回；</w:t>
      </w:r>
    </w:p>
    <w:p w14:paraId="7A5FFEB8" w14:textId="77777777" w:rsidR="0046184B" w:rsidRDefault="00000000">
      <w:pPr>
        <w:spacing w:line="360" w:lineRule="auto"/>
        <w:ind w:firstLineChars="200" w:firstLine="480"/>
        <w:rPr>
          <w:bCs/>
          <w:sz w:val="24"/>
        </w:rPr>
      </w:pPr>
      <w:r>
        <w:rPr>
          <w:bCs/>
          <w:sz w:val="24"/>
        </w:rPr>
        <w:t>18</w:t>
      </w:r>
      <w:r>
        <w:rPr>
          <w:rFonts w:hint="eastAsia"/>
          <w:bCs/>
          <w:sz w:val="24"/>
        </w:rPr>
        <w:t>、本基金暂定接受申购、赎回申请或重新接受申购、赎回申请；</w:t>
      </w:r>
    </w:p>
    <w:p w14:paraId="4FBBC052" w14:textId="77777777" w:rsidR="0046184B" w:rsidRDefault="00000000">
      <w:pPr>
        <w:spacing w:line="360" w:lineRule="auto"/>
        <w:ind w:firstLineChars="200" w:firstLine="480"/>
        <w:rPr>
          <w:bCs/>
          <w:sz w:val="24"/>
        </w:rPr>
      </w:pPr>
      <w:r>
        <w:rPr>
          <w:bCs/>
          <w:sz w:val="24"/>
        </w:rPr>
        <w:t>19</w:t>
      </w:r>
      <w:r>
        <w:rPr>
          <w:rFonts w:hint="eastAsia"/>
          <w:bCs/>
          <w:sz w:val="24"/>
        </w:rPr>
        <w:t>、基金变更标的指数；</w:t>
      </w:r>
    </w:p>
    <w:p w14:paraId="70CDDDC8" w14:textId="77777777" w:rsidR="0046184B" w:rsidRDefault="00000000">
      <w:pPr>
        <w:spacing w:line="360" w:lineRule="auto"/>
        <w:ind w:firstLineChars="200" w:firstLine="480"/>
        <w:rPr>
          <w:bCs/>
          <w:sz w:val="24"/>
        </w:rPr>
      </w:pPr>
      <w:r>
        <w:rPr>
          <w:bCs/>
          <w:sz w:val="24"/>
        </w:rPr>
        <w:t>20</w:t>
      </w:r>
      <w:r>
        <w:rPr>
          <w:rFonts w:hint="eastAsia"/>
          <w:bCs/>
          <w:sz w:val="24"/>
        </w:rPr>
        <w:t>、基金份额停牌、复牌、暂停上市、恢复上市或终止上市交易；</w:t>
      </w:r>
    </w:p>
    <w:p w14:paraId="24C23340" w14:textId="77777777" w:rsidR="0046184B" w:rsidRDefault="00000000">
      <w:pPr>
        <w:spacing w:line="360" w:lineRule="auto"/>
        <w:ind w:firstLineChars="200" w:firstLine="480"/>
        <w:rPr>
          <w:bCs/>
          <w:sz w:val="24"/>
        </w:rPr>
      </w:pPr>
      <w:r>
        <w:rPr>
          <w:bCs/>
          <w:sz w:val="24"/>
        </w:rPr>
        <w:t>21</w:t>
      </w:r>
      <w:r>
        <w:rPr>
          <w:rFonts w:hint="eastAsia"/>
          <w:bCs/>
          <w:sz w:val="24"/>
        </w:rPr>
        <w:t>、调整最小申购赎回单位、申购赎回方式及申购对价、赎回对价组成；</w:t>
      </w:r>
    </w:p>
    <w:p w14:paraId="4934DFD0" w14:textId="77777777" w:rsidR="0046184B" w:rsidRDefault="00000000">
      <w:pPr>
        <w:spacing w:line="360" w:lineRule="auto"/>
        <w:ind w:firstLineChars="200" w:firstLine="480"/>
        <w:rPr>
          <w:bCs/>
          <w:sz w:val="24"/>
        </w:rPr>
      </w:pPr>
      <w:r>
        <w:rPr>
          <w:bCs/>
          <w:sz w:val="24"/>
        </w:rPr>
        <w:t>22</w:t>
      </w:r>
      <w:r>
        <w:rPr>
          <w:rFonts w:hint="eastAsia"/>
          <w:bCs/>
          <w:sz w:val="24"/>
        </w:rPr>
        <w:t>、调整基金份额类别的设置；</w:t>
      </w:r>
    </w:p>
    <w:p w14:paraId="0C7B05EF" w14:textId="77777777" w:rsidR="0046184B" w:rsidRDefault="00000000">
      <w:pPr>
        <w:spacing w:line="360" w:lineRule="auto"/>
        <w:ind w:firstLineChars="200" w:firstLine="480"/>
        <w:rPr>
          <w:bCs/>
          <w:sz w:val="24"/>
        </w:rPr>
      </w:pPr>
      <w:r>
        <w:rPr>
          <w:bCs/>
          <w:sz w:val="24"/>
        </w:rPr>
        <w:t>23</w:t>
      </w:r>
      <w:r>
        <w:rPr>
          <w:rFonts w:hint="eastAsia"/>
          <w:bCs/>
          <w:sz w:val="24"/>
        </w:rPr>
        <w:t>、基金推出新业务或服务；</w:t>
      </w:r>
    </w:p>
    <w:p w14:paraId="669F4D5B" w14:textId="77777777" w:rsidR="0046184B" w:rsidRDefault="00000000">
      <w:pPr>
        <w:spacing w:line="360" w:lineRule="auto"/>
        <w:ind w:firstLineChars="200" w:firstLine="480"/>
        <w:rPr>
          <w:bCs/>
          <w:sz w:val="24"/>
        </w:rPr>
      </w:pPr>
      <w:r>
        <w:rPr>
          <w:bCs/>
          <w:sz w:val="24"/>
        </w:rPr>
        <w:t>24</w:t>
      </w:r>
      <w:r>
        <w:rPr>
          <w:rFonts w:hint="eastAsia"/>
          <w:bCs/>
          <w:sz w:val="24"/>
        </w:rPr>
        <w:t>、基金信息披露义务人认为可能对基金份额持有人权益或者基金份额的价格产生重大影响的其他事项或中国证监会规定的其他事项。</w:t>
      </w:r>
    </w:p>
    <w:p w14:paraId="08678A5B" w14:textId="77777777" w:rsidR="0046184B" w:rsidRDefault="0046184B">
      <w:pPr>
        <w:autoSpaceDE w:val="0"/>
        <w:autoSpaceDN w:val="0"/>
        <w:spacing w:line="360" w:lineRule="auto"/>
        <w:ind w:firstLineChars="200" w:firstLine="480"/>
        <w:textAlignment w:val="bottom"/>
        <w:rPr>
          <w:bCs/>
          <w:sz w:val="24"/>
        </w:rPr>
      </w:pPr>
    </w:p>
    <w:p w14:paraId="073386ED"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八</w:t>
      </w:r>
      <w:r>
        <w:rPr>
          <w:bCs/>
          <w:sz w:val="24"/>
        </w:rPr>
        <w:t>）澄清公告</w:t>
      </w:r>
    </w:p>
    <w:p w14:paraId="5ECBD89C" w14:textId="77777777" w:rsidR="0046184B" w:rsidRDefault="00000000">
      <w:pPr>
        <w:autoSpaceDE w:val="0"/>
        <w:autoSpaceDN w:val="0"/>
        <w:spacing w:line="360" w:lineRule="auto"/>
        <w:ind w:firstLineChars="200" w:firstLine="480"/>
        <w:textAlignment w:val="bottom"/>
        <w:rPr>
          <w:bCs/>
          <w:kern w:val="0"/>
          <w:sz w:val="24"/>
        </w:rPr>
      </w:pPr>
      <w:r>
        <w:rPr>
          <w:rFonts w:hint="eastAsia"/>
          <w:bCs/>
          <w:kern w:val="0"/>
          <w:sz w:val="24"/>
        </w:rPr>
        <w:t>在基金合同期限内，任何公共媒体中出现的或者在市场上流传的消息可能对基金份额价格产生误导性影响或者引起较大波动，以及可能损害基金份额持有人权益的，相关信息披露义务人知悉后应当立即对该消息进行公开澄清，并将有关情况立即报告中国证监会、基金上市交易的证券交易所。</w:t>
      </w:r>
    </w:p>
    <w:p w14:paraId="4D41C072" w14:textId="77777777" w:rsidR="0046184B" w:rsidRDefault="00000000">
      <w:pPr>
        <w:spacing w:line="360" w:lineRule="auto"/>
        <w:ind w:firstLineChars="200" w:firstLine="480"/>
        <w:rPr>
          <w:bCs/>
          <w:sz w:val="24"/>
        </w:rPr>
      </w:pPr>
      <w:r>
        <w:rPr>
          <w:rFonts w:hint="eastAsia"/>
          <w:bCs/>
          <w:sz w:val="24"/>
        </w:rPr>
        <w:t>（九）清算报告</w:t>
      </w:r>
    </w:p>
    <w:p w14:paraId="6E80C534" w14:textId="77777777" w:rsidR="0046184B" w:rsidRDefault="00000000">
      <w:pPr>
        <w:autoSpaceDE w:val="0"/>
        <w:autoSpaceDN w:val="0"/>
        <w:spacing w:line="360" w:lineRule="auto"/>
        <w:ind w:firstLineChars="200" w:firstLine="480"/>
        <w:textAlignment w:val="bottom"/>
        <w:rPr>
          <w:bCs/>
          <w:sz w:val="24"/>
        </w:rPr>
      </w:pPr>
      <w:r>
        <w:rPr>
          <w:rFonts w:hint="eastAsia"/>
          <w:bCs/>
          <w:kern w:val="0"/>
          <w:sz w:val="24"/>
        </w:rPr>
        <w:t>基金合同终止的，基金管理人应当依法组织基金财产清算小组对基金财产进行清算并</w:t>
      </w:r>
      <w:proofErr w:type="gramStart"/>
      <w:r>
        <w:rPr>
          <w:rFonts w:hint="eastAsia"/>
          <w:bCs/>
          <w:kern w:val="0"/>
          <w:sz w:val="24"/>
        </w:rPr>
        <w:t>作出</w:t>
      </w:r>
      <w:proofErr w:type="gramEnd"/>
      <w:r>
        <w:rPr>
          <w:rFonts w:hint="eastAsia"/>
          <w:bCs/>
          <w:kern w:val="0"/>
          <w:sz w:val="24"/>
        </w:rPr>
        <w:t>清算报告。基金财产清算小组应当将清算报告登载在指定网站上，并将清算报告提示性公告登载在指定报刊上。</w:t>
      </w:r>
    </w:p>
    <w:p w14:paraId="5D1A5C64" w14:textId="77777777" w:rsidR="0046184B" w:rsidRDefault="00000000">
      <w:pPr>
        <w:autoSpaceDE w:val="0"/>
        <w:autoSpaceDN w:val="0"/>
        <w:spacing w:line="360" w:lineRule="auto"/>
        <w:ind w:firstLineChars="200" w:firstLine="480"/>
        <w:textAlignment w:val="bottom"/>
        <w:rPr>
          <w:bCs/>
          <w:sz w:val="24"/>
        </w:rPr>
      </w:pPr>
      <w:r>
        <w:rPr>
          <w:bCs/>
          <w:sz w:val="24"/>
        </w:rPr>
        <w:t>（</w:t>
      </w:r>
      <w:r>
        <w:rPr>
          <w:rFonts w:hint="eastAsia"/>
          <w:bCs/>
          <w:sz w:val="24"/>
        </w:rPr>
        <w:t>十</w:t>
      </w:r>
      <w:r>
        <w:rPr>
          <w:bCs/>
          <w:sz w:val="24"/>
        </w:rPr>
        <w:t>）基金份额持有人大会决议</w:t>
      </w:r>
    </w:p>
    <w:p w14:paraId="575755F2" w14:textId="77777777" w:rsidR="0046184B" w:rsidRDefault="00000000">
      <w:pPr>
        <w:autoSpaceDE w:val="0"/>
        <w:autoSpaceDN w:val="0"/>
        <w:spacing w:line="360" w:lineRule="auto"/>
        <w:ind w:firstLineChars="200" w:firstLine="480"/>
        <w:textAlignment w:val="bottom"/>
        <w:rPr>
          <w:bCs/>
          <w:sz w:val="24"/>
        </w:rPr>
      </w:pPr>
      <w:r>
        <w:rPr>
          <w:bCs/>
          <w:sz w:val="24"/>
        </w:rPr>
        <w:t>基金份额持有人大会决定的事项，应当依法报</w:t>
      </w:r>
      <w:r>
        <w:rPr>
          <w:rFonts w:hint="eastAsia"/>
          <w:bCs/>
          <w:sz w:val="24"/>
        </w:rPr>
        <w:t>中国证监会</w:t>
      </w:r>
      <w:r>
        <w:rPr>
          <w:bCs/>
          <w:sz w:val="24"/>
        </w:rPr>
        <w:t>备案，并予以公告。</w:t>
      </w:r>
    </w:p>
    <w:p w14:paraId="4C891B27"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（十一）投资股指期货的信息披露</w:t>
      </w:r>
    </w:p>
    <w:p w14:paraId="42E372C5"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人应当在基金季度报告、基金中期报告、基金年度报告等定期报告和招募说明书（更新）等文件中披露股指期货交易情况，包括投资政策、持仓情况、损益情况、风险指标等，并充分揭示股指期货交易对基金总体风险的影响以</w:t>
      </w:r>
      <w:r>
        <w:rPr>
          <w:rFonts w:hint="eastAsia"/>
          <w:bCs/>
          <w:sz w:val="24"/>
        </w:rPr>
        <w:lastRenderedPageBreak/>
        <w:t>及是否符合既定的投资政策和投资目标等。</w:t>
      </w:r>
    </w:p>
    <w:p w14:paraId="2AB6D3F9" w14:textId="77777777" w:rsidR="0046184B" w:rsidRDefault="00000000">
      <w:pPr>
        <w:spacing w:line="360" w:lineRule="auto"/>
        <w:ind w:firstLineChars="200" w:firstLine="480"/>
        <w:rPr>
          <w:bCs/>
          <w:sz w:val="24"/>
        </w:rPr>
      </w:pPr>
      <w:r>
        <w:rPr>
          <w:rFonts w:hint="eastAsia"/>
          <w:bCs/>
          <w:sz w:val="24"/>
        </w:rPr>
        <w:t>（十二）投资国债期货的信息披露</w:t>
      </w:r>
    </w:p>
    <w:p w14:paraId="42EEBA38" w14:textId="77777777" w:rsidR="0046184B" w:rsidRDefault="00000000">
      <w:pPr>
        <w:spacing w:line="360" w:lineRule="auto"/>
        <w:ind w:firstLineChars="200" w:firstLine="480"/>
        <w:rPr>
          <w:bCs/>
          <w:sz w:val="24"/>
        </w:rPr>
      </w:pPr>
      <w:r>
        <w:rPr>
          <w:rFonts w:hint="eastAsia"/>
          <w:bCs/>
          <w:sz w:val="24"/>
        </w:rPr>
        <w:t>基金管理人应当在基金季度报告、基金中期报告、基金年度报告等定期报告和招募说明书（更新）等文件中披露国债期货交易情况，包括投资政策、持仓情况、损益情况、风险指标等，并充分揭示国债期货交易对基金总体风险的影响以及是否符合既定的投资政策和投资目标等。</w:t>
      </w:r>
    </w:p>
    <w:p w14:paraId="5B6ACA1D" w14:textId="77777777" w:rsidR="0046184B" w:rsidRDefault="00000000">
      <w:pPr>
        <w:spacing w:line="360" w:lineRule="auto"/>
        <w:ind w:firstLineChars="200" w:firstLine="480"/>
        <w:rPr>
          <w:bCs/>
          <w:sz w:val="24"/>
        </w:rPr>
      </w:pPr>
      <w:r>
        <w:rPr>
          <w:bCs/>
          <w:sz w:val="24"/>
        </w:rPr>
        <w:t>（十</w:t>
      </w:r>
      <w:r>
        <w:rPr>
          <w:rFonts w:hint="eastAsia"/>
          <w:bCs/>
          <w:sz w:val="24"/>
        </w:rPr>
        <w:t>三</w:t>
      </w:r>
      <w:r>
        <w:rPr>
          <w:bCs/>
          <w:sz w:val="24"/>
        </w:rPr>
        <w:t>）</w:t>
      </w:r>
      <w:r>
        <w:rPr>
          <w:rFonts w:hint="eastAsia"/>
          <w:bCs/>
          <w:sz w:val="24"/>
        </w:rPr>
        <w:t>投资</w:t>
      </w:r>
      <w:r>
        <w:rPr>
          <w:bCs/>
          <w:sz w:val="24"/>
        </w:rPr>
        <w:t>股票期权</w:t>
      </w:r>
      <w:r>
        <w:rPr>
          <w:rFonts w:hint="eastAsia"/>
          <w:bCs/>
          <w:sz w:val="24"/>
        </w:rPr>
        <w:t>的信息披露</w:t>
      </w:r>
    </w:p>
    <w:p w14:paraId="2AD89739"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基金管理人应当</w:t>
      </w:r>
      <w:r>
        <w:rPr>
          <w:bCs/>
          <w:sz w:val="24"/>
        </w:rPr>
        <w:t>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22E33A2"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（十四）投资中小企业私募债券的信息披露</w:t>
      </w:r>
    </w:p>
    <w:p w14:paraId="517FA418"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基金管理人应当在基金投资中小企业私募债券后</w:t>
      </w:r>
      <w:r>
        <w:rPr>
          <w:rFonts w:hint="eastAsia"/>
          <w:bCs/>
          <w:sz w:val="24"/>
        </w:rPr>
        <w:t>2</w:t>
      </w:r>
      <w:r>
        <w:rPr>
          <w:rFonts w:hint="eastAsia"/>
          <w:bCs/>
          <w:sz w:val="24"/>
        </w:rPr>
        <w:t>个交易日内，在中国证监会指定媒介披露所投资中小企业私募债券的名称、数量、期限、收益率等信息。基金管理人应当在基金年度报告、基金中期报告和基金季度报告等定期报告和招募说明书等文件中披露中小企业私募债券的投资情况。</w:t>
      </w:r>
    </w:p>
    <w:p w14:paraId="28C7092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（十五）投资资产支持证券的信息披露</w:t>
      </w:r>
    </w:p>
    <w:p w14:paraId="76B80917" w14:textId="77777777" w:rsidR="0046184B" w:rsidRDefault="00000000">
      <w:pPr>
        <w:autoSpaceDE w:val="0"/>
        <w:autoSpaceDN w:val="0"/>
        <w:spacing w:line="360" w:lineRule="auto"/>
        <w:ind w:firstLineChars="200" w:firstLine="480"/>
        <w:textAlignment w:val="bottom"/>
        <w:rPr>
          <w:bCs/>
          <w:sz w:val="24"/>
        </w:rPr>
      </w:pPr>
      <w:r>
        <w:rPr>
          <w:rFonts w:hint="eastAsia"/>
          <w:bCs/>
          <w:sz w:val="24"/>
        </w:rPr>
        <w:t>本基金投资资产支持证券，基金管理人应在基金年报及中期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0D41C054" w14:textId="77777777" w:rsidR="0046184B" w:rsidRDefault="00000000">
      <w:pPr>
        <w:autoSpaceDE w:val="0"/>
        <w:autoSpaceDN w:val="0"/>
        <w:spacing w:line="360" w:lineRule="auto"/>
        <w:ind w:firstLineChars="200" w:firstLine="480"/>
        <w:textAlignment w:val="bottom"/>
        <w:rPr>
          <w:bCs/>
          <w:sz w:val="24"/>
        </w:rPr>
      </w:pPr>
      <w:r>
        <w:rPr>
          <w:bCs/>
          <w:sz w:val="24"/>
        </w:rPr>
        <w:t>（十</w:t>
      </w:r>
      <w:r>
        <w:rPr>
          <w:rFonts w:hint="eastAsia"/>
          <w:bCs/>
          <w:sz w:val="24"/>
        </w:rPr>
        <w:t>六</w:t>
      </w:r>
      <w:r>
        <w:rPr>
          <w:bCs/>
          <w:sz w:val="24"/>
        </w:rPr>
        <w:t>）中国证监会规定的其他信息。</w:t>
      </w:r>
    </w:p>
    <w:p w14:paraId="2E7C0B7E" w14:textId="77777777" w:rsidR="0046184B" w:rsidRDefault="00000000">
      <w:pPr>
        <w:autoSpaceDE w:val="0"/>
        <w:autoSpaceDN w:val="0"/>
        <w:spacing w:line="360" w:lineRule="auto"/>
        <w:ind w:firstLineChars="200" w:firstLine="480"/>
        <w:textAlignment w:val="bottom"/>
        <w:rPr>
          <w:bCs/>
          <w:sz w:val="24"/>
        </w:rPr>
      </w:pPr>
      <w:r>
        <w:rPr>
          <w:bCs/>
          <w:sz w:val="24"/>
        </w:rPr>
        <w:t>六、信息披露事务管理</w:t>
      </w:r>
    </w:p>
    <w:p w14:paraId="67D1A45B" w14:textId="77777777" w:rsidR="0046184B" w:rsidRDefault="00000000">
      <w:pPr>
        <w:spacing w:line="360" w:lineRule="auto"/>
        <w:ind w:firstLineChars="200" w:firstLine="480"/>
        <w:rPr>
          <w:bCs/>
          <w:sz w:val="24"/>
        </w:rPr>
      </w:pPr>
      <w:r>
        <w:rPr>
          <w:rFonts w:hint="eastAsia"/>
          <w:bCs/>
          <w:sz w:val="24"/>
        </w:rPr>
        <w:t>基金管理人、基金托管人应当建立健全信息披露管理制度，指定专门部门及高级管理人员负责管理信息披露事务。</w:t>
      </w:r>
    </w:p>
    <w:p w14:paraId="709B311D" w14:textId="77777777" w:rsidR="0046184B" w:rsidRDefault="00000000">
      <w:pPr>
        <w:spacing w:line="360" w:lineRule="auto"/>
        <w:ind w:firstLineChars="200" w:firstLine="480"/>
        <w:rPr>
          <w:bCs/>
          <w:sz w:val="24"/>
        </w:rPr>
      </w:pPr>
      <w:r>
        <w:rPr>
          <w:rFonts w:hint="eastAsia"/>
          <w:bCs/>
          <w:sz w:val="24"/>
        </w:rPr>
        <w:t>基金信息披露义务人公开披露基金信息，应当符合中国证监会相关基金信息披露内容与格式准则等法规的规定。</w:t>
      </w:r>
    </w:p>
    <w:p w14:paraId="0CB8219F" w14:textId="77777777" w:rsidR="0046184B" w:rsidRDefault="00000000">
      <w:pPr>
        <w:spacing w:line="360" w:lineRule="auto"/>
        <w:ind w:firstLineChars="200" w:firstLine="480"/>
        <w:rPr>
          <w:bCs/>
          <w:sz w:val="24"/>
        </w:rPr>
      </w:pPr>
      <w:r>
        <w:rPr>
          <w:rFonts w:hint="eastAsia"/>
          <w:bCs/>
          <w:sz w:val="24"/>
        </w:rPr>
        <w:t>基金托管人应当按照相关法律法规、中国证监会的规定和基金合同的约定，对基金管理人编制的基金资产净值、基金份额净值、基金份额申购赎回对价、基</w:t>
      </w:r>
      <w:r>
        <w:rPr>
          <w:rFonts w:hint="eastAsia"/>
          <w:bCs/>
          <w:sz w:val="24"/>
        </w:rPr>
        <w:lastRenderedPageBreak/>
        <w:t>金定期报告、更新的招募说明书、基金产品资料概要、基金清算报告等公开披露的相关基金信息</w:t>
      </w:r>
      <w:proofErr w:type="gramStart"/>
      <w:r>
        <w:rPr>
          <w:rFonts w:hint="eastAsia"/>
          <w:bCs/>
          <w:sz w:val="24"/>
        </w:rPr>
        <w:t>进行进行</w:t>
      </w:r>
      <w:proofErr w:type="gramEnd"/>
      <w:r>
        <w:rPr>
          <w:rFonts w:hint="eastAsia"/>
          <w:bCs/>
          <w:sz w:val="24"/>
        </w:rPr>
        <w:t>复核、审查，并向基金管理人进行书面或电子确认。</w:t>
      </w:r>
    </w:p>
    <w:p w14:paraId="0EEE7C73" w14:textId="77777777" w:rsidR="0046184B" w:rsidRDefault="00000000">
      <w:pPr>
        <w:spacing w:line="360" w:lineRule="auto"/>
        <w:ind w:firstLineChars="200" w:firstLine="480"/>
        <w:rPr>
          <w:bCs/>
          <w:sz w:val="24"/>
        </w:rPr>
      </w:pPr>
      <w:r>
        <w:rPr>
          <w:rFonts w:hint="eastAsia"/>
          <w:bCs/>
          <w:sz w:val="24"/>
        </w:rPr>
        <w:t>基金管理人、基金托管人应当在指定报刊中选择一家报刊披露本基金信息。基金管理人、基金托管人应当向中国证监会基金电子披露网站报送拟披露的基金信息，并保证相关报送信息的真实、准确、完整、及时。</w:t>
      </w:r>
    </w:p>
    <w:p w14:paraId="6E28F748" w14:textId="77777777" w:rsidR="0046184B" w:rsidRDefault="00000000">
      <w:pPr>
        <w:spacing w:line="360" w:lineRule="auto"/>
        <w:ind w:firstLineChars="200" w:firstLine="480"/>
        <w:rPr>
          <w:bCs/>
          <w:sz w:val="24"/>
        </w:rPr>
      </w:pPr>
      <w:r>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34A36524" w14:textId="77777777" w:rsidR="0046184B" w:rsidRDefault="00000000">
      <w:pPr>
        <w:autoSpaceDE w:val="0"/>
        <w:autoSpaceDN w:val="0"/>
        <w:spacing w:line="360" w:lineRule="auto"/>
        <w:ind w:firstLineChars="200" w:firstLine="480"/>
        <w:textAlignment w:val="bottom"/>
        <w:rPr>
          <w:bCs/>
          <w:sz w:val="24"/>
        </w:rPr>
      </w:pPr>
      <w:r>
        <w:rPr>
          <w:rFonts w:hint="eastAsia"/>
          <w:bCs/>
          <w:kern w:val="0"/>
          <w:sz w:val="24"/>
        </w:rPr>
        <w:t>基金管理人、基金托管人除按法律法规要求披露信息外、也可着眼于为投资者决策提供有用信息的角度，在保证公平对待投资者、</w:t>
      </w:r>
      <w:proofErr w:type="gramStart"/>
      <w:r>
        <w:rPr>
          <w:rFonts w:hint="eastAsia"/>
          <w:bCs/>
          <w:kern w:val="0"/>
          <w:sz w:val="24"/>
        </w:rPr>
        <w:t>不</w:t>
      </w:r>
      <w:proofErr w:type="gramEnd"/>
      <w:r>
        <w:rPr>
          <w:rFonts w:hint="eastAsia"/>
          <w:bCs/>
          <w:kern w:val="0"/>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7B6BE3C7" w14:textId="77777777" w:rsidR="0046184B" w:rsidRDefault="00000000">
      <w:pPr>
        <w:autoSpaceDE w:val="0"/>
        <w:autoSpaceDN w:val="0"/>
        <w:spacing w:line="360" w:lineRule="auto"/>
        <w:ind w:firstLineChars="200" w:firstLine="480"/>
        <w:textAlignment w:val="bottom"/>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750E30FE" w14:textId="77777777" w:rsidR="0046184B" w:rsidRDefault="00000000">
      <w:pPr>
        <w:autoSpaceDE w:val="0"/>
        <w:autoSpaceDN w:val="0"/>
        <w:spacing w:line="360" w:lineRule="auto"/>
        <w:ind w:firstLineChars="200" w:firstLine="480"/>
        <w:textAlignment w:val="bottom"/>
        <w:rPr>
          <w:bCs/>
          <w:sz w:val="24"/>
        </w:rPr>
      </w:pPr>
      <w:r>
        <w:rPr>
          <w:bCs/>
          <w:sz w:val="24"/>
        </w:rPr>
        <w:t>七、信息披露文件的存放与查阅</w:t>
      </w:r>
    </w:p>
    <w:p w14:paraId="3C7A6919" w14:textId="77777777" w:rsidR="0046184B" w:rsidRDefault="00000000">
      <w:pPr>
        <w:autoSpaceDE w:val="0"/>
        <w:autoSpaceDN w:val="0"/>
        <w:spacing w:line="360" w:lineRule="auto"/>
        <w:ind w:firstLineChars="200" w:firstLine="480"/>
        <w:textAlignment w:val="bottom"/>
        <w:rPr>
          <w:rFonts w:asciiTheme="minorEastAsia" w:hAnsiTheme="minorEastAsia" w:cs="Times New Roman" w:hint="eastAsia"/>
          <w:b/>
          <w:bCs/>
          <w:sz w:val="24"/>
          <w:szCs w:val="24"/>
        </w:rPr>
      </w:pPr>
      <w:r>
        <w:rPr>
          <w:rFonts w:hint="eastAsia"/>
          <w:bCs/>
          <w:kern w:val="0"/>
          <w:sz w:val="24"/>
        </w:rPr>
        <w:t>依法必须披露的信息发布后，基金管理人、基金托管人应当按照相关法律法规规定将信息置备于公司住所、基金上市交易的证券交易所，供社会公众查阅、复制。</w:t>
      </w:r>
    </w:p>
    <w:p w14:paraId="269F2E02" w14:textId="77777777" w:rsidR="0046184B" w:rsidRDefault="0046184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46184B">
          <w:footerReference w:type="default" r:id="rId36"/>
          <w:pgSz w:w="11906" w:h="16838"/>
          <w:pgMar w:top="1440" w:right="1800" w:bottom="1440" w:left="1800" w:header="851" w:footer="992" w:gutter="0"/>
          <w:pgNumType w:chapStyle="1"/>
          <w:cols w:space="720"/>
          <w:docGrid w:type="lines" w:linePitch="312"/>
        </w:sectPr>
      </w:pPr>
      <w:bookmarkStart w:id="310" w:name="_Toc214873605"/>
      <w:bookmarkStart w:id="311" w:name="_Toc147463125"/>
      <w:bookmarkStart w:id="312" w:name="_Toc12357178"/>
      <w:bookmarkStart w:id="313" w:name="_Toc416264552"/>
      <w:bookmarkStart w:id="314" w:name="_Toc21073398"/>
      <w:bookmarkStart w:id="315" w:name="_Toc263092324"/>
      <w:bookmarkStart w:id="316" w:name="_Toc93226150"/>
      <w:bookmarkStart w:id="317" w:name="_Toc92662708"/>
      <w:bookmarkStart w:id="318" w:name="_Toc13255"/>
      <w:bookmarkStart w:id="319" w:name="_Toc10894"/>
      <w:bookmarkStart w:id="320" w:name="_Toc141703897"/>
      <w:bookmarkStart w:id="321" w:name="_Toc21206"/>
      <w:bookmarkStart w:id="322" w:name="_Toc18747"/>
      <w:bookmarkStart w:id="323" w:name="_Toc17499"/>
      <w:bookmarkStart w:id="324" w:name="_Toc1043"/>
      <w:bookmarkStart w:id="325" w:name="_Toc29695"/>
      <w:bookmarkStart w:id="326" w:name="_Toc31736"/>
      <w:bookmarkStart w:id="327" w:name="_Toc18007"/>
      <w:bookmarkStart w:id="328" w:name="_Toc28961"/>
      <w:bookmarkStart w:id="329" w:name="_Toc23859"/>
      <w:bookmarkStart w:id="330" w:name="_Toc139991747"/>
      <w:bookmarkStart w:id="331" w:name="_Toc128310500"/>
      <w:bookmarkStart w:id="332" w:name="_Toc352229763"/>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p>
    <w:p w14:paraId="6809CA82" w14:textId="77777777" w:rsidR="0046184B" w:rsidRDefault="00000000">
      <w:pPr>
        <w:pStyle w:val="1"/>
        <w:jc w:val="center"/>
        <w:rPr>
          <w:sz w:val="30"/>
          <w:szCs w:val="30"/>
        </w:rPr>
      </w:pPr>
      <w:bookmarkStart w:id="333" w:name="_Toc37770219"/>
      <w:r>
        <w:rPr>
          <w:rFonts w:hint="eastAsia"/>
          <w:sz w:val="30"/>
          <w:szCs w:val="30"/>
        </w:rPr>
        <w:lastRenderedPageBreak/>
        <w:t>第十六部分</w:t>
      </w:r>
      <w:r>
        <w:rPr>
          <w:sz w:val="30"/>
          <w:szCs w:val="30"/>
        </w:rPr>
        <w:t xml:space="preserve">  </w:t>
      </w:r>
      <w:r>
        <w:rPr>
          <w:rFonts w:hint="eastAsia"/>
          <w:sz w:val="30"/>
          <w:szCs w:val="30"/>
        </w:rPr>
        <w:t>风险揭示</w:t>
      </w:r>
      <w:bookmarkEnd w:id="310"/>
      <w:bookmarkEnd w:id="311"/>
      <w:bookmarkEnd w:id="312"/>
      <w:bookmarkEnd w:id="313"/>
      <w:bookmarkEnd w:id="314"/>
      <w:bookmarkEnd w:id="315"/>
      <w:bookmarkEnd w:id="333"/>
    </w:p>
    <w:p w14:paraId="5AAAC6F3"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Times New Roman" w:hint="eastAsia"/>
          <w:sz w:val="24"/>
          <w:szCs w:val="24"/>
        </w:rPr>
        <w:t>一、投资于本基金的主要风险</w:t>
      </w:r>
    </w:p>
    <w:p w14:paraId="649F3D6E"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4C04870B"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64BD81EB"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552DF4CE"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F1553E8"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5040D9A6"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2EAA47F"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EB58B41"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75AC24C3"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680B391C"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119AD326"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7BA30276"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（1）拟投资市场、行业及资产的流动性风险评估</w:t>
      </w:r>
    </w:p>
    <w:p w14:paraId="37A268C5"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6C9A29CD"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 xml:space="preserve">（2）巨额赎回情形下的流动性风险管理措施 </w:t>
      </w:r>
    </w:p>
    <w:p w14:paraId="71428E50"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lastRenderedPageBreak/>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215A822F"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（3）实施备用的流动性风险管理工具的情形、程序及对投资者的潜在影响</w:t>
      </w:r>
    </w:p>
    <w:p w14:paraId="284106F0"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61B3F210"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4F5A3796"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53136549"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2A217BA9"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6191C993"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30EEFBAC"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5B39C535"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二、投资于本基金的特有风险</w:t>
      </w:r>
    </w:p>
    <w:p w14:paraId="524F6648"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w:t>
      </w:r>
      <w:r>
        <w:rPr>
          <w:rFonts w:asciiTheme="minorEastAsia" w:hAnsiTheme="minorEastAsia" w:cs="Arial" w:hint="eastAsia"/>
          <w:bCs/>
          <w:sz w:val="24"/>
          <w:szCs w:val="24"/>
        </w:rPr>
        <w:lastRenderedPageBreak/>
        <w:t>出的上市公司股票，这种对股票的评估具有一定的主观性，将在个股投资决策中给基金带来一定的不确定性，因而存在个股选择风险。</w:t>
      </w:r>
    </w:p>
    <w:p w14:paraId="4B13C4CD"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5071D4D9"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39FF63A5"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159E907A"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、中小企业私募债券投资风险</w:t>
      </w:r>
    </w:p>
    <w:p w14:paraId="7F19627F"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所投资的中小企业私募债券之债务人出现违约，或在交易过程中发生交收违约，或由于中小企业私募债券信用质量降低导致价格下降，可能造成基金财产损失。此外，受市场规模及交易活跃程度的影响，中小企业私募债券可能无法在同一价格水平上进行较大数量的买入或卖出，存在一定的流动性风险，从而对基金收益造成影响。</w:t>
      </w:r>
    </w:p>
    <w:p w14:paraId="0BE49B99"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4、资产支持证券投资风险</w:t>
      </w:r>
    </w:p>
    <w:p w14:paraId="5C3200FD"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055CE3E6"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5、股票期权投资风险</w:t>
      </w:r>
    </w:p>
    <w:p w14:paraId="579F96F1"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w:t>
      </w:r>
      <w:r>
        <w:rPr>
          <w:rFonts w:asciiTheme="minorEastAsia" w:hAnsiTheme="minorEastAsia" w:cs="Arial" w:hint="eastAsia"/>
          <w:bCs/>
          <w:sz w:val="24"/>
          <w:szCs w:val="24"/>
        </w:rPr>
        <w:lastRenderedPageBreak/>
        <w:t>失。</w:t>
      </w:r>
    </w:p>
    <w:p w14:paraId="206E71B8"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6、存托凭证投资风险</w:t>
      </w:r>
    </w:p>
    <w:p w14:paraId="480D7556"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475B47BF"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三、其他风险</w:t>
      </w:r>
    </w:p>
    <w:p w14:paraId="13DC4C9F"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05742843"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5439442B"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、法律风险</w:t>
      </w:r>
    </w:p>
    <w:p w14:paraId="33F8F772"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71399160"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488AFC39" w14:textId="77777777" w:rsidR="0046184B" w:rsidRDefault="00000000">
      <w:pPr>
        <w:adjustRightInd w:val="0"/>
        <w:snapToGrid w:val="0"/>
        <w:spacing w:line="360" w:lineRule="auto"/>
        <w:ind w:firstLineChars="200" w:firstLine="480"/>
        <w:rPr>
          <w:rFonts w:asciiTheme="minorEastAsia" w:hAnsiTheme="minorEastAsia" w:cs="Arial" w:hint="eastAsia"/>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5D3C6371" w14:textId="77777777" w:rsidR="0046184B" w:rsidRDefault="0046184B">
      <w:pPr>
        <w:widowControl/>
        <w:spacing w:line="360" w:lineRule="auto"/>
        <w:jc w:val="left"/>
        <w:rPr>
          <w:rFonts w:asciiTheme="minorEastAsia" w:hAnsiTheme="minorEastAsia" w:cs="Times New Roman" w:hint="eastAsia"/>
          <w:b/>
          <w:bCs/>
          <w:kern w:val="44"/>
          <w:sz w:val="24"/>
          <w:szCs w:val="24"/>
        </w:rPr>
        <w:sectPr w:rsidR="0046184B">
          <w:footerReference w:type="default" r:id="rId37"/>
          <w:pgSz w:w="11906" w:h="16838"/>
          <w:pgMar w:top="1440" w:right="1800" w:bottom="1440" w:left="1800" w:header="851" w:footer="992" w:gutter="0"/>
          <w:pgNumType w:chapStyle="1"/>
          <w:cols w:space="720"/>
          <w:docGrid w:type="lines" w:linePitch="312"/>
        </w:sectPr>
      </w:pPr>
    </w:p>
    <w:p w14:paraId="42E6F40D" w14:textId="77777777" w:rsidR="0046184B" w:rsidRDefault="00000000">
      <w:pPr>
        <w:pStyle w:val="1"/>
        <w:ind w:firstLine="600"/>
        <w:jc w:val="center"/>
      </w:pPr>
      <w:bookmarkStart w:id="334" w:name="_Toc37770220"/>
      <w:r>
        <w:rPr>
          <w:rFonts w:hint="eastAsia"/>
          <w:sz w:val="30"/>
          <w:szCs w:val="30"/>
        </w:rPr>
        <w:lastRenderedPageBreak/>
        <w:t>第十七部分</w:t>
      </w:r>
      <w:r>
        <w:rPr>
          <w:sz w:val="30"/>
          <w:szCs w:val="30"/>
        </w:rPr>
        <w:t xml:space="preserve">  </w:t>
      </w:r>
      <w:bookmarkEnd w:id="316"/>
      <w:bookmarkEnd w:id="317"/>
      <w:r>
        <w:rPr>
          <w:rFonts w:hint="eastAsia"/>
          <w:sz w:val="30"/>
          <w:szCs w:val="30"/>
        </w:rPr>
        <w:t>基金合同的变更、终止与基金财产的清算</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4"/>
    </w:p>
    <w:p w14:paraId="312D7715" w14:textId="77777777" w:rsidR="0046184B" w:rsidRDefault="00000000">
      <w:pPr>
        <w:autoSpaceDE w:val="0"/>
        <w:autoSpaceDN w:val="0"/>
        <w:spacing w:line="360" w:lineRule="auto"/>
        <w:ind w:firstLineChars="200" w:firstLine="480"/>
        <w:textAlignment w:val="bottom"/>
        <w:rPr>
          <w:bCs/>
          <w:sz w:val="24"/>
        </w:rPr>
      </w:pPr>
      <w:bookmarkStart w:id="335" w:name="_Toc79392639"/>
      <w:bookmarkStart w:id="336" w:name="_Toc11049"/>
      <w:bookmarkStart w:id="337" w:name="_Toc139991748"/>
      <w:bookmarkStart w:id="338" w:name="_Toc352229764"/>
      <w:bookmarkStart w:id="339" w:name="_Toc8512"/>
      <w:bookmarkStart w:id="340" w:name="_Toc1421"/>
      <w:bookmarkStart w:id="341" w:name="_Toc31866"/>
      <w:bookmarkStart w:id="342" w:name="_Toc3056"/>
      <w:bookmarkStart w:id="343" w:name="_Toc92662709"/>
      <w:bookmarkStart w:id="344" w:name="_Toc11802"/>
      <w:bookmarkStart w:id="345" w:name="_Toc193"/>
      <w:bookmarkStart w:id="346" w:name="_Toc1173"/>
      <w:bookmarkStart w:id="347" w:name="_Toc29289"/>
      <w:bookmarkStart w:id="348" w:name="_Toc93226151"/>
      <w:bookmarkStart w:id="349" w:name="_Toc21351"/>
      <w:bookmarkStart w:id="350" w:name="_Toc128310501"/>
      <w:bookmarkStart w:id="351" w:name="_Toc141703898"/>
      <w:bookmarkStart w:id="352" w:name="_Toc12028"/>
      <w:r>
        <w:rPr>
          <w:bCs/>
          <w:sz w:val="24"/>
        </w:rPr>
        <w:t>一、《基金合同》的变更</w:t>
      </w:r>
      <w:bookmarkEnd w:id="335"/>
    </w:p>
    <w:p w14:paraId="383E2ABC"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份额持有人大会决议通过。对于可不经基金份额持有人大会决议通过的事项，由基金管理人和基金托管人同意后变更并公告，并报中国证监会备案。</w:t>
      </w:r>
    </w:p>
    <w:p w14:paraId="43FA3A6D" w14:textId="77777777" w:rsidR="0046184B" w:rsidRDefault="00000000">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自生效</w:t>
      </w:r>
      <w:r>
        <w:rPr>
          <w:bCs/>
          <w:sz w:val="24"/>
        </w:rPr>
        <w:t>后方可执行，</w:t>
      </w:r>
      <w:r>
        <w:rPr>
          <w:rFonts w:hint="eastAsia"/>
          <w:bCs/>
          <w:sz w:val="24"/>
        </w:rPr>
        <w:t>并</w:t>
      </w:r>
      <w:proofErr w:type="gramStart"/>
      <w:r>
        <w:rPr>
          <w:bCs/>
          <w:sz w:val="24"/>
        </w:rPr>
        <w:t>自决议</w:t>
      </w:r>
      <w:proofErr w:type="gramEnd"/>
      <w:r>
        <w:rPr>
          <w:bCs/>
          <w:sz w:val="24"/>
        </w:rPr>
        <w:t>生效后两</w:t>
      </w:r>
      <w:r>
        <w:rPr>
          <w:rFonts w:hint="eastAsia"/>
          <w:bCs/>
          <w:sz w:val="24"/>
        </w:rPr>
        <w:t>个工作</w:t>
      </w:r>
      <w:r>
        <w:rPr>
          <w:bCs/>
          <w:sz w:val="24"/>
        </w:rPr>
        <w:t>日内在指定媒介公告。</w:t>
      </w:r>
    </w:p>
    <w:p w14:paraId="71A0300D" w14:textId="77777777" w:rsidR="0046184B" w:rsidRDefault="00000000">
      <w:pPr>
        <w:autoSpaceDE w:val="0"/>
        <w:autoSpaceDN w:val="0"/>
        <w:spacing w:line="360" w:lineRule="auto"/>
        <w:ind w:firstLineChars="200" w:firstLine="480"/>
        <w:textAlignment w:val="bottom"/>
        <w:rPr>
          <w:bCs/>
          <w:sz w:val="24"/>
        </w:rPr>
      </w:pPr>
      <w:r>
        <w:rPr>
          <w:bCs/>
          <w:sz w:val="24"/>
        </w:rPr>
        <w:t>二、《基金合同》的终止事由</w:t>
      </w:r>
    </w:p>
    <w:p w14:paraId="2960555D" w14:textId="77777777" w:rsidR="0046184B" w:rsidRDefault="00000000">
      <w:pPr>
        <w:autoSpaceDE w:val="0"/>
        <w:autoSpaceDN w:val="0"/>
        <w:spacing w:line="360" w:lineRule="auto"/>
        <w:ind w:firstLineChars="200" w:firstLine="480"/>
        <w:textAlignment w:val="bottom"/>
        <w:rPr>
          <w:bCs/>
          <w:sz w:val="24"/>
        </w:rPr>
      </w:pPr>
      <w:r>
        <w:rPr>
          <w:bCs/>
          <w:sz w:val="24"/>
        </w:rPr>
        <w:t>有下列情形之一的，《基金合同》应当终止：</w:t>
      </w:r>
    </w:p>
    <w:p w14:paraId="6FB7A753"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739B137C"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1F477176" w14:textId="77777777" w:rsidR="0046184B" w:rsidRDefault="00000000">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12D8879F" w14:textId="77777777" w:rsidR="0046184B" w:rsidRDefault="00000000">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17D7AABE" w14:textId="77777777" w:rsidR="0046184B" w:rsidRDefault="00000000">
      <w:pPr>
        <w:autoSpaceDE w:val="0"/>
        <w:autoSpaceDN w:val="0"/>
        <w:spacing w:line="360" w:lineRule="auto"/>
        <w:ind w:firstLineChars="200" w:firstLine="480"/>
        <w:textAlignment w:val="bottom"/>
        <w:rPr>
          <w:bCs/>
          <w:sz w:val="24"/>
        </w:rPr>
      </w:pPr>
      <w:r>
        <w:rPr>
          <w:bCs/>
          <w:sz w:val="24"/>
        </w:rPr>
        <w:t>三、基金财产的清算</w:t>
      </w:r>
    </w:p>
    <w:p w14:paraId="47BDF58B" w14:textId="77777777" w:rsidR="0046184B" w:rsidRDefault="00000000">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5D81AA04" w14:textId="77777777" w:rsidR="0046184B" w:rsidRDefault="00000000">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52643118" w14:textId="77777777" w:rsidR="0046184B" w:rsidRDefault="00000000">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8BC5728" w14:textId="77777777" w:rsidR="0046184B" w:rsidRDefault="00000000">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1C6899E3"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73E452B5"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1945E144"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28DFBCC1"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2A5903CB" w14:textId="77777777" w:rsidR="0046184B" w:rsidRDefault="00000000">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）聘请具有证券</w:t>
      </w:r>
      <w:r>
        <w:rPr>
          <w:rFonts w:hint="eastAsia"/>
          <w:bCs/>
          <w:sz w:val="24"/>
        </w:rPr>
        <w:t>、期货</w:t>
      </w:r>
      <w:r>
        <w:rPr>
          <w:bCs/>
          <w:sz w:val="24"/>
        </w:rPr>
        <w:t>相关业务资格</w:t>
      </w:r>
      <w:r>
        <w:rPr>
          <w:rFonts w:hint="eastAsia"/>
          <w:bCs/>
          <w:sz w:val="24"/>
        </w:rPr>
        <w:t>的</w:t>
      </w:r>
      <w:r>
        <w:rPr>
          <w:bCs/>
          <w:sz w:val="24"/>
        </w:rPr>
        <w:t>会计师事务所对清算报告进行外部审计，聘请律师事务所对清算报告出具法律意见书；</w:t>
      </w:r>
    </w:p>
    <w:p w14:paraId="33F347C2"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17149C1F" w14:textId="77777777" w:rsidR="0046184B" w:rsidRDefault="00000000">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0CB5FF0C" w14:textId="77777777" w:rsidR="0046184B" w:rsidRDefault="00000000">
      <w:pPr>
        <w:autoSpaceDE w:val="0"/>
        <w:autoSpaceDN w:val="0"/>
        <w:spacing w:line="360" w:lineRule="auto"/>
        <w:ind w:firstLineChars="200" w:firstLine="480"/>
        <w:textAlignment w:val="bottom"/>
        <w:rPr>
          <w:bCs/>
          <w:sz w:val="24"/>
        </w:rPr>
      </w:pPr>
      <w:r>
        <w:rPr>
          <w:bCs/>
          <w:sz w:val="24"/>
        </w:rPr>
        <w:t>5</w:t>
      </w:r>
      <w:r>
        <w:rPr>
          <w:bCs/>
          <w:sz w:val="24"/>
        </w:rPr>
        <w:t>、基金财产清算的期限为</w:t>
      </w:r>
      <w:r>
        <w:rPr>
          <w:rFonts w:hint="eastAsia"/>
          <w:bCs/>
          <w:sz w:val="24"/>
        </w:rPr>
        <w:t>6</w:t>
      </w:r>
      <w:r>
        <w:rPr>
          <w:bCs/>
          <w:sz w:val="24"/>
        </w:rPr>
        <w:t>个月。</w:t>
      </w:r>
    </w:p>
    <w:p w14:paraId="3D062229" w14:textId="77777777" w:rsidR="0046184B" w:rsidRDefault="00000000">
      <w:pPr>
        <w:autoSpaceDE w:val="0"/>
        <w:autoSpaceDN w:val="0"/>
        <w:spacing w:line="360" w:lineRule="auto"/>
        <w:ind w:firstLineChars="200" w:firstLine="480"/>
        <w:textAlignment w:val="bottom"/>
        <w:rPr>
          <w:bCs/>
          <w:sz w:val="24"/>
        </w:rPr>
      </w:pPr>
      <w:r>
        <w:rPr>
          <w:bCs/>
          <w:sz w:val="24"/>
        </w:rPr>
        <w:t>四、清算费用</w:t>
      </w:r>
    </w:p>
    <w:p w14:paraId="2F595E94" w14:textId="77777777" w:rsidR="0046184B" w:rsidRDefault="00000000">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128E2BE2" w14:textId="77777777" w:rsidR="0046184B" w:rsidRDefault="00000000">
      <w:pPr>
        <w:autoSpaceDE w:val="0"/>
        <w:autoSpaceDN w:val="0"/>
        <w:spacing w:line="360" w:lineRule="auto"/>
        <w:ind w:firstLineChars="200" w:firstLine="480"/>
        <w:textAlignment w:val="bottom"/>
        <w:rPr>
          <w:bCs/>
          <w:sz w:val="24"/>
        </w:rPr>
      </w:pPr>
      <w:r>
        <w:rPr>
          <w:bCs/>
          <w:sz w:val="24"/>
        </w:rPr>
        <w:t>五、基金财产清算剩余资产的分配</w:t>
      </w:r>
    </w:p>
    <w:p w14:paraId="733647F4" w14:textId="77777777" w:rsidR="0046184B" w:rsidRDefault="00000000">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04734717" w14:textId="77777777" w:rsidR="0046184B" w:rsidRDefault="00000000">
      <w:pPr>
        <w:autoSpaceDE w:val="0"/>
        <w:autoSpaceDN w:val="0"/>
        <w:spacing w:line="360" w:lineRule="auto"/>
        <w:ind w:firstLineChars="200" w:firstLine="480"/>
        <w:textAlignment w:val="bottom"/>
        <w:rPr>
          <w:bCs/>
          <w:sz w:val="24"/>
        </w:rPr>
      </w:pPr>
      <w:r>
        <w:rPr>
          <w:bCs/>
          <w:sz w:val="24"/>
        </w:rPr>
        <w:t>六、基金财产清算的公告</w:t>
      </w:r>
    </w:p>
    <w:p w14:paraId="557B031D" w14:textId="77777777" w:rsidR="0046184B" w:rsidRDefault="00000000">
      <w:pPr>
        <w:autoSpaceDE w:val="0"/>
        <w:autoSpaceDN w:val="0"/>
        <w:spacing w:line="360" w:lineRule="auto"/>
        <w:ind w:firstLineChars="200" w:firstLine="480"/>
        <w:textAlignment w:val="bottom"/>
        <w:rPr>
          <w:bCs/>
          <w:sz w:val="24"/>
        </w:rPr>
      </w:pPr>
      <w:r>
        <w:rPr>
          <w:bCs/>
          <w:sz w:val="24"/>
        </w:rPr>
        <w:t>清算过程中的有关重大事项须及时公告；基金财产清算报告经具有证券</w:t>
      </w:r>
      <w:r>
        <w:rPr>
          <w:rFonts w:hint="eastAsia"/>
          <w:bCs/>
          <w:sz w:val="24"/>
        </w:rPr>
        <w:t>、期货</w:t>
      </w:r>
      <w:r>
        <w:rPr>
          <w:bCs/>
          <w:sz w:val="24"/>
        </w:rPr>
        <w:t>相关业务资格</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p>
    <w:p w14:paraId="6B334D7E" w14:textId="77777777" w:rsidR="0046184B" w:rsidRDefault="00000000">
      <w:pPr>
        <w:autoSpaceDE w:val="0"/>
        <w:autoSpaceDN w:val="0"/>
        <w:spacing w:line="360" w:lineRule="auto"/>
        <w:ind w:firstLineChars="200" w:firstLine="480"/>
        <w:textAlignment w:val="bottom"/>
        <w:rPr>
          <w:bCs/>
          <w:sz w:val="24"/>
        </w:rPr>
      </w:pPr>
      <w:r>
        <w:rPr>
          <w:bCs/>
          <w:sz w:val="24"/>
        </w:rPr>
        <w:t>七、基金财产清算账册及文件的保存</w:t>
      </w:r>
    </w:p>
    <w:p w14:paraId="2A30D270"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bCs/>
          <w:sz w:val="24"/>
        </w:rPr>
        <w:t>基金财产清算账册及有关文件由基金托管人保存</w:t>
      </w:r>
      <w:r>
        <w:rPr>
          <w:rFonts w:hint="eastAsia"/>
          <w:bCs/>
          <w:sz w:val="24"/>
        </w:rPr>
        <w:t>15</w:t>
      </w:r>
      <w:r>
        <w:rPr>
          <w:bCs/>
          <w:sz w:val="24"/>
        </w:rPr>
        <w:t>年以上</w:t>
      </w:r>
      <w:r>
        <w:rPr>
          <w:rFonts w:asciiTheme="minorEastAsia" w:hAnsiTheme="minorEastAsia" w:cs="Times New Roman" w:hint="eastAsia"/>
          <w:sz w:val="24"/>
          <w:szCs w:val="24"/>
        </w:rPr>
        <w:t>。</w:t>
      </w:r>
    </w:p>
    <w:p w14:paraId="63EAFB06" w14:textId="77777777" w:rsidR="0046184B" w:rsidRDefault="0046184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46184B">
          <w:footerReference w:type="default" r:id="rId38"/>
          <w:pgSz w:w="11906" w:h="16838"/>
          <w:pgMar w:top="1440" w:right="1800" w:bottom="1440" w:left="1800" w:header="851" w:footer="992" w:gutter="0"/>
          <w:pgNumType w:chapStyle="1"/>
          <w:cols w:space="720"/>
          <w:docGrid w:type="lines" w:linePitch="312"/>
        </w:sectPr>
      </w:pPr>
      <w:bookmarkStart w:id="353" w:name="_Toc416264553"/>
      <w:bookmarkStart w:id="354" w:name="_Toc263092326"/>
      <w:bookmarkStart w:id="355" w:name="_Toc214873607"/>
      <w:bookmarkStart w:id="356" w:name="_Toc7170"/>
      <w:bookmarkStart w:id="357" w:name="_Toc123051465"/>
      <w:bookmarkStart w:id="358" w:name="_Toc139991749"/>
      <w:bookmarkStart w:id="359" w:name="_Toc123102466"/>
      <w:bookmarkStart w:id="360" w:name="_Toc11113"/>
      <w:bookmarkStart w:id="361" w:name="_Toc9005"/>
      <w:bookmarkStart w:id="362" w:name="_Toc10006"/>
      <w:bookmarkStart w:id="363" w:name="_Toc29891"/>
      <w:bookmarkStart w:id="364" w:name="_Toc123112247"/>
      <w:bookmarkStart w:id="365" w:name="_Toc8049"/>
      <w:bookmarkStart w:id="366" w:name="_Toc98560364"/>
      <w:bookmarkStart w:id="367" w:name="_Toc141703899"/>
      <w:bookmarkStart w:id="368" w:name="_Toc22978"/>
      <w:bookmarkStart w:id="369" w:name="_Toc25647"/>
      <w:bookmarkStart w:id="370" w:name="_Toc352229765"/>
      <w:bookmarkStart w:id="371" w:name="_Toc27464"/>
      <w:bookmarkStart w:id="372" w:name="_Toc6237"/>
      <w:bookmarkStart w:id="373" w:name="_Toc8059"/>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14:paraId="666952A2" w14:textId="77777777" w:rsidR="0046184B" w:rsidRDefault="00000000">
      <w:pPr>
        <w:pStyle w:val="1"/>
        <w:jc w:val="center"/>
        <w:rPr>
          <w:sz w:val="30"/>
          <w:szCs w:val="30"/>
        </w:rPr>
      </w:pPr>
      <w:bookmarkStart w:id="374" w:name="_Toc37770221"/>
      <w:r>
        <w:rPr>
          <w:rFonts w:hint="eastAsia"/>
          <w:sz w:val="30"/>
          <w:szCs w:val="30"/>
        </w:rPr>
        <w:lastRenderedPageBreak/>
        <w:t>第十八部分</w:t>
      </w:r>
      <w:r>
        <w:rPr>
          <w:sz w:val="30"/>
          <w:szCs w:val="30"/>
        </w:rPr>
        <w:t xml:space="preserve">  </w:t>
      </w:r>
      <w:r>
        <w:rPr>
          <w:rFonts w:hint="eastAsia"/>
          <w:sz w:val="30"/>
          <w:szCs w:val="30"/>
        </w:rPr>
        <w:t>基金合同的内容摘要</w:t>
      </w:r>
      <w:bookmarkEnd w:id="353"/>
      <w:bookmarkEnd w:id="354"/>
      <w:bookmarkEnd w:id="355"/>
      <w:bookmarkEnd w:id="374"/>
    </w:p>
    <w:p w14:paraId="7193FBB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一、基金份额持有人、基金管理人和基金托管人的权利、义务</w:t>
      </w:r>
    </w:p>
    <w:p w14:paraId="552BDC9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0EBB641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45FC16F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w:t>
      </w:r>
    </w:p>
    <w:p w14:paraId="730982D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4EEDDAD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15F0FE1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（4）销售基金份额；</w:t>
      </w:r>
    </w:p>
    <w:p w14:paraId="5951651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（5）按照规定召集基金份额持有人大会；</w:t>
      </w:r>
    </w:p>
    <w:p w14:paraId="22A10DC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179AA25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（7）在基金托管人更换时，提名新的基金托管人；</w:t>
      </w:r>
    </w:p>
    <w:p w14:paraId="2253115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67CDFF3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64C5BAE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10A0E1E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 xml:space="preserve">（11）在《基金合同》约定的范围内，拒绝或暂停受理申购与赎回申请； </w:t>
      </w:r>
    </w:p>
    <w:p w14:paraId="0708140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5BF5C6C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（13）以基金管理人的名义，代表基金份额持有人的利益行使诉讼权利或者实施其他法律行为；</w:t>
      </w:r>
      <w:r>
        <w:rPr>
          <w:rFonts w:asciiTheme="minorEastAsia" w:hAnsiTheme="minorEastAsia" w:cs="Times New Roman" w:hint="eastAsia"/>
          <w:bCs/>
          <w:sz w:val="24"/>
          <w:szCs w:val="24"/>
        </w:rPr>
        <w:tab/>
      </w:r>
    </w:p>
    <w:p w14:paraId="7ED6D55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（14）选择、更换律师事务所、会计师事务所、证券经纪商、期货经纪商或其他为基金提供服务的外部机构；</w:t>
      </w:r>
      <w:r>
        <w:rPr>
          <w:rFonts w:asciiTheme="minorEastAsia" w:hAnsiTheme="minorEastAsia" w:cs="Times New Roman" w:hint="eastAsia"/>
          <w:bCs/>
          <w:sz w:val="24"/>
          <w:szCs w:val="24"/>
        </w:rPr>
        <w:tab/>
      </w:r>
    </w:p>
    <w:p w14:paraId="12C46FA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（15）在符合有关法律、法规的前提下，制订和调整有关基金认购、申购、赎回、转换和</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过户等业务规则；</w:t>
      </w:r>
    </w:p>
    <w:p w14:paraId="14FB76B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（16）法律法规及中国证监会规定的和《基金合同》约定的其他权利。</w:t>
      </w:r>
    </w:p>
    <w:p w14:paraId="0E0519C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74BB9B7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5C484E2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（2）办理基金备案手续；</w:t>
      </w:r>
    </w:p>
    <w:p w14:paraId="5CEB9FF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5664802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68942AB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（5）建立健全内部风险控制、监察与稽核、财务管理及人事管理等制度，保证所管理的基金财产和基金管理人的财产相互独立，对所管理的不同基金分别管理，分别记账，进行证券投资；</w:t>
      </w:r>
    </w:p>
    <w:p w14:paraId="17374ED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3FD8C6A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（7）依法接受基金托管人的监督；</w:t>
      </w:r>
    </w:p>
    <w:p w14:paraId="7A49DD1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（8）采取适当合理的措施使计算基金份额认购、申购、赎回和注销价格的方法符合《基金合同》等法律文件的规定，按有关规定计算并公告基金净值信息，确定基金份额申购、赎回对价，编制申购赎回清单；</w:t>
      </w:r>
    </w:p>
    <w:p w14:paraId="7EB4A9A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（9）进行基金会计核算并编制基金财务会计报告；</w:t>
      </w:r>
    </w:p>
    <w:p w14:paraId="73DE53B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（10）编制季度报告、中期</w:t>
      </w:r>
      <w:r>
        <w:rPr>
          <w:rFonts w:asciiTheme="minorEastAsia" w:hAnsiTheme="minorEastAsia" w:cs="Times New Roman"/>
          <w:bCs/>
          <w:sz w:val="24"/>
          <w:szCs w:val="24"/>
        </w:rPr>
        <w:t>报告</w:t>
      </w:r>
      <w:r>
        <w:rPr>
          <w:rFonts w:asciiTheme="minorEastAsia" w:hAnsiTheme="minorEastAsia" w:cs="Times New Roman" w:hint="eastAsia"/>
          <w:bCs/>
          <w:sz w:val="24"/>
          <w:szCs w:val="24"/>
        </w:rPr>
        <w:t>和年度报告；</w:t>
      </w:r>
    </w:p>
    <w:p w14:paraId="333DCBA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64B98B9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（12）保守基金商业秘密，不泄露基金投资计划、投资意向等。除《基金法》、《基金合同》及其他有关规定另有规定外，在基金信息公开披露前应予保密，不向他人泄露；</w:t>
      </w:r>
    </w:p>
    <w:p w14:paraId="3D2E2C1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（13）按《基金合同》的约定确定基金收益分配方案，及时向基金份额持有人分配基金收益；</w:t>
      </w:r>
    </w:p>
    <w:p w14:paraId="2F5DC28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（14）按规定受理申购与赎回申请，及时、足额支付赎回款项；</w:t>
      </w:r>
    </w:p>
    <w:p w14:paraId="3AFC5E8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7EC4392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（16）按规定保存基金财产管理业务活动的会计账册、报表、记录和其他相关资料15年以上；</w:t>
      </w:r>
    </w:p>
    <w:p w14:paraId="48D2CAD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9BC833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3003423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080FA19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5AB678B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2540F48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47F254F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p>
    <w:p w14:paraId="36B21A6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（24）基金管理人在募集期间未能达到基金的备案条件，《基金合同》不能生效，基金管理人承担全部募集费用，将已募集资金并加计银行同期活期存款利息在基金募集期结束后30日内退还基金认购人；</w:t>
      </w:r>
    </w:p>
    <w:p w14:paraId="69AB2A9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（25）执行生效的基金份额持有人大会的决议；</w:t>
      </w:r>
    </w:p>
    <w:p w14:paraId="668CFE6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（26）建立并保存基金份额持有人名册；</w:t>
      </w:r>
    </w:p>
    <w:p w14:paraId="4A0792D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（27）法律法规及中国证监会规定的和《基金合同》约定的其他义务。</w:t>
      </w:r>
    </w:p>
    <w:p w14:paraId="1F987C5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（二）</w:t>
      </w:r>
      <w:r>
        <w:rPr>
          <w:rFonts w:asciiTheme="minorEastAsia" w:hAnsiTheme="minorEastAsia" w:cs="Times New Roman" w:hint="eastAsia"/>
          <w:bCs/>
          <w:sz w:val="24"/>
          <w:szCs w:val="24"/>
        </w:rPr>
        <w:tab/>
        <w:t>基金托管人的权利与义务</w:t>
      </w:r>
    </w:p>
    <w:p w14:paraId="37E7380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3C5E1CC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0182877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07928D5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C43DD5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（4）根据相关市场规则，为基金开设资金账户、证券账户等投资所需账户，为基金办理证券交易资金清算；</w:t>
      </w:r>
    </w:p>
    <w:p w14:paraId="728EA56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（5）提议召开或召集基金份额持有人大会；</w:t>
      </w:r>
    </w:p>
    <w:p w14:paraId="656B9C3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（6）在基金管理人更换时，提名新的基金管理人；</w:t>
      </w:r>
    </w:p>
    <w:p w14:paraId="6C54087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（7）法律法规及中国证监会规定的和《基金合同》约定的其他权利。</w:t>
      </w:r>
    </w:p>
    <w:p w14:paraId="6ED6E44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4500404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（1）以诚实信用、勤勉尽责的原则持有并安全保管基金财产；</w:t>
      </w:r>
    </w:p>
    <w:p w14:paraId="35ADA39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616A284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40991E9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（4）除依据《基金法》、《基金合同》及其他有关规定外，不得利用基金财产为自己及任何第三人谋取利益，不得委托第三人托管基金财产；</w:t>
      </w:r>
    </w:p>
    <w:p w14:paraId="4D38448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02AAB50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（6）按规定开设基金财产的资金账户、证券账户、期货账户等投资所需账户，按照《基金合同》的约定，根据基金管理人的投资指令，及时办理清算、交割事宜；</w:t>
      </w:r>
    </w:p>
    <w:p w14:paraId="69F0C02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（7）保守基金商业秘密，除《基金法》、《基金合同》及其他有关规定另有规定外，在基金信息公开披露前予以保密，不得向他人泄露；</w:t>
      </w:r>
    </w:p>
    <w:p w14:paraId="5407E7B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4E504E2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（9）办理与基金托管业务活动有关的信息披露事项；</w:t>
      </w:r>
    </w:p>
    <w:p w14:paraId="79D2709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的规定进行；如果基金管理人有未执行《基金合同》规定的行为，还应当说明基金托管人是否采取了适当的措施；</w:t>
      </w:r>
    </w:p>
    <w:p w14:paraId="1935ABC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（11）保存基金托管业务活动的记录、账册、报表和其他相关资料15年以上；</w:t>
      </w:r>
    </w:p>
    <w:p w14:paraId="3B0B5B7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w:t>
      </w:r>
      <w:r>
        <w:rPr>
          <w:bCs/>
          <w:sz w:val="24"/>
          <w:szCs w:val="24"/>
        </w:rPr>
        <w:t>保存基金份额持有人名册</w:t>
      </w:r>
      <w:r>
        <w:rPr>
          <w:rFonts w:asciiTheme="minorEastAsia" w:hAnsiTheme="minorEastAsia" w:cs="Times New Roman" w:hint="eastAsia"/>
          <w:bCs/>
          <w:sz w:val="24"/>
          <w:szCs w:val="24"/>
        </w:rPr>
        <w:t>；</w:t>
      </w:r>
    </w:p>
    <w:p w14:paraId="3DC1A9B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（13）按规定制作相关账册并与基金管理人核对；</w:t>
      </w:r>
    </w:p>
    <w:p w14:paraId="4998D37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06F5F52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24CA4FA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（16）按照法律法规和《基金合同》的规定监督基金管理人的投资运作；</w:t>
      </w:r>
    </w:p>
    <w:p w14:paraId="005E90E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46E9186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（18）面临解散、依法被撤销或者被依法宣告破产时，及时报告中国证监会和银行监管机构，并通知基金管理人；</w:t>
      </w:r>
    </w:p>
    <w:p w14:paraId="775ADDC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（19）因违反《基金合同》导致基金财产损失时，应承担赔偿责任，其赔偿责任不因其退任而免除；</w:t>
      </w:r>
    </w:p>
    <w:p w14:paraId="73FAC46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764E7F2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（21）执行生效的基金份额持有人大会的决议；</w:t>
      </w:r>
    </w:p>
    <w:p w14:paraId="3C71219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（22）法律法规及中国证监会规定的和《基金合同》约定的其他义务。</w:t>
      </w:r>
    </w:p>
    <w:p w14:paraId="5B223B4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（三）基金份额持有人的权利和义务</w:t>
      </w:r>
    </w:p>
    <w:p w14:paraId="4B49E19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6C5F8DC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同一类别每份基金份额具有同等的合法权益。本基金A类基金份额与C类基金份额由于基金份额净值的不同，基金收益分配的金额以及参与清算后的剩余基金财产分配的数量将可能有所不同。</w:t>
      </w:r>
    </w:p>
    <w:p w14:paraId="28CE1EA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067A91C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（1）分享基金财产收益；</w:t>
      </w:r>
    </w:p>
    <w:p w14:paraId="273695F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（2）参与分配清算后的剩余基金财产；</w:t>
      </w:r>
    </w:p>
    <w:p w14:paraId="74232FE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（3）依法申请赎回其持有的基金份额；</w:t>
      </w:r>
    </w:p>
    <w:p w14:paraId="04F21D6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575E690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5BF1353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（6）查阅或者复制公开披露的基金信息资料；</w:t>
      </w:r>
    </w:p>
    <w:p w14:paraId="4F939E3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（7）监督基金管理人的投资运作；</w:t>
      </w:r>
    </w:p>
    <w:p w14:paraId="6D290A3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5A795A8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（9）法律法规及中国证监会规定的和《基金合同》约定的其他权利。</w:t>
      </w:r>
    </w:p>
    <w:p w14:paraId="7C92238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0D6A37B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（1）认真阅读并遵守《基金合同》、招募说明书等信息披露文件；</w:t>
      </w:r>
    </w:p>
    <w:p w14:paraId="3EE7D4D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（2）了解所投资基金产品，了解自身风险承受能力，自主判断基金的投资价值，自主做出投资决策，自行承担投资风险；</w:t>
      </w:r>
    </w:p>
    <w:p w14:paraId="5EDC73B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（3）关注基金信息披露，及时行使权利和履行义务；</w:t>
      </w:r>
    </w:p>
    <w:p w14:paraId="4A506E9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（4）缴纳基金认购、申购款项及法律法规和《基金合同》所规定的费用；</w:t>
      </w:r>
    </w:p>
    <w:p w14:paraId="0AAEEC9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73B7725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（6）不从事任何有损基金及其他《基金合同》当事人合法权益的活动；</w:t>
      </w:r>
    </w:p>
    <w:p w14:paraId="5FAA356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（7）执行生效的基金份额持有人大会的决议；</w:t>
      </w:r>
    </w:p>
    <w:p w14:paraId="1FCF29C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（8）返还在基金交易过程中因任何原因获得的不当得利；</w:t>
      </w:r>
    </w:p>
    <w:p w14:paraId="69817E3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（9）法律法规及中国证监会规定的和《基金合同》约定的其他义务。</w:t>
      </w:r>
    </w:p>
    <w:p w14:paraId="27D4118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二、基金份额持有人大会召集、议事及表决的程序和规则</w:t>
      </w:r>
    </w:p>
    <w:p w14:paraId="0DB0F9B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基金份额持有人大会由基金份额持有人组成，基金份额持有人的合法授权代表有权代表基金份额持有人出席会议并表决。基金份额持有人持有的每一基金份额拥有平等的投票权。</w:t>
      </w:r>
    </w:p>
    <w:p w14:paraId="5969295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本基金份额持有人大会不设日常机构。</w:t>
      </w:r>
    </w:p>
    <w:p w14:paraId="3262CC9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（一）召开事由</w:t>
      </w:r>
    </w:p>
    <w:p w14:paraId="135061C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1、当出现或需要决定下列事由之一的，应当召开基金份额持有人大会：</w:t>
      </w:r>
    </w:p>
    <w:p w14:paraId="0DC2DDD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（1）终止《基金合同》，但《基金合同》另有约定的除外；</w:t>
      </w:r>
    </w:p>
    <w:p w14:paraId="07C63C5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（2）更换基金管理人；</w:t>
      </w:r>
    </w:p>
    <w:p w14:paraId="5B05429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（3）更换基金托管人；</w:t>
      </w:r>
    </w:p>
    <w:p w14:paraId="73D7D5F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（4）转换基金运作方式；</w:t>
      </w:r>
    </w:p>
    <w:p w14:paraId="3A39744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（5）调整基金管理人、基金托管人</w:t>
      </w:r>
      <w:r>
        <w:rPr>
          <w:rFonts w:hint="eastAsia"/>
          <w:bCs/>
          <w:sz w:val="24"/>
          <w:szCs w:val="24"/>
        </w:rPr>
        <w:t>报酬标准</w:t>
      </w:r>
      <w:r>
        <w:rPr>
          <w:rFonts w:asciiTheme="minorEastAsia" w:hAnsiTheme="minorEastAsia" w:cs="Times New Roman" w:hint="eastAsia"/>
          <w:bCs/>
          <w:sz w:val="24"/>
          <w:szCs w:val="24"/>
        </w:rPr>
        <w:t>或调高销售服务费率；</w:t>
      </w:r>
    </w:p>
    <w:p w14:paraId="492D823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（6）变更基金类别；</w:t>
      </w:r>
    </w:p>
    <w:p w14:paraId="71E9059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（7）本基金与其他基金的合并；</w:t>
      </w:r>
    </w:p>
    <w:p w14:paraId="13895A7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（8）变更基金投资目标、范围或策略；</w:t>
      </w:r>
    </w:p>
    <w:p w14:paraId="17612A0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（9）变更基金份额持有人大会程序；</w:t>
      </w:r>
    </w:p>
    <w:p w14:paraId="0596265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（10）基金管理人或基金托管人要求召开基金份额持有人大会；</w:t>
      </w:r>
    </w:p>
    <w:p w14:paraId="6C4A6CC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（11）单独或合计持有本基金总份额10%以上（含10%）基金份额的基金份额持有人（以基金管理人收到提议当日的基金份额计算，下同）就同一事项书面要求召开基金份额持有人大会；</w:t>
      </w:r>
    </w:p>
    <w:p w14:paraId="7E3B70C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（12）对基金合同当事人权利和义务产生重大影响的其他事项；</w:t>
      </w:r>
    </w:p>
    <w:p w14:paraId="4962203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5479BD8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2、以下情况可由基金管理人和基金托管人协商后修改，不需召开基金份额持有人大会：</w:t>
      </w:r>
    </w:p>
    <w:p w14:paraId="5D69F4E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（1）调低销售服务费费率；</w:t>
      </w:r>
    </w:p>
    <w:p w14:paraId="44E55FF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（2）法律法规要求增加的基金费用的收取；</w:t>
      </w:r>
    </w:p>
    <w:p w14:paraId="2E9E7D7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基金合同》规定的范围内且对现有基金份额持有人利益无实质性不利影响的前提下调整本基金的申购费率、调低赎回费率或变更收费方式、增加、减少或调整基金份额类别设置、对基金份额分类办法及规则进行调整、推出新业务或新服务；</w:t>
      </w:r>
    </w:p>
    <w:p w14:paraId="113FFAB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5E816EE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（5）对《基金合同》的修改对基金份额持有人利益无实质性不利影响或修改不涉及《基金合同》当事人权利义务关系发生重大变化；</w:t>
      </w:r>
    </w:p>
    <w:p w14:paraId="268897D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（6）按照法律法规和《基金合同》规定不需召开基金份额持有人大会的其他情形。</w:t>
      </w:r>
    </w:p>
    <w:p w14:paraId="6136F47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（二）会议召集人及召集方式</w:t>
      </w:r>
    </w:p>
    <w:p w14:paraId="144D6AC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7905025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2、基金管理人未按规定召集或不能召集时，由基金托管人召集；</w:t>
      </w:r>
    </w:p>
    <w:p w14:paraId="5037C57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9EEB1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19AE16D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46B014F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6C22460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（三）召开基金份额持有人大会的通知时间、通知内容、通知方式</w:t>
      </w:r>
    </w:p>
    <w:p w14:paraId="79E4D6F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1、召开基金份额持有人大会，召集人应于会议召开前30日，在指定媒介公告。基金份额持有人大会通知应至少载明以下内容：</w:t>
      </w:r>
    </w:p>
    <w:p w14:paraId="5B171DD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（1）会议召开的时间、地点和会议形式；</w:t>
      </w:r>
    </w:p>
    <w:p w14:paraId="20E09AC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639F47D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（3）有权出席基金份额持有人大会的基金份额持有人的权益登记日；</w:t>
      </w:r>
    </w:p>
    <w:p w14:paraId="70940B1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（4）授权委托证明的内容要求（包括但不限于代理人身份，代理权限和代理有效期限等）、送达时间和地点；</w:t>
      </w:r>
    </w:p>
    <w:p w14:paraId="7A7AB1E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（5）会务常设联系人姓名及联系电话；</w:t>
      </w:r>
    </w:p>
    <w:p w14:paraId="50087DA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（6）出席会议者必须准备的文件和必须履行的手续；</w:t>
      </w:r>
    </w:p>
    <w:p w14:paraId="70CA590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（7）召集人需要通知的其他事项。</w:t>
      </w:r>
    </w:p>
    <w:p w14:paraId="1DC6FD3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75ED41D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2A0459B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（四）基金份额持有人出席会议的方式</w:t>
      </w:r>
    </w:p>
    <w:p w14:paraId="03F2450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04DFF7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4B4D883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786F6A9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6559FFF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2、通讯开会。通讯开会系指基金份额持有人将其对表决事项的投票以书面形式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公告载明的其他方式在表决截至日以前送达至召集人指定的地址。通讯开会应以书面方式</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公告载明的其他方式进行表决。</w:t>
      </w:r>
    </w:p>
    <w:p w14:paraId="48BCCAF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在同时符合以下条件时，通讯开会的方式视为有效：</w:t>
      </w:r>
    </w:p>
    <w:p w14:paraId="0DC26C3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76BDA28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641162F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含三分之一）以上基金份额的持有人直接出具表决意见或授权他人代表出具表决意见；</w:t>
      </w:r>
    </w:p>
    <w:p w14:paraId="0A0DBD7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4C29AEF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3、在法律法规和监管机关允许的情况下，本基金的基金份额持有人亦可采用其他非书面方式授权其代理人出席基金份额持有人大会，具体方式由会议召集人确定并在会议通知中列明。</w:t>
      </w:r>
    </w:p>
    <w:p w14:paraId="7629C01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w:t>
      </w:r>
    </w:p>
    <w:p w14:paraId="3ABB69C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（五）议事内容与程序</w:t>
      </w:r>
    </w:p>
    <w:p w14:paraId="42D5EA4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1、议事内容及提案权</w:t>
      </w:r>
    </w:p>
    <w:p w14:paraId="238AAB9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19E4D5D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7AEC256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基金份额持有人大会不得对未事先公告的议事内容进行表决。</w:t>
      </w:r>
    </w:p>
    <w:p w14:paraId="5063657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2、议事程序</w:t>
      </w:r>
    </w:p>
    <w:p w14:paraId="10375A2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3689285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46DD334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2F03E71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43C4D96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在通讯开会的情况下，首先由召集人提前30日公布提案，在所通知的表决截止日期后2个工作日内在公证机关监督下由召集人统计全部有效表决，在公证机关监督下形成决议。</w:t>
      </w:r>
    </w:p>
    <w:p w14:paraId="71D46CC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（六）表决</w:t>
      </w:r>
    </w:p>
    <w:p w14:paraId="7D5CEE0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基金份额持有人所持每份基金份额有一票表决权。</w:t>
      </w:r>
    </w:p>
    <w:p w14:paraId="712421C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基金份额持有人大会决议分为一般决议和特别决议：</w:t>
      </w:r>
    </w:p>
    <w:p w14:paraId="1231127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F9ED94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0C01E4B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基金份额持有人大会采取记名方式进行投票表决。</w:t>
      </w:r>
    </w:p>
    <w:p w14:paraId="3FB0003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5E063A7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2FFDCF4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（七）计票</w:t>
      </w:r>
    </w:p>
    <w:p w14:paraId="3706C8A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1、现场开会</w:t>
      </w:r>
    </w:p>
    <w:p w14:paraId="1A4C053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7171977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2DCD048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（3）如果会议主持人或基金份额持有人或代理人对于提交的表决结果有怀疑，可以在宣布表决结果后立即对所投票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w:t>
      </w:r>
      <w:r>
        <w:rPr>
          <w:rFonts w:asciiTheme="minorEastAsia" w:hAnsiTheme="minorEastAsia" w:cs="Times New Roman" w:hint="eastAsia"/>
          <w:bCs/>
          <w:sz w:val="24"/>
          <w:szCs w:val="24"/>
        </w:rPr>
        <w:lastRenderedPageBreak/>
        <w:t>重新清点，重新清点以一次为限。重新清点后，大会主持人应当当场公布重新清点结果。</w:t>
      </w:r>
    </w:p>
    <w:p w14:paraId="2D3292F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083D003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2、通讯开会</w:t>
      </w:r>
    </w:p>
    <w:p w14:paraId="273E532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1D093E8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（八）生效与公告</w:t>
      </w:r>
    </w:p>
    <w:p w14:paraId="06B0E42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4B2DE34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基金份额持有人大会的决议自表决通过之日起生效。</w:t>
      </w:r>
    </w:p>
    <w:p w14:paraId="3A758B63"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基金份额持有人大会决议自生效之日起2个工作日内在指定媒介上公告。如果采用通讯方式进行表决，在公告基金份额持有人大会决议时，必须将公证书全文、公证机构、公证员姓名等一同公告。</w:t>
      </w:r>
    </w:p>
    <w:p w14:paraId="4A71385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748A761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（九）本部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EE0EAB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三、基金合同解除和终止的事由、程序以及基金财产清算方式</w:t>
      </w:r>
    </w:p>
    <w:p w14:paraId="1599DF6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（一）《基金合同》的变更</w:t>
      </w:r>
    </w:p>
    <w:p w14:paraId="4B1B3ED1"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份额持有人大会决议通过。对于可不经基金份额持有人大会决议通过的事项，由基金管理人和基金托管人同意后变更并公告，并报中国证监会备案。</w:t>
      </w:r>
    </w:p>
    <w:p w14:paraId="6F45A2B4"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 xml:space="preserve"> 2、关于《基金合同》变更的基金份额持有人大会决议自生效后方可执行，并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生效后两个工作日内在指定媒介公告。</w:t>
      </w:r>
    </w:p>
    <w:p w14:paraId="5D7FB7D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（二）《基金合同》的终止事由</w:t>
      </w:r>
    </w:p>
    <w:p w14:paraId="07BDAFD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有下列情形之一的，《基金合同》应当终止：</w:t>
      </w:r>
    </w:p>
    <w:p w14:paraId="130EBB8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1、基金份额持有人大会决定终止的；</w:t>
      </w:r>
    </w:p>
    <w:p w14:paraId="373D9C7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51A73F77"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3、《基金合同》约定的其他情形；</w:t>
      </w:r>
    </w:p>
    <w:p w14:paraId="183A9CB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4、相关法律法规和中国证监会规定的其他情况。</w:t>
      </w:r>
    </w:p>
    <w:p w14:paraId="1B9ABBD9"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（三）基金财产的清算</w:t>
      </w:r>
    </w:p>
    <w:p w14:paraId="1A25437C"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1、基金财产清算小组：自出现《基金合同》终止事由之日起30个工作日内成立清算小组，基金管理人组织基金财产清算小组并在中国证监会的监督下进行基金清算。</w:t>
      </w:r>
    </w:p>
    <w:p w14:paraId="229AA2BF"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2、基金财产清算小组组成：基金财产清算小组成员由基金管理人、基金托管人、具有证券、</w:t>
      </w:r>
      <w:r>
        <w:rPr>
          <w:rFonts w:asciiTheme="minorEastAsia" w:hAnsiTheme="minorEastAsia" w:cs="Times New Roman"/>
          <w:bCs/>
          <w:sz w:val="24"/>
          <w:szCs w:val="24"/>
        </w:rPr>
        <w:t>期货</w:t>
      </w:r>
      <w:r>
        <w:rPr>
          <w:rFonts w:asciiTheme="minorEastAsia" w:hAnsiTheme="minorEastAsia" w:cs="Times New Roman" w:hint="eastAsia"/>
          <w:bCs/>
          <w:sz w:val="24"/>
          <w:szCs w:val="24"/>
        </w:rPr>
        <w:t>相关业务资格的注册会计师、律师以及中国证监会指定的人员组成。基金财产清算小组可以聘用必要的工作人员。</w:t>
      </w:r>
    </w:p>
    <w:p w14:paraId="216243C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51CF8462"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4、基金财产清算程序：</w:t>
      </w:r>
    </w:p>
    <w:p w14:paraId="211681F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（1）《基金合同》终止情形出现时，由基金财产清算小组统一接管基金；</w:t>
      </w:r>
    </w:p>
    <w:p w14:paraId="7783A1F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（2）对基金财产和债权债务进行清理和确认；</w:t>
      </w:r>
    </w:p>
    <w:p w14:paraId="0FE9490A"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（3）对基金财产进行估值和变现；</w:t>
      </w:r>
    </w:p>
    <w:p w14:paraId="03A3C30D"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（4）制作清算报告；</w:t>
      </w:r>
    </w:p>
    <w:p w14:paraId="3C7E88F6"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（5）聘请</w:t>
      </w:r>
      <w:r>
        <w:rPr>
          <w:bCs/>
          <w:sz w:val="24"/>
        </w:rPr>
        <w:t>具有证券</w:t>
      </w:r>
      <w:r>
        <w:rPr>
          <w:rFonts w:hint="eastAsia"/>
          <w:bCs/>
          <w:sz w:val="24"/>
        </w:rPr>
        <w:t>、期货</w:t>
      </w:r>
      <w:r>
        <w:rPr>
          <w:bCs/>
          <w:sz w:val="24"/>
        </w:rPr>
        <w:t>相关业务资格</w:t>
      </w:r>
      <w:r>
        <w:rPr>
          <w:rFonts w:hint="eastAsia"/>
          <w:bCs/>
          <w:sz w:val="24"/>
        </w:rPr>
        <w:t>的</w:t>
      </w:r>
      <w:r>
        <w:rPr>
          <w:rFonts w:asciiTheme="minorEastAsia" w:hAnsiTheme="minorEastAsia" w:cs="Times New Roman" w:hint="eastAsia"/>
          <w:bCs/>
          <w:sz w:val="24"/>
          <w:szCs w:val="24"/>
        </w:rPr>
        <w:t>会计师事务所对清算报告进行外部审计，聘请律师事务所对清算报告出具法律意见书；</w:t>
      </w:r>
    </w:p>
    <w:p w14:paraId="5D592AE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（6）将清算报告报中国证监会备案并公告；</w:t>
      </w:r>
    </w:p>
    <w:p w14:paraId="40CF71C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（7）对基金剩余财产进行分配。</w:t>
      </w:r>
    </w:p>
    <w:p w14:paraId="714BB56E"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5、基金财产清算的期限为6个月。</w:t>
      </w:r>
    </w:p>
    <w:p w14:paraId="007C1F4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四、争议解决方式</w:t>
      </w:r>
    </w:p>
    <w:p w14:paraId="34C8598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lastRenderedPageBreak/>
        <w:t>各方当事人同意，因《基金合同》而产生的或与《基金合同》有关的一切争议，如经友好协商未能解决的，任何一方均有权将争议提交华南国际经济贸易仲裁委员会，根据该会当时有效的仲裁规则进行仲裁，仲裁地点为深圳市，仲裁裁决是终局性的并对各方当事人具有约束力，仲裁费由败诉方承担。</w:t>
      </w:r>
    </w:p>
    <w:p w14:paraId="051F8A7B"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争议处理期间，基金合同当事人应恪守各自的职责，继续忠实、勤勉、尽责地履行基金合同规定的义务，维护基金份额持有人的合法权益。</w:t>
      </w:r>
    </w:p>
    <w:p w14:paraId="26104805"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bCs/>
          <w:sz w:val="24"/>
        </w:rPr>
        <w:t>《基金合同》受中国法律管辖</w:t>
      </w:r>
      <w:r>
        <w:rPr>
          <w:rFonts w:asciiTheme="minorEastAsia" w:hAnsiTheme="minorEastAsia" w:cs="Times New Roman" w:hint="eastAsia"/>
          <w:bCs/>
          <w:sz w:val="24"/>
          <w:szCs w:val="24"/>
        </w:rPr>
        <w:t>。</w:t>
      </w:r>
    </w:p>
    <w:p w14:paraId="59A7B3E8"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五、基金合同存放地和投资人取得基金合同的方式</w:t>
      </w:r>
    </w:p>
    <w:p w14:paraId="11ADA370" w14:textId="77777777" w:rsidR="0046184B" w:rsidRDefault="00000000">
      <w:pPr>
        <w:widowControl/>
        <w:spacing w:line="360" w:lineRule="auto"/>
        <w:ind w:firstLineChars="200" w:firstLine="480"/>
        <w:jc w:val="left"/>
        <w:rPr>
          <w:rFonts w:asciiTheme="minorEastAsia" w:hAnsiTheme="minorEastAsia" w:cs="Times New Roman" w:hint="eastAsia"/>
          <w:bCs/>
          <w:sz w:val="24"/>
          <w:szCs w:val="24"/>
        </w:rPr>
      </w:pPr>
      <w:r>
        <w:rPr>
          <w:rFonts w:asciiTheme="minorEastAsia" w:hAnsiTheme="minorEastAsia" w:cs="Times New Roman" w:hint="eastAsia"/>
          <w:bCs/>
          <w:sz w:val="24"/>
          <w:szCs w:val="24"/>
        </w:rPr>
        <w:t>《基金合同》可印制成册，供投资人在基金管理人、基金托管人、销售机构的办公场所和营业场所查阅。</w:t>
      </w:r>
    </w:p>
    <w:p w14:paraId="5C208183" w14:textId="77777777" w:rsidR="0046184B" w:rsidRDefault="0046184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46184B">
          <w:footerReference w:type="default" r:id="rId39"/>
          <w:pgSz w:w="11906" w:h="16838"/>
          <w:pgMar w:top="1440" w:right="1800" w:bottom="1440" w:left="1800" w:header="851" w:footer="992" w:gutter="0"/>
          <w:pgNumType w:chapStyle="1"/>
          <w:cols w:space="720"/>
          <w:docGrid w:type="lines" w:linePitch="312"/>
        </w:sectPr>
      </w:pPr>
      <w:bookmarkStart w:id="375" w:name="_Toc214873614"/>
      <w:bookmarkStart w:id="376" w:name="_Toc416264554"/>
      <w:bookmarkStart w:id="377" w:name="_Toc263092327"/>
      <w:bookmarkStart w:id="378" w:name="_Toc28549"/>
      <w:bookmarkStart w:id="379" w:name="_Toc139991750"/>
      <w:bookmarkStart w:id="380" w:name="_Toc79392641"/>
      <w:bookmarkStart w:id="381" w:name="_Toc13398"/>
      <w:bookmarkStart w:id="382" w:name="_Toc141703901"/>
      <w:bookmarkStart w:id="383" w:name="_Toc21240"/>
      <w:bookmarkStart w:id="384" w:name="_Toc12191"/>
      <w:bookmarkStart w:id="385" w:name="_Toc27058"/>
      <w:bookmarkStart w:id="386" w:name="_Toc352229766"/>
      <w:bookmarkStart w:id="387" w:name="_Toc23166"/>
      <w:bookmarkStart w:id="388" w:name="_Toc30645"/>
      <w:bookmarkStart w:id="389" w:name="_Toc23022"/>
      <w:bookmarkStart w:id="390" w:name="_Toc123051466"/>
      <w:bookmarkStart w:id="391" w:name="_Toc123102467"/>
      <w:bookmarkStart w:id="392" w:name="_Toc9708"/>
      <w:bookmarkStart w:id="393" w:name="_Toc7367"/>
      <w:bookmarkStart w:id="394" w:name="_Toc8710"/>
      <w:bookmarkStart w:id="395" w:name="_Toc48649720"/>
      <w:bookmarkStart w:id="396" w:name="_Toc123112248"/>
      <w:bookmarkStart w:id="397" w:name="_Toc9856036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14:paraId="00C620FF" w14:textId="77777777" w:rsidR="0046184B" w:rsidRDefault="00000000">
      <w:pPr>
        <w:pStyle w:val="1"/>
        <w:jc w:val="center"/>
        <w:rPr>
          <w:sz w:val="30"/>
          <w:szCs w:val="30"/>
        </w:rPr>
      </w:pPr>
      <w:bookmarkStart w:id="398" w:name="_Toc37770222"/>
      <w:r>
        <w:rPr>
          <w:rFonts w:hint="eastAsia"/>
          <w:sz w:val="30"/>
          <w:szCs w:val="30"/>
        </w:rPr>
        <w:lastRenderedPageBreak/>
        <w:t>第十九部分</w:t>
      </w:r>
      <w:r>
        <w:rPr>
          <w:sz w:val="30"/>
          <w:szCs w:val="30"/>
        </w:rPr>
        <w:t xml:space="preserve">  </w:t>
      </w:r>
      <w:r>
        <w:rPr>
          <w:rFonts w:hint="eastAsia"/>
          <w:sz w:val="30"/>
          <w:szCs w:val="30"/>
        </w:rPr>
        <w:t>基金托管协议的内容摘要</w:t>
      </w:r>
      <w:bookmarkEnd w:id="375"/>
      <w:bookmarkEnd w:id="376"/>
      <w:bookmarkEnd w:id="377"/>
      <w:bookmarkEnd w:id="398"/>
    </w:p>
    <w:p w14:paraId="4BEC9640" w14:textId="77777777" w:rsidR="0046184B" w:rsidRDefault="00000000">
      <w:pPr>
        <w:numPr>
          <w:ilvl w:val="0"/>
          <w:numId w:val="3"/>
        </w:numPr>
        <w:tabs>
          <w:tab w:val="left" w:pos="851"/>
        </w:tabs>
        <w:adjustRightInd w:val="0"/>
        <w:snapToGrid w:val="0"/>
        <w:spacing w:line="360" w:lineRule="auto"/>
        <w:rPr>
          <w:rFonts w:asciiTheme="minorEastAsia" w:hAnsiTheme="minorEastAsia" w:cs="Arial" w:hint="eastAsia"/>
          <w:b/>
          <w:sz w:val="24"/>
          <w:szCs w:val="24"/>
        </w:rPr>
      </w:pPr>
      <w:r>
        <w:rPr>
          <w:rFonts w:asciiTheme="minorEastAsia" w:hAnsiTheme="minorEastAsia" w:cs="Arial" w:hint="eastAsia"/>
          <w:b/>
          <w:sz w:val="24"/>
          <w:szCs w:val="24"/>
        </w:rPr>
        <w:t>托管协议当事人</w:t>
      </w:r>
    </w:p>
    <w:p w14:paraId="4E4CF742"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（一）基金管理人（或简称“管理人”）</w:t>
      </w:r>
    </w:p>
    <w:p w14:paraId="79B67464"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名称：富荣基金管理有限公司</w:t>
      </w:r>
    </w:p>
    <w:p w14:paraId="679C233A"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住所：广东省广州市南沙区横</w:t>
      </w:r>
      <w:proofErr w:type="gramStart"/>
      <w:r>
        <w:rPr>
          <w:rFonts w:asciiTheme="minorEastAsia" w:hAnsiTheme="minorEastAsia" w:cs="Arial" w:hint="eastAsia"/>
          <w:kern w:val="0"/>
          <w:sz w:val="24"/>
          <w:szCs w:val="24"/>
        </w:rPr>
        <w:t>沥</w:t>
      </w:r>
      <w:proofErr w:type="gramEnd"/>
      <w:r>
        <w:rPr>
          <w:rFonts w:asciiTheme="minorEastAsia" w:hAnsiTheme="minorEastAsia" w:cs="Arial" w:hint="eastAsia"/>
          <w:kern w:val="0"/>
          <w:sz w:val="24"/>
          <w:szCs w:val="24"/>
        </w:rPr>
        <w:t>镇汇通二街2号3110房</w:t>
      </w:r>
    </w:p>
    <w:p w14:paraId="6C004E7F" w14:textId="77777777" w:rsidR="0046184B" w:rsidRDefault="00000000">
      <w:pPr>
        <w:adjustRightInd w:val="0"/>
        <w:snapToGrid w:val="0"/>
        <w:spacing w:line="360" w:lineRule="auto"/>
        <w:ind w:left="840" w:hanging="420"/>
        <w:rPr>
          <w:rFonts w:asciiTheme="minorEastAsia" w:hAnsiTheme="minorEastAsia" w:cs="Times New Roman" w:hint="eastAsia"/>
          <w:kern w:val="0"/>
          <w:sz w:val="24"/>
          <w:szCs w:val="24"/>
        </w:rPr>
      </w:pPr>
      <w:r>
        <w:rPr>
          <w:rFonts w:asciiTheme="minorEastAsia" w:hAnsiTheme="minorEastAsia" w:cs="Arial" w:hint="eastAsia"/>
          <w:kern w:val="0"/>
          <w:sz w:val="24"/>
          <w:szCs w:val="24"/>
        </w:rPr>
        <w:t>办公地址：</w:t>
      </w:r>
      <w:r>
        <w:rPr>
          <w:rFonts w:asciiTheme="minorEastAsia" w:hAnsiTheme="minorEastAsia" w:cs="Times New Roman" w:hint="eastAsia"/>
          <w:kern w:val="0"/>
          <w:sz w:val="24"/>
          <w:szCs w:val="24"/>
        </w:rPr>
        <w:t>深圳市福田区八卦四路52号安吉尔大厦24层</w:t>
      </w:r>
    </w:p>
    <w:p w14:paraId="62D04396"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法定代表人：王亦伟</w:t>
      </w:r>
    </w:p>
    <w:p w14:paraId="6ABDCF98"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成立日期：2016年1月25日</w:t>
      </w:r>
      <w:r>
        <w:rPr>
          <w:rFonts w:asciiTheme="minorEastAsia" w:hAnsiTheme="minorEastAsia" w:cs="Arial" w:hint="eastAsia"/>
          <w:kern w:val="0"/>
          <w:sz w:val="24"/>
          <w:szCs w:val="24"/>
        </w:rPr>
        <w:tab/>
      </w:r>
    </w:p>
    <w:p w14:paraId="0ED1EEF6"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批准设立机关及批准设立文号：中国证监会证监许可【2015】3118号</w:t>
      </w:r>
    </w:p>
    <w:p w14:paraId="26C906B2"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组织形式：有限责任公司</w:t>
      </w:r>
    </w:p>
    <w:p w14:paraId="09129E67"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2A5390B0"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存续期间：永续经营</w:t>
      </w:r>
    </w:p>
    <w:p w14:paraId="62E27D69" w14:textId="77777777" w:rsidR="0046184B" w:rsidRDefault="00000000">
      <w:pPr>
        <w:adjustRightInd w:val="0"/>
        <w:snapToGrid w:val="0"/>
        <w:spacing w:line="360" w:lineRule="auto"/>
        <w:ind w:left="840" w:hanging="420"/>
        <w:rPr>
          <w:rFonts w:asciiTheme="minorEastAsia" w:hAnsiTheme="minorEastAsia" w:cs="Arial" w:hint="eastAsia"/>
          <w:kern w:val="0"/>
          <w:sz w:val="24"/>
          <w:szCs w:val="24"/>
        </w:rPr>
      </w:pPr>
      <w:r>
        <w:rPr>
          <w:rFonts w:asciiTheme="minorEastAsia" w:hAnsiTheme="minorEastAsia" w:cs="Arial" w:hint="eastAsia"/>
          <w:kern w:val="0"/>
          <w:sz w:val="24"/>
          <w:szCs w:val="24"/>
        </w:rPr>
        <w:t>经营范围：基金募集；基金销售；资产管理以及中国证监会许可的其它业务</w:t>
      </w:r>
    </w:p>
    <w:p w14:paraId="25F21E4E" w14:textId="77777777" w:rsidR="0046184B" w:rsidRDefault="00000000">
      <w:pPr>
        <w:adjustRightInd w:val="0"/>
        <w:snapToGrid w:val="0"/>
        <w:spacing w:line="360" w:lineRule="auto"/>
        <w:ind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（二）基金托管人</w:t>
      </w:r>
    </w:p>
    <w:p w14:paraId="54816529" w14:textId="77777777" w:rsidR="0046184B" w:rsidRDefault="00000000">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名称：</w:t>
      </w:r>
      <w:r>
        <w:rPr>
          <w:rFonts w:ascii="宋体" w:hAnsi="宋体" w:hint="eastAsia"/>
          <w:color w:val="000000"/>
          <w:sz w:val="24"/>
        </w:rPr>
        <w:t>平安</w:t>
      </w:r>
      <w:r>
        <w:rPr>
          <w:rFonts w:ascii="宋体" w:hAnsi="宋体"/>
          <w:color w:val="000000"/>
          <w:sz w:val="24"/>
        </w:rPr>
        <w:t>银行股份有限公司</w:t>
      </w:r>
    </w:p>
    <w:p w14:paraId="0312B309" w14:textId="77777777" w:rsidR="0046184B" w:rsidRDefault="00000000">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注册地址：广东省深圳市深南东路5047 号</w:t>
      </w:r>
    </w:p>
    <w:p w14:paraId="7F6B0B46" w14:textId="77777777" w:rsidR="0046184B" w:rsidRDefault="00000000">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办公地址：广东省深圳市深南东路5047 号</w:t>
      </w:r>
    </w:p>
    <w:p w14:paraId="489C86AD" w14:textId="77777777" w:rsidR="0046184B" w:rsidRDefault="00000000">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法定代表人：</w:t>
      </w:r>
      <w:r>
        <w:rPr>
          <w:rFonts w:ascii="宋体" w:hAnsi="宋体" w:hint="eastAsia"/>
          <w:color w:val="000000"/>
          <w:sz w:val="24"/>
        </w:rPr>
        <w:t>谢永林</w:t>
      </w:r>
    </w:p>
    <w:p w14:paraId="37E76A33" w14:textId="77777777" w:rsidR="0046184B" w:rsidRDefault="00000000">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成立时间：19</w:t>
      </w:r>
      <w:r>
        <w:rPr>
          <w:rFonts w:ascii="宋体" w:hAnsi="宋体" w:hint="eastAsia"/>
          <w:color w:val="000000"/>
          <w:sz w:val="24"/>
        </w:rPr>
        <w:t>87</w:t>
      </w:r>
      <w:r>
        <w:rPr>
          <w:rFonts w:ascii="宋体" w:hAnsi="宋体"/>
          <w:color w:val="000000"/>
          <w:sz w:val="24"/>
        </w:rPr>
        <w:t>年12月</w:t>
      </w:r>
      <w:r>
        <w:rPr>
          <w:rFonts w:ascii="宋体" w:hAnsi="宋体" w:hint="eastAsia"/>
          <w:color w:val="000000"/>
          <w:sz w:val="24"/>
        </w:rPr>
        <w:t>22</w:t>
      </w:r>
      <w:r>
        <w:rPr>
          <w:rFonts w:ascii="宋体" w:hAnsi="宋体"/>
          <w:color w:val="000000"/>
          <w:sz w:val="24"/>
        </w:rPr>
        <w:t>日</w:t>
      </w:r>
    </w:p>
    <w:p w14:paraId="43E1E7B7" w14:textId="77777777" w:rsidR="0046184B" w:rsidRDefault="00000000">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组织形式：股份有限公司</w:t>
      </w:r>
    </w:p>
    <w:p w14:paraId="4C83325E" w14:textId="77777777" w:rsidR="0046184B" w:rsidRDefault="00000000">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注册资本：</w:t>
      </w:r>
      <w:proofErr w:type="gramStart"/>
      <w:r>
        <w:rPr>
          <w:rFonts w:ascii="宋体" w:hAnsi="宋体" w:hint="eastAsia"/>
          <w:color w:val="000000"/>
          <w:sz w:val="24"/>
        </w:rPr>
        <w:t>伍拾壹亿贰仟叁百叁拾伍万零肆佰壹拾陆</w:t>
      </w:r>
      <w:proofErr w:type="gramEnd"/>
      <w:r>
        <w:rPr>
          <w:rFonts w:ascii="宋体" w:hAnsi="宋体" w:hint="eastAsia"/>
          <w:color w:val="000000"/>
          <w:sz w:val="24"/>
        </w:rPr>
        <w:t>元整</w:t>
      </w:r>
    </w:p>
    <w:p w14:paraId="603026A6" w14:textId="77777777" w:rsidR="0046184B" w:rsidRDefault="00000000">
      <w:pPr>
        <w:adjustRightInd w:val="0"/>
        <w:snapToGrid w:val="0"/>
        <w:spacing w:line="360" w:lineRule="auto"/>
        <w:ind w:firstLineChars="200" w:firstLine="480"/>
        <w:rPr>
          <w:rFonts w:ascii="宋体" w:hAnsi="宋体" w:hint="eastAsia"/>
          <w:color w:val="000000"/>
          <w:sz w:val="24"/>
        </w:rPr>
      </w:pPr>
      <w:r>
        <w:rPr>
          <w:rFonts w:ascii="宋体" w:hAnsi="宋体"/>
          <w:color w:val="000000"/>
          <w:sz w:val="24"/>
        </w:rPr>
        <w:t>存续期间：</w:t>
      </w:r>
      <w:r>
        <w:rPr>
          <w:rFonts w:ascii="宋体" w:hAnsi="宋体" w:hint="eastAsia"/>
          <w:color w:val="000000"/>
          <w:sz w:val="24"/>
        </w:rPr>
        <w:t>永续经营</w:t>
      </w:r>
    </w:p>
    <w:p w14:paraId="32479ABA" w14:textId="77777777" w:rsidR="0046184B" w:rsidRDefault="00000000">
      <w:pPr>
        <w:adjustRightInd w:val="0"/>
        <w:snapToGrid w:val="0"/>
        <w:spacing w:line="360" w:lineRule="auto"/>
        <w:ind w:firstLineChars="200" w:firstLine="480"/>
        <w:rPr>
          <w:rFonts w:ascii="宋体" w:cs="宋体"/>
          <w:kern w:val="0"/>
          <w:sz w:val="24"/>
        </w:rPr>
      </w:pPr>
      <w:r>
        <w:rPr>
          <w:rFonts w:ascii="宋体" w:hAnsi="宋体"/>
          <w:color w:val="000000"/>
          <w:sz w:val="24"/>
        </w:rPr>
        <w:t>基金托管资格批准文号：</w:t>
      </w:r>
      <w:r>
        <w:rPr>
          <w:rFonts w:ascii="宋体" w:cs="宋体" w:hint="eastAsia"/>
          <w:kern w:val="0"/>
          <w:sz w:val="24"/>
        </w:rPr>
        <w:t>中国证监会证监许可</w:t>
      </w:r>
      <w:r>
        <w:rPr>
          <w:rFonts w:ascii="宋体" w:cs="宋体"/>
          <w:kern w:val="0"/>
          <w:sz w:val="24"/>
        </w:rPr>
        <w:t>[2008]1037</w:t>
      </w:r>
      <w:r>
        <w:rPr>
          <w:rFonts w:ascii="宋体" w:cs="宋体" w:hint="eastAsia"/>
          <w:kern w:val="0"/>
          <w:sz w:val="24"/>
        </w:rPr>
        <w:t>号</w:t>
      </w:r>
    </w:p>
    <w:p w14:paraId="0007A50B"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宋体" w:hAnsi="宋体"/>
          <w:color w:val="000000"/>
          <w:sz w:val="24"/>
        </w:rPr>
        <w:t>经营范围：办理人民币存、贷、结算、汇兑业务；人民币票据承兑和贴现各项信托业务；经监管机构批准发行或买卖人民币有价证券；发行金融债券；代理发行、代理兑付、承销政府债券；买卖政府债券；外汇存款、汇款；境内境外借款；从事同业拆借；外汇借款；外汇担保；在境内境外发行或代理发行外币有价证券；买卖或代客买卖外汇及外币有价证券、自营外汇买卖；贸易、非贸易结算；办理国内结算；国际结算；外币票据的承兑和贴现；外汇贷款；资信调查、咨询、</w:t>
      </w:r>
      <w:r>
        <w:rPr>
          <w:rFonts w:ascii="宋体" w:hAnsi="宋体"/>
          <w:color w:val="000000"/>
          <w:sz w:val="24"/>
        </w:rPr>
        <w:lastRenderedPageBreak/>
        <w:t>见证业务；保险兼业代理业务；代理收付款项；黄金进口业务；提供信用证服务及担保；提供保管箱服务；外币兑换；结汇、售汇；信用卡业务；经有关监管机构批准或允许的其他业务</w:t>
      </w:r>
      <w:r>
        <w:rPr>
          <w:rFonts w:ascii="宋体" w:hAnsi="宋体" w:hint="eastAsia"/>
          <w:color w:val="000000"/>
          <w:sz w:val="24"/>
        </w:rPr>
        <w:t>。</w:t>
      </w:r>
    </w:p>
    <w:p w14:paraId="405357CF" w14:textId="77777777" w:rsidR="0046184B" w:rsidRDefault="00000000">
      <w:pPr>
        <w:pStyle w:val="aff1"/>
        <w:numPr>
          <w:ilvl w:val="0"/>
          <w:numId w:val="4"/>
        </w:numPr>
        <w:adjustRightInd w:val="0"/>
        <w:snapToGrid w:val="0"/>
        <w:spacing w:line="360" w:lineRule="auto"/>
        <w:ind w:firstLineChars="0"/>
        <w:rPr>
          <w:rFonts w:asciiTheme="minorEastAsia" w:hAnsiTheme="minorEastAsia" w:cs="Arial" w:hint="eastAsia"/>
          <w:b/>
          <w:sz w:val="24"/>
          <w:szCs w:val="24"/>
        </w:rPr>
      </w:pPr>
      <w:r>
        <w:rPr>
          <w:rFonts w:asciiTheme="minorEastAsia" w:hAnsiTheme="minorEastAsia" w:cs="Arial" w:hint="eastAsia"/>
          <w:b/>
          <w:sz w:val="24"/>
          <w:szCs w:val="24"/>
        </w:rPr>
        <w:t>基金托管人对基金管理人的业务监督和核查</w:t>
      </w:r>
    </w:p>
    <w:p w14:paraId="585C7E9C" w14:textId="77777777" w:rsidR="0046184B"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（一）基金托管人根据有关法律法规的规定及基金合同的约定，对基金投资范围、投资对象进行监督。</w:t>
      </w:r>
    </w:p>
    <w:p w14:paraId="6F72090D" w14:textId="77777777" w:rsidR="0046184B"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合同明确约定基金投资风格或证券选择标准的，基金管理人应按照基金托管人要求的格式提供投资品种池和交易对手库，以便基金托管人运用相关技术系统，对基金实际投资是否符合基金合同关于证券选择标准的约定进行监督，对存在疑义的事项进行核查。</w:t>
      </w:r>
    </w:p>
    <w:p w14:paraId="04D22486" w14:textId="77777777" w:rsidR="0046184B" w:rsidRDefault="00000000">
      <w:pPr>
        <w:widowControl/>
        <w:spacing w:line="324" w:lineRule="auto"/>
        <w:ind w:firstLineChars="200" w:firstLine="480"/>
        <w:jc w:val="left"/>
        <w:rPr>
          <w:bCs/>
          <w:sz w:val="24"/>
        </w:rPr>
      </w:pPr>
      <w:r>
        <w:rPr>
          <w:rFonts w:hint="eastAsia"/>
          <w:bCs/>
          <w:sz w:val="24"/>
        </w:rPr>
        <w:t>本基金的投资范围主要为具有良好流动性的金融工具，包括国内依法发行上市的股票（包括中小板、创业板及其他经中国证监会核准上市的股票）</w:t>
      </w:r>
      <w:r>
        <w:rPr>
          <w:rFonts w:asciiTheme="minorEastAsia" w:hAnsiTheme="minorEastAsia" w:cs="Arial" w:hint="eastAsia"/>
          <w:color w:val="000000"/>
          <w:sz w:val="24"/>
          <w:szCs w:val="24"/>
        </w:rPr>
        <w:t>、存托凭证</w:t>
      </w:r>
      <w:r>
        <w:rPr>
          <w:rFonts w:hint="eastAsia"/>
          <w:bCs/>
          <w:sz w:val="24"/>
        </w:rPr>
        <w:t>，债券（含国债、金融债、企业债、公司债、央行票据、中期票据、短期融资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、政府支持机构债、地方政府债、公开发行的次级债、可转换债券、可交换债券、中小企业私募</w:t>
      </w:r>
      <w:proofErr w:type="gramStart"/>
      <w:r>
        <w:rPr>
          <w:rFonts w:hint="eastAsia"/>
          <w:bCs/>
          <w:sz w:val="24"/>
        </w:rPr>
        <w:t>债及其</w:t>
      </w:r>
      <w:proofErr w:type="gramEnd"/>
      <w:r>
        <w:rPr>
          <w:rFonts w:hint="eastAsia"/>
          <w:bCs/>
          <w:sz w:val="24"/>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0CCFD245" w14:textId="77777777" w:rsidR="0046184B"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hint="eastAsia"/>
          <w:bCs/>
          <w:sz w:val="24"/>
        </w:rPr>
        <w:t>本基金的投资组合比例为：股票资产占基金资产的</w:t>
      </w:r>
      <w:r>
        <w:rPr>
          <w:rFonts w:hint="eastAsia"/>
          <w:bCs/>
          <w:sz w:val="24"/>
        </w:rPr>
        <w:t>50%-95%</w:t>
      </w:r>
      <w:r>
        <w:rPr>
          <w:rFonts w:hint="eastAsia"/>
          <w:bCs/>
          <w:sz w:val="24"/>
        </w:rPr>
        <w:t>；每个交易日日终在扣除股指期货、国债期货合约需缴纳的保证金以后，本基金保留的现金或到期日在一年以内的政府债券不低于基金资产净值的</w:t>
      </w:r>
      <w:r>
        <w:rPr>
          <w:rFonts w:hint="eastAsia"/>
          <w:bCs/>
          <w:sz w:val="24"/>
        </w:rPr>
        <w:t>5%</w:t>
      </w:r>
      <w:r>
        <w:rPr>
          <w:rFonts w:hint="eastAsia"/>
          <w:bCs/>
          <w:sz w:val="24"/>
        </w:rPr>
        <w:t>，其中现金不包括结算备付金、存出保证金、应收申购款等；权证投资占基金资产净值的</w:t>
      </w:r>
      <w:r>
        <w:rPr>
          <w:rFonts w:hint="eastAsia"/>
          <w:bCs/>
          <w:sz w:val="24"/>
        </w:rPr>
        <w:t>0-3%</w:t>
      </w:r>
      <w:r>
        <w:rPr>
          <w:rFonts w:hint="eastAsia"/>
          <w:bCs/>
          <w:sz w:val="24"/>
        </w:rPr>
        <w:t>。</w:t>
      </w:r>
    </w:p>
    <w:p w14:paraId="1BC24D47" w14:textId="77777777" w:rsidR="0046184B"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（二）基金托管人根据有关法律法规的规定及基金合同的约定，对基金投资、融资比例进行监督。基金托管人按下述比例和调整期限进行监督：</w:t>
      </w:r>
    </w:p>
    <w:p w14:paraId="081B56B7" w14:textId="77777777" w:rsidR="0046184B"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Theme="minorEastAsia" w:hAnsiTheme="minorEastAsia" w:cs="Arial" w:hint="eastAsia"/>
          <w:color w:val="000000"/>
          <w:sz w:val="24"/>
          <w:szCs w:val="24"/>
        </w:rPr>
        <w:t>基金的投资组合应遵循以下限制：</w:t>
      </w:r>
    </w:p>
    <w:p w14:paraId="1BDA6D9E" w14:textId="77777777" w:rsidR="0046184B" w:rsidRDefault="00000000">
      <w:pPr>
        <w:spacing w:line="360" w:lineRule="auto"/>
        <w:ind w:firstLineChars="200" w:firstLine="480"/>
        <w:rPr>
          <w:bCs/>
          <w:sz w:val="24"/>
          <w:highlight w:val="yellow"/>
        </w:rPr>
      </w:pPr>
      <w:r>
        <w:rPr>
          <w:bCs/>
          <w:sz w:val="24"/>
        </w:rPr>
        <w:t>（</w:t>
      </w:r>
      <w:r>
        <w:rPr>
          <w:bCs/>
          <w:sz w:val="24"/>
        </w:rPr>
        <w:t>1</w:t>
      </w:r>
      <w:r>
        <w:rPr>
          <w:bCs/>
          <w:sz w:val="24"/>
        </w:rPr>
        <w:t>）</w:t>
      </w:r>
      <w:r>
        <w:rPr>
          <w:rFonts w:hint="eastAsia"/>
          <w:bCs/>
          <w:sz w:val="24"/>
        </w:rPr>
        <w:t>股票投资占基金资产的比例为</w:t>
      </w:r>
      <w:r>
        <w:rPr>
          <w:rFonts w:hint="eastAsia"/>
          <w:bCs/>
          <w:sz w:val="24"/>
        </w:rPr>
        <w:t>50%</w:t>
      </w:r>
      <w:r>
        <w:rPr>
          <w:rFonts w:hint="eastAsia"/>
          <w:bCs/>
          <w:sz w:val="24"/>
        </w:rPr>
        <w:t>–</w:t>
      </w:r>
      <w:r>
        <w:rPr>
          <w:rFonts w:hint="eastAsia"/>
          <w:bCs/>
          <w:sz w:val="24"/>
        </w:rPr>
        <w:t>95%</w:t>
      </w:r>
      <w:r>
        <w:rPr>
          <w:rFonts w:hint="eastAsia"/>
          <w:bCs/>
          <w:sz w:val="24"/>
        </w:rPr>
        <w:t>；</w:t>
      </w:r>
    </w:p>
    <w:p w14:paraId="25AC16A6" w14:textId="77777777" w:rsidR="0046184B" w:rsidRDefault="00000000">
      <w:pPr>
        <w:spacing w:line="360" w:lineRule="auto"/>
        <w:ind w:firstLineChars="200" w:firstLine="480"/>
        <w:rPr>
          <w:bCs/>
          <w:sz w:val="24"/>
        </w:rPr>
      </w:pPr>
      <w:r>
        <w:rPr>
          <w:bCs/>
          <w:sz w:val="24"/>
        </w:rPr>
        <w:t>（</w:t>
      </w:r>
      <w:r>
        <w:rPr>
          <w:rFonts w:hint="eastAsia"/>
          <w:bCs/>
          <w:sz w:val="24"/>
        </w:rPr>
        <w:t>2</w:t>
      </w:r>
      <w:r>
        <w:rPr>
          <w:bCs/>
          <w:sz w:val="24"/>
        </w:rPr>
        <w:t>）</w:t>
      </w:r>
      <w:r>
        <w:rPr>
          <w:rFonts w:hint="eastAsia"/>
          <w:bCs/>
          <w:sz w:val="24"/>
        </w:rPr>
        <w:t>每个交易日日终在扣除股指期货、国债期货合约需缴纳的交易保证金后，</w:t>
      </w:r>
      <w:r>
        <w:rPr>
          <w:bCs/>
          <w:sz w:val="24"/>
        </w:rPr>
        <w:t>保持不低于基金资产净值</w:t>
      </w:r>
      <w:r>
        <w:rPr>
          <w:bCs/>
          <w:sz w:val="24"/>
        </w:rPr>
        <w:t>5</w:t>
      </w:r>
      <w:r>
        <w:rPr>
          <w:bCs/>
          <w:sz w:val="24"/>
        </w:rPr>
        <w:t>％的现金或者到期日在一年以内的政府债券</w:t>
      </w:r>
      <w:r>
        <w:rPr>
          <w:rFonts w:hint="eastAsia"/>
          <w:bCs/>
          <w:sz w:val="24"/>
        </w:rPr>
        <w:t>，其中现金不包括结算备付金、存出保证金、应收申购款等</w:t>
      </w:r>
      <w:r>
        <w:rPr>
          <w:bCs/>
          <w:sz w:val="24"/>
        </w:rPr>
        <w:t>；</w:t>
      </w:r>
    </w:p>
    <w:p w14:paraId="55EDA662" w14:textId="77777777" w:rsidR="0046184B" w:rsidRDefault="00000000">
      <w:pPr>
        <w:spacing w:line="360" w:lineRule="auto"/>
        <w:ind w:firstLineChars="200" w:firstLine="480"/>
        <w:rPr>
          <w:bCs/>
          <w:sz w:val="24"/>
        </w:rPr>
      </w:pPr>
      <w:r>
        <w:rPr>
          <w:bCs/>
          <w:sz w:val="24"/>
        </w:rPr>
        <w:lastRenderedPageBreak/>
        <w:t>（</w:t>
      </w:r>
      <w:r>
        <w:rPr>
          <w:rFonts w:hint="eastAsia"/>
          <w:bCs/>
          <w:sz w:val="24"/>
        </w:rPr>
        <w:t>3</w:t>
      </w:r>
      <w:r>
        <w:rPr>
          <w:bCs/>
          <w:sz w:val="24"/>
        </w:rPr>
        <w:t>）</w:t>
      </w:r>
      <w:r>
        <w:rPr>
          <w:rStyle w:val="fontstyle01"/>
          <w:rFonts w:hint="default"/>
        </w:rPr>
        <w:t>本基金持有一家公司发行的证券</w:t>
      </w:r>
      <w:r>
        <w:rPr>
          <w:bCs/>
          <w:sz w:val="24"/>
        </w:rPr>
        <w:t>，其市值不超过基金资产净值的</w:t>
      </w:r>
      <w:r>
        <w:rPr>
          <w:bCs/>
          <w:sz w:val="24"/>
        </w:rPr>
        <w:t>10</w:t>
      </w:r>
      <w:r>
        <w:rPr>
          <w:bCs/>
          <w:sz w:val="24"/>
        </w:rPr>
        <w:t>％；</w:t>
      </w:r>
    </w:p>
    <w:p w14:paraId="1914F3C4" w14:textId="77777777" w:rsidR="0046184B" w:rsidRDefault="00000000">
      <w:pPr>
        <w:spacing w:line="360" w:lineRule="auto"/>
        <w:ind w:firstLineChars="200" w:firstLine="480"/>
        <w:rPr>
          <w:bCs/>
          <w:sz w:val="24"/>
        </w:rPr>
      </w:pPr>
      <w:r>
        <w:rPr>
          <w:bCs/>
          <w:sz w:val="24"/>
        </w:rPr>
        <w:t>（</w:t>
      </w:r>
      <w:r>
        <w:rPr>
          <w:rFonts w:hint="eastAsia"/>
          <w:bCs/>
          <w:sz w:val="24"/>
        </w:rPr>
        <w:t>4</w:t>
      </w:r>
      <w:r>
        <w:rPr>
          <w:bCs/>
          <w:sz w:val="24"/>
        </w:rPr>
        <w:t>）本基金管理人管理的全部基金持有一家公司发行的证券，不超过该证券的</w:t>
      </w:r>
      <w:r>
        <w:rPr>
          <w:bCs/>
          <w:sz w:val="24"/>
        </w:rPr>
        <w:t>10</w:t>
      </w:r>
      <w:r>
        <w:rPr>
          <w:bCs/>
          <w:sz w:val="24"/>
        </w:rPr>
        <w:t>％；</w:t>
      </w:r>
    </w:p>
    <w:p w14:paraId="53D86AD6" w14:textId="77777777" w:rsidR="0046184B" w:rsidRDefault="00000000">
      <w:pPr>
        <w:spacing w:line="360" w:lineRule="auto"/>
        <w:ind w:firstLineChars="200" w:firstLine="480"/>
        <w:rPr>
          <w:bCs/>
          <w:sz w:val="24"/>
        </w:rPr>
      </w:pPr>
      <w:r>
        <w:rPr>
          <w:bCs/>
          <w:sz w:val="24"/>
        </w:rPr>
        <w:t>（</w:t>
      </w:r>
      <w:r>
        <w:rPr>
          <w:rFonts w:hint="eastAsia"/>
          <w:bCs/>
          <w:sz w:val="24"/>
        </w:rPr>
        <w:t>5</w:t>
      </w:r>
      <w:r>
        <w:rPr>
          <w:bCs/>
          <w:sz w:val="24"/>
        </w:rPr>
        <w:t>）本基金持有的全部权证，其市值不得超过基金资产净值的</w:t>
      </w:r>
      <w:r>
        <w:rPr>
          <w:bCs/>
          <w:sz w:val="24"/>
        </w:rPr>
        <w:t>3</w:t>
      </w:r>
      <w:r>
        <w:rPr>
          <w:bCs/>
          <w:sz w:val="24"/>
        </w:rPr>
        <w:t>％；</w:t>
      </w:r>
    </w:p>
    <w:p w14:paraId="30877C45" w14:textId="77777777" w:rsidR="0046184B" w:rsidRDefault="00000000">
      <w:pPr>
        <w:spacing w:line="360" w:lineRule="auto"/>
        <w:ind w:firstLineChars="200" w:firstLine="480"/>
        <w:rPr>
          <w:bCs/>
          <w:sz w:val="24"/>
        </w:rPr>
      </w:pPr>
      <w:r>
        <w:rPr>
          <w:bCs/>
          <w:sz w:val="24"/>
        </w:rPr>
        <w:t>（</w:t>
      </w:r>
      <w:r>
        <w:rPr>
          <w:rFonts w:hint="eastAsia"/>
          <w:bCs/>
          <w:sz w:val="24"/>
        </w:rPr>
        <w:t>6</w:t>
      </w:r>
      <w:r>
        <w:rPr>
          <w:bCs/>
          <w:sz w:val="24"/>
        </w:rPr>
        <w:t>）本基金管理人管理的全部基金持有的同一权证，不得超过该权证的</w:t>
      </w:r>
      <w:r>
        <w:rPr>
          <w:rFonts w:hint="eastAsia"/>
          <w:bCs/>
          <w:sz w:val="24"/>
        </w:rPr>
        <w:t xml:space="preserve">   </w:t>
      </w:r>
      <w:r>
        <w:rPr>
          <w:bCs/>
          <w:sz w:val="24"/>
        </w:rPr>
        <w:t>10</w:t>
      </w:r>
      <w:r>
        <w:rPr>
          <w:bCs/>
          <w:sz w:val="24"/>
        </w:rPr>
        <w:t>％；</w:t>
      </w:r>
    </w:p>
    <w:p w14:paraId="58B72574" w14:textId="77777777" w:rsidR="0046184B" w:rsidRDefault="00000000">
      <w:pPr>
        <w:spacing w:line="360" w:lineRule="auto"/>
        <w:ind w:firstLineChars="200" w:firstLine="480"/>
        <w:rPr>
          <w:bCs/>
          <w:sz w:val="24"/>
        </w:rPr>
      </w:pPr>
      <w:r>
        <w:rPr>
          <w:bCs/>
          <w:sz w:val="24"/>
        </w:rPr>
        <w:t>（</w:t>
      </w:r>
      <w:r>
        <w:rPr>
          <w:rFonts w:hint="eastAsia"/>
          <w:bCs/>
          <w:sz w:val="24"/>
        </w:rPr>
        <w:t>7</w:t>
      </w:r>
      <w:r>
        <w:rPr>
          <w:bCs/>
          <w:sz w:val="24"/>
        </w:rPr>
        <w:t>）本基金在任何交易日买入权证的总金额，不得超过上一交易日基金资产净值的</w:t>
      </w:r>
      <w:r>
        <w:rPr>
          <w:bCs/>
          <w:sz w:val="24"/>
        </w:rPr>
        <w:t>0.5</w:t>
      </w:r>
      <w:r>
        <w:rPr>
          <w:bCs/>
          <w:sz w:val="24"/>
        </w:rPr>
        <w:t>％；</w:t>
      </w:r>
    </w:p>
    <w:p w14:paraId="0524AA70" w14:textId="77777777" w:rsidR="0046184B" w:rsidRDefault="00000000">
      <w:pPr>
        <w:spacing w:line="360" w:lineRule="auto"/>
        <w:ind w:firstLineChars="200" w:firstLine="480"/>
        <w:rPr>
          <w:bCs/>
          <w:sz w:val="24"/>
        </w:rPr>
      </w:pPr>
      <w:r>
        <w:rPr>
          <w:bCs/>
          <w:sz w:val="24"/>
        </w:rPr>
        <w:t>（</w:t>
      </w:r>
      <w:r>
        <w:rPr>
          <w:rFonts w:hint="eastAsia"/>
          <w:bCs/>
          <w:sz w:val="24"/>
        </w:rPr>
        <w:t>8</w:t>
      </w:r>
      <w:r>
        <w:rPr>
          <w:bCs/>
          <w:sz w:val="24"/>
        </w:rPr>
        <w:t>）本基金投资于同一原始权益人的各类资产支持证券的比例，不得超过基金资产净值的</w:t>
      </w:r>
      <w:r>
        <w:rPr>
          <w:bCs/>
          <w:sz w:val="24"/>
        </w:rPr>
        <w:t>10</w:t>
      </w:r>
      <w:r>
        <w:rPr>
          <w:bCs/>
          <w:sz w:val="24"/>
        </w:rPr>
        <w:t>％；</w:t>
      </w:r>
    </w:p>
    <w:p w14:paraId="6AAB2F40" w14:textId="77777777" w:rsidR="0046184B" w:rsidRDefault="00000000">
      <w:pPr>
        <w:spacing w:line="360" w:lineRule="auto"/>
        <w:ind w:firstLineChars="200" w:firstLine="480"/>
        <w:rPr>
          <w:bCs/>
          <w:sz w:val="24"/>
        </w:rPr>
      </w:pPr>
      <w:r>
        <w:rPr>
          <w:bCs/>
          <w:sz w:val="24"/>
        </w:rPr>
        <w:t>（</w:t>
      </w:r>
      <w:r>
        <w:rPr>
          <w:rFonts w:hint="eastAsia"/>
          <w:bCs/>
          <w:sz w:val="24"/>
        </w:rPr>
        <w:t>9</w:t>
      </w:r>
      <w:r>
        <w:rPr>
          <w:bCs/>
          <w:sz w:val="24"/>
        </w:rPr>
        <w:t>）本基金持有的全部资产支持证券，其市值不得超过基金资产净值的</w:t>
      </w:r>
      <w:r>
        <w:rPr>
          <w:bCs/>
          <w:sz w:val="24"/>
        </w:rPr>
        <w:t>20</w:t>
      </w:r>
      <w:r>
        <w:rPr>
          <w:bCs/>
          <w:sz w:val="24"/>
        </w:rPr>
        <w:t>％</w:t>
      </w:r>
      <w:r>
        <w:rPr>
          <w:rFonts w:hint="eastAsia"/>
          <w:bCs/>
          <w:sz w:val="24"/>
        </w:rPr>
        <w:t>，中国证监会规定的特殊品种除外</w:t>
      </w:r>
      <w:r>
        <w:rPr>
          <w:bCs/>
          <w:sz w:val="24"/>
        </w:rPr>
        <w:t>；</w:t>
      </w:r>
    </w:p>
    <w:p w14:paraId="44409CAA" w14:textId="77777777" w:rsidR="0046184B" w:rsidRDefault="00000000">
      <w:pPr>
        <w:spacing w:line="360" w:lineRule="auto"/>
        <w:ind w:firstLineChars="200" w:firstLine="480"/>
        <w:rPr>
          <w:bCs/>
          <w:sz w:val="24"/>
        </w:rPr>
      </w:pPr>
      <w:r>
        <w:rPr>
          <w:bCs/>
          <w:sz w:val="24"/>
        </w:rPr>
        <w:t>（</w:t>
      </w:r>
      <w:r>
        <w:rPr>
          <w:rFonts w:hint="eastAsia"/>
          <w:bCs/>
          <w:sz w:val="24"/>
        </w:rPr>
        <w:t>10</w:t>
      </w:r>
      <w:r>
        <w:rPr>
          <w:bCs/>
          <w:sz w:val="24"/>
        </w:rPr>
        <w:t>）本基金持有的同一</w:t>
      </w:r>
      <w:r>
        <w:rPr>
          <w:bCs/>
          <w:sz w:val="24"/>
        </w:rPr>
        <w:t>(</w:t>
      </w:r>
      <w:r>
        <w:rPr>
          <w:bCs/>
          <w:sz w:val="24"/>
        </w:rPr>
        <w:t>指同一信用级别</w:t>
      </w:r>
      <w:r>
        <w:rPr>
          <w:bCs/>
          <w:sz w:val="24"/>
        </w:rPr>
        <w:t>)</w:t>
      </w:r>
      <w:r>
        <w:rPr>
          <w:bCs/>
          <w:sz w:val="24"/>
        </w:rPr>
        <w:t>资产支持证券的比例，不得超过该资产支持证券规模的</w:t>
      </w:r>
      <w:r>
        <w:rPr>
          <w:bCs/>
          <w:sz w:val="24"/>
        </w:rPr>
        <w:t>10</w:t>
      </w:r>
      <w:r>
        <w:rPr>
          <w:bCs/>
          <w:sz w:val="24"/>
        </w:rPr>
        <w:t>％；</w:t>
      </w:r>
    </w:p>
    <w:p w14:paraId="7DC70D9B" w14:textId="77777777" w:rsidR="0046184B" w:rsidRDefault="00000000">
      <w:pPr>
        <w:spacing w:line="360" w:lineRule="auto"/>
        <w:ind w:firstLineChars="200" w:firstLine="480"/>
        <w:rPr>
          <w:bCs/>
          <w:sz w:val="24"/>
        </w:rPr>
      </w:pPr>
      <w:r>
        <w:rPr>
          <w:bCs/>
          <w:sz w:val="24"/>
        </w:rPr>
        <w:t>（</w:t>
      </w:r>
      <w:r>
        <w:rPr>
          <w:bCs/>
          <w:sz w:val="24"/>
        </w:rPr>
        <w:t>1</w:t>
      </w:r>
      <w:r>
        <w:rPr>
          <w:rFonts w:hint="eastAsia"/>
          <w:bCs/>
          <w:sz w:val="24"/>
        </w:rPr>
        <w:t>1</w:t>
      </w:r>
      <w:r>
        <w:rPr>
          <w:bCs/>
          <w:sz w:val="24"/>
        </w:rPr>
        <w:t>）本基金管理人管理的全部基金投资于同一原始权益人的各类资产支持证券，不得超过其各类资产支持证券合计规模的</w:t>
      </w:r>
      <w:r>
        <w:rPr>
          <w:bCs/>
          <w:sz w:val="24"/>
        </w:rPr>
        <w:t>10</w:t>
      </w:r>
      <w:r>
        <w:rPr>
          <w:bCs/>
          <w:sz w:val="24"/>
        </w:rPr>
        <w:t>％；</w:t>
      </w:r>
    </w:p>
    <w:p w14:paraId="5861EA12" w14:textId="77777777" w:rsidR="0046184B" w:rsidRDefault="00000000">
      <w:pPr>
        <w:spacing w:line="360" w:lineRule="auto"/>
        <w:ind w:firstLineChars="200" w:firstLine="480"/>
        <w:rPr>
          <w:bCs/>
          <w:sz w:val="24"/>
        </w:rPr>
      </w:pPr>
      <w:r>
        <w:rPr>
          <w:bCs/>
          <w:sz w:val="24"/>
        </w:rPr>
        <w:t>（</w:t>
      </w:r>
      <w:r>
        <w:rPr>
          <w:bCs/>
          <w:sz w:val="24"/>
        </w:rPr>
        <w:t>1</w:t>
      </w:r>
      <w:r>
        <w:rPr>
          <w:rFonts w:hint="eastAsia"/>
          <w:bCs/>
          <w:sz w:val="24"/>
        </w:rPr>
        <w:t>2</w:t>
      </w:r>
      <w:r>
        <w:rPr>
          <w:bCs/>
          <w:sz w:val="24"/>
        </w:rPr>
        <w:t>）本基金应投资于信用级别评级为</w:t>
      </w:r>
      <w:r>
        <w:rPr>
          <w:bCs/>
          <w:sz w:val="24"/>
        </w:rPr>
        <w:t>BBB</w:t>
      </w:r>
      <w:r>
        <w:rPr>
          <w:bCs/>
          <w:sz w:val="24"/>
        </w:rPr>
        <w:t>以上</w:t>
      </w:r>
      <w:r>
        <w:rPr>
          <w:bCs/>
          <w:sz w:val="24"/>
        </w:rPr>
        <w:t>(</w:t>
      </w:r>
      <w:r>
        <w:rPr>
          <w:bCs/>
          <w:sz w:val="24"/>
        </w:rPr>
        <w:t>含</w:t>
      </w:r>
      <w:r>
        <w:rPr>
          <w:bCs/>
          <w:sz w:val="24"/>
        </w:rPr>
        <w:t>BBB)</w:t>
      </w:r>
      <w:r>
        <w:rPr>
          <w:bCs/>
          <w:sz w:val="24"/>
        </w:rPr>
        <w:t>的资产支持证券。基金持有资产支持证券期间，如果其信用等级下降、不再符合投资标准，应在评级报告发布之日起</w:t>
      </w:r>
      <w:r>
        <w:rPr>
          <w:bCs/>
          <w:sz w:val="24"/>
        </w:rPr>
        <w:t>3</w:t>
      </w:r>
      <w:r>
        <w:rPr>
          <w:bCs/>
          <w:sz w:val="24"/>
        </w:rPr>
        <w:t>个月内予以全部卖出；</w:t>
      </w:r>
    </w:p>
    <w:p w14:paraId="3F5D8AA2" w14:textId="77777777" w:rsidR="0046184B" w:rsidRDefault="00000000">
      <w:pPr>
        <w:spacing w:line="360" w:lineRule="auto"/>
        <w:ind w:firstLineChars="200" w:firstLine="480"/>
        <w:rPr>
          <w:bCs/>
          <w:sz w:val="24"/>
        </w:rPr>
      </w:pPr>
      <w:r>
        <w:rPr>
          <w:bCs/>
          <w:sz w:val="24"/>
        </w:rPr>
        <w:t>（</w:t>
      </w:r>
      <w:r>
        <w:rPr>
          <w:bCs/>
          <w:sz w:val="24"/>
        </w:rPr>
        <w:t>1</w:t>
      </w:r>
      <w:r>
        <w:rPr>
          <w:rFonts w:hint="eastAsia"/>
          <w:bCs/>
          <w:sz w:val="24"/>
        </w:rPr>
        <w:t>3</w:t>
      </w:r>
      <w:r>
        <w:rPr>
          <w:bCs/>
          <w:sz w:val="24"/>
        </w:rPr>
        <w:t>）基金财产参与股票发行申购，本基金所申报的金额不超过本基金的总资产，本基金所申报的股票数量不超过拟发行股票公司本次发行股票的总量；</w:t>
      </w:r>
    </w:p>
    <w:p w14:paraId="029C3761" w14:textId="77777777" w:rsidR="0046184B" w:rsidRDefault="00000000">
      <w:pPr>
        <w:spacing w:line="360" w:lineRule="auto"/>
        <w:ind w:firstLineChars="200" w:firstLine="480"/>
        <w:rPr>
          <w:bCs/>
          <w:sz w:val="24"/>
        </w:rPr>
      </w:pPr>
      <w:r>
        <w:rPr>
          <w:bCs/>
          <w:sz w:val="24"/>
        </w:rPr>
        <w:t>（</w:t>
      </w:r>
      <w:r>
        <w:rPr>
          <w:bCs/>
          <w:sz w:val="24"/>
        </w:rPr>
        <w:t>1</w:t>
      </w:r>
      <w:r>
        <w:rPr>
          <w:rFonts w:hint="eastAsia"/>
          <w:bCs/>
          <w:sz w:val="24"/>
        </w:rPr>
        <w:t>4</w:t>
      </w:r>
      <w:r>
        <w:rPr>
          <w:bCs/>
          <w:sz w:val="24"/>
        </w:rPr>
        <w:t>）本基金进入全国银行间同业市场进行债券回购的资金余额不得超过基金资产净值的</w:t>
      </w:r>
      <w:r>
        <w:rPr>
          <w:bCs/>
          <w:sz w:val="24"/>
        </w:rPr>
        <w:t>40%</w:t>
      </w:r>
      <w:r>
        <w:rPr>
          <w:rFonts w:hint="eastAsia"/>
          <w:bCs/>
          <w:sz w:val="24"/>
        </w:rPr>
        <w:t>，在全国银行间同业市场的债券回购最长期限为</w:t>
      </w:r>
      <w:r>
        <w:rPr>
          <w:rFonts w:hint="eastAsia"/>
          <w:bCs/>
          <w:sz w:val="24"/>
        </w:rPr>
        <w:t>1</w:t>
      </w:r>
      <w:r>
        <w:rPr>
          <w:rFonts w:hint="eastAsia"/>
          <w:bCs/>
          <w:sz w:val="24"/>
        </w:rPr>
        <w:t>年，债券回购到期后不得展期</w:t>
      </w:r>
      <w:r>
        <w:rPr>
          <w:bCs/>
          <w:sz w:val="24"/>
        </w:rPr>
        <w:t>；</w:t>
      </w:r>
    </w:p>
    <w:p w14:paraId="3E054580" w14:textId="77777777" w:rsidR="0046184B" w:rsidRDefault="00000000">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）本基金总资产不得超过基金净资产的</w:t>
      </w:r>
      <w:r>
        <w:rPr>
          <w:rFonts w:hint="eastAsia"/>
          <w:bCs/>
          <w:sz w:val="24"/>
        </w:rPr>
        <w:t xml:space="preserve"> 140%</w:t>
      </w:r>
      <w:r>
        <w:rPr>
          <w:rFonts w:hint="eastAsia"/>
          <w:bCs/>
          <w:sz w:val="24"/>
        </w:rPr>
        <w:t>；</w:t>
      </w:r>
    </w:p>
    <w:p w14:paraId="6B48215B" w14:textId="77777777" w:rsidR="0046184B" w:rsidRDefault="00000000">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）本基金持有单只中小企业私募债券，其市值不得超过本基金资产净值的</w:t>
      </w:r>
      <w:r>
        <w:rPr>
          <w:rFonts w:hint="eastAsia"/>
          <w:bCs/>
          <w:sz w:val="24"/>
        </w:rPr>
        <w:t>10%</w:t>
      </w:r>
      <w:r>
        <w:rPr>
          <w:rFonts w:hint="eastAsia"/>
          <w:bCs/>
          <w:sz w:val="24"/>
        </w:rPr>
        <w:t>；基金投资于中小企业私募债的比例不超过基金资产净值的</w:t>
      </w:r>
      <w:r>
        <w:rPr>
          <w:bCs/>
          <w:sz w:val="24"/>
        </w:rPr>
        <w:t>20%</w:t>
      </w:r>
      <w:r>
        <w:rPr>
          <w:rFonts w:hint="eastAsia"/>
          <w:bCs/>
          <w:sz w:val="24"/>
        </w:rPr>
        <w:t>；</w:t>
      </w:r>
    </w:p>
    <w:p w14:paraId="49349971"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17</w:t>
      </w:r>
      <w:r>
        <w:rPr>
          <w:rFonts w:hint="eastAsia"/>
          <w:bCs/>
          <w:sz w:val="24"/>
        </w:rPr>
        <w:t>）本基金参与股指期货、国债期货交易，需遵守下列规定：</w:t>
      </w:r>
    </w:p>
    <w:p w14:paraId="01EF67C9" w14:textId="77777777" w:rsidR="0046184B" w:rsidRDefault="00000000">
      <w:pPr>
        <w:spacing w:line="360" w:lineRule="auto"/>
        <w:ind w:firstLineChars="200" w:firstLine="480"/>
        <w:rPr>
          <w:bCs/>
          <w:sz w:val="24"/>
        </w:rPr>
      </w:pPr>
      <w:r>
        <w:rPr>
          <w:rFonts w:hint="eastAsia"/>
          <w:bCs/>
          <w:sz w:val="24"/>
        </w:rPr>
        <w:t>1</w:t>
      </w:r>
      <w:r>
        <w:rPr>
          <w:rFonts w:hint="eastAsia"/>
          <w:bCs/>
          <w:sz w:val="24"/>
        </w:rPr>
        <w:t>）本基金在任何交易日日终，持有的买入股指期货合约价值，不得超过基</w:t>
      </w:r>
      <w:r>
        <w:rPr>
          <w:rFonts w:hint="eastAsia"/>
          <w:bCs/>
          <w:sz w:val="24"/>
        </w:rPr>
        <w:lastRenderedPageBreak/>
        <w:t>金资产净值的</w:t>
      </w:r>
      <w:r>
        <w:rPr>
          <w:rFonts w:hint="eastAsia"/>
          <w:bCs/>
          <w:sz w:val="24"/>
        </w:rPr>
        <w:t>10%</w:t>
      </w:r>
      <w:r>
        <w:rPr>
          <w:rFonts w:hint="eastAsia"/>
          <w:bCs/>
          <w:sz w:val="24"/>
        </w:rPr>
        <w:t>；</w:t>
      </w:r>
    </w:p>
    <w:p w14:paraId="586D346E" w14:textId="77777777" w:rsidR="0046184B" w:rsidRDefault="00000000">
      <w:pPr>
        <w:spacing w:line="360" w:lineRule="auto"/>
        <w:ind w:firstLineChars="200" w:firstLine="480"/>
        <w:rPr>
          <w:bCs/>
          <w:sz w:val="24"/>
        </w:rPr>
      </w:pPr>
      <w:r>
        <w:rPr>
          <w:rFonts w:hint="eastAsia"/>
          <w:bCs/>
          <w:sz w:val="24"/>
        </w:rPr>
        <w:t>2</w:t>
      </w:r>
      <w:r>
        <w:rPr>
          <w:rFonts w:hint="eastAsia"/>
          <w:bCs/>
          <w:sz w:val="24"/>
        </w:rPr>
        <w:t>）本基金在任何交易日日终，持有的买入股指期货、国债期货合约价值与有价证券市值之和，不得超过基金资产净值的</w:t>
      </w:r>
      <w:r>
        <w:rPr>
          <w:rFonts w:hint="eastAsia"/>
          <w:bCs/>
          <w:sz w:val="24"/>
        </w:rPr>
        <w:t>95%</w:t>
      </w:r>
      <w:r>
        <w:rPr>
          <w:rFonts w:hint="eastAsia"/>
          <w:bCs/>
          <w:sz w:val="24"/>
        </w:rPr>
        <w:t>，其中，有价证券指股票、债券（不含到期日在一年以内的政府债券）、权证、资产支持证券、买入返售金融资产（不含质押式回购）等；</w:t>
      </w:r>
    </w:p>
    <w:p w14:paraId="70813275" w14:textId="77777777" w:rsidR="0046184B" w:rsidRDefault="00000000">
      <w:pPr>
        <w:spacing w:line="360" w:lineRule="auto"/>
        <w:ind w:firstLineChars="200" w:firstLine="480"/>
        <w:rPr>
          <w:bCs/>
          <w:sz w:val="24"/>
        </w:rPr>
      </w:pPr>
      <w:r>
        <w:rPr>
          <w:rFonts w:hint="eastAsia"/>
          <w:bCs/>
          <w:sz w:val="24"/>
        </w:rPr>
        <w:t>3</w:t>
      </w:r>
      <w:r>
        <w:rPr>
          <w:rFonts w:hint="eastAsia"/>
          <w:bCs/>
          <w:sz w:val="24"/>
        </w:rPr>
        <w:t>）本基金在任何交易日日终，持有的卖出股指期货合约价值不得超过基金持有的股票总市值的</w:t>
      </w:r>
      <w:r>
        <w:rPr>
          <w:rFonts w:hint="eastAsia"/>
          <w:bCs/>
          <w:sz w:val="24"/>
        </w:rPr>
        <w:t>20%</w:t>
      </w:r>
      <w:r>
        <w:rPr>
          <w:rFonts w:hint="eastAsia"/>
          <w:bCs/>
          <w:sz w:val="24"/>
        </w:rPr>
        <w:t>；</w:t>
      </w:r>
    </w:p>
    <w:p w14:paraId="2779A2D3" w14:textId="77777777" w:rsidR="0046184B" w:rsidRDefault="00000000">
      <w:pPr>
        <w:spacing w:line="360" w:lineRule="auto"/>
        <w:ind w:firstLineChars="200" w:firstLine="480"/>
        <w:rPr>
          <w:bCs/>
          <w:sz w:val="24"/>
        </w:rPr>
      </w:pPr>
      <w:r>
        <w:rPr>
          <w:rFonts w:hint="eastAsia"/>
          <w:bCs/>
          <w:sz w:val="24"/>
        </w:rPr>
        <w:t>4</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w:t>
      </w:r>
    </w:p>
    <w:p w14:paraId="006836EC" w14:textId="77777777" w:rsidR="0046184B" w:rsidRDefault="00000000">
      <w:pPr>
        <w:spacing w:line="360" w:lineRule="auto"/>
        <w:ind w:firstLineChars="200" w:firstLine="480"/>
        <w:rPr>
          <w:bCs/>
          <w:sz w:val="24"/>
        </w:rPr>
      </w:pPr>
      <w:r>
        <w:rPr>
          <w:rFonts w:hint="eastAsia"/>
          <w:bCs/>
          <w:sz w:val="24"/>
        </w:rPr>
        <w:t>5</w:t>
      </w:r>
      <w:r>
        <w:rPr>
          <w:rFonts w:hint="eastAsia"/>
          <w:bCs/>
          <w:sz w:val="24"/>
        </w:rPr>
        <w:t>）本基金所持有的股票市值和买入、卖出股指期货合约价值，合计（轧差计算）应当符合基金合同关于股票投资比例的有关规定；</w:t>
      </w:r>
    </w:p>
    <w:p w14:paraId="390FAD0A" w14:textId="77777777" w:rsidR="0046184B" w:rsidRDefault="00000000">
      <w:pPr>
        <w:spacing w:line="360" w:lineRule="auto"/>
        <w:ind w:firstLineChars="200" w:firstLine="480"/>
        <w:rPr>
          <w:bCs/>
          <w:sz w:val="24"/>
        </w:rPr>
      </w:pPr>
      <w:r>
        <w:rPr>
          <w:rFonts w:hint="eastAsia"/>
          <w:bCs/>
          <w:sz w:val="24"/>
        </w:rPr>
        <w:t>6</w:t>
      </w:r>
      <w:r>
        <w:rPr>
          <w:rFonts w:hint="eastAsia"/>
          <w:bCs/>
          <w:sz w:val="24"/>
        </w:rPr>
        <w:t>）本基金在任何交易日日终，持有的买入国债期货合约价值，不得超过基金资产净值的</w:t>
      </w:r>
      <w:r>
        <w:rPr>
          <w:rFonts w:hint="eastAsia"/>
          <w:bCs/>
          <w:sz w:val="24"/>
        </w:rPr>
        <w:t>15%</w:t>
      </w:r>
      <w:r>
        <w:rPr>
          <w:rFonts w:hint="eastAsia"/>
          <w:bCs/>
          <w:sz w:val="24"/>
        </w:rPr>
        <w:t>；</w:t>
      </w:r>
    </w:p>
    <w:p w14:paraId="296E200B" w14:textId="77777777" w:rsidR="0046184B" w:rsidRDefault="00000000">
      <w:pPr>
        <w:spacing w:line="360" w:lineRule="auto"/>
        <w:ind w:firstLineChars="200" w:firstLine="480"/>
        <w:rPr>
          <w:bCs/>
          <w:sz w:val="24"/>
        </w:rPr>
      </w:pPr>
      <w:r>
        <w:rPr>
          <w:rFonts w:hint="eastAsia"/>
          <w:bCs/>
          <w:sz w:val="24"/>
        </w:rPr>
        <w:t>7</w:t>
      </w:r>
      <w:r>
        <w:rPr>
          <w:rFonts w:hint="eastAsia"/>
          <w:bCs/>
          <w:sz w:val="24"/>
        </w:rPr>
        <w:t>）本基金在任何交易日日终，持有的卖出国债期货合约价值不得超过基金持有的债券总市值的</w:t>
      </w:r>
      <w:r>
        <w:rPr>
          <w:rFonts w:hint="eastAsia"/>
          <w:bCs/>
          <w:sz w:val="24"/>
        </w:rPr>
        <w:t>30%</w:t>
      </w:r>
      <w:r>
        <w:rPr>
          <w:rFonts w:hint="eastAsia"/>
          <w:bCs/>
          <w:sz w:val="24"/>
        </w:rPr>
        <w:t>；</w:t>
      </w:r>
    </w:p>
    <w:p w14:paraId="00D00BD5" w14:textId="77777777" w:rsidR="0046184B" w:rsidRDefault="00000000">
      <w:pPr>
        <w:spacing w:line="360" w:lineRule="auto"/>
        <w:ind w:firstLineChars="200" w:firstLine="480"/>
        <w:rPr>
          <w:bCs/>
          <w:sz w:val="24"/>
        </w:rPr>
      </w:pPr>
      <w:r>
        <w:rPr>
          <w:rFonts w:hint="eastAsia"/>
          <w:bCs/>
          <w:sz w:val="24"/>
        </w:rPr>
        <w:t>8</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4862A8F2" w14:textId="77777777" w:rsidR="0046184B" w:rsidRDefault="00000000">
      <w:pPr>
        <w:spacing w:line="360" w:lineRule="auto"/>
        <w:ind w:firstLineChars="200" w:firstLine="480"/>
        <w:rPr>
          <w:sz w:val="24"/>
        </w:rPr>
      </w:pPr>
      <w:r>
        <w:rPr>
          <w:rFonts w:hint="eastAsia"/>
          <w:sz w:val="24"/>
        </w:rPr>
        <w:t>（</w:t>
      </w:r>
      <w:r>
        <w:rPr>
          <w:rFonts w:hint="eastAsia"/>
          <w:sz w:val="24"/>
        </w:rPr>
        <w:t>18</w:t>
      </w:r>
      <w:r>
        <w:rPr>
          <w:rFonts w:hint="eastAsia"/>
          <w:sz w:val="24"/>
        </w:rPr>
        <w:t>）本基金参与股票期权交易，需遵守下列投资比例限制：</w:t>
      </w:r>
    </w:p>
    <w:p w14:paraId="0BF81918" w14:textId="77777777" w:rsidR="0046184B" w:rsidRDefault="00000000">
      <w:pPr>
        <w:spacing w:line="360" w:lineRule="auto"/>
        <w:ind w:firstLineChars="200" w:firstLine="480"/>
        <w:rPr>
          <w:sz w:val="24"/>
        </w:rPr>
      </w:pPr>
      <w:r>
        <w:rPr>
          <w:rFonts w:hint="eastAsia"/>
          <w:sz w:val="24"/>
        </w:rPr>
        <w:t>1</w:t>
      </w:r>
      <w:r>
        <w:rPr>
          <w:rFonts w:hint="eastAsia"/>
          <w:sz w:val="24"/>
        </w:rPr>
        <w:t>）本基金因未平仓的期权合约支付和收取的权利金总额不得超过基金资产净值的</w:t>
      </w:r>
      <w:r>
        <w:rPr>
          <w:rFonts w:hint="eastAsia"/>
          <w:sz w:val="24"/>
        </w:rPr>
        <w:t>10%</w:t>
      </w:r>
      <w:r>
        <w:rPr>
          <w:rFonts w:hint="eastAsia"/>
          <w:sz w:val="24"/>
        </w:rPr>
        <w:t>；</w:t>
      </w:r>
    </w:p>
    <w:p w14:paraId="47E7701B" w14:textId="77777777" w:rsidR="0046184B" w:rsidRDefault="00000000">
      <w:pPr>
        <w:spacing w:line="360" w:lineRule="auto"/>
        <w:ind w:firstLineChars="200" w:firstLine="480"/>
        <w:rPr>
          <w:sz w:val="24"/>
        </w:rPr>
      </w:pPr>
      <w:r>
        <w:rPr>
          <w:rFonts w:hint="eastAsia"/>
          <w:sz w:val="24"/>
        </w:rPr>
        <w:t>2</w:t>
      </w:r>
      <w:r>
        <w:rPr>
          <w:rFonts w:hint="eastAsia"/>
          <w:sz w:val="24"/>
        </w:rPr>
        <w:t>）本基金开仓卖出认购期权的，应持有足额标的证券；开仓卖出认沽期权的，应持有合约行权所需的全额现金或交易所规则认可的可冲抵期权保证金的现金等价物；</w:t>
      </w:r>
    </w:p>
    <w:p w14:paraId="14C4931A" w14:textId="77777777" w:rsidR="0046184B" w:rsidRDefault="00000000">
      <w:pPr>
        <w:spacing w:line="360" w:lineRule="auto"/>
        <w:ind w:firstLineChars="200" w:firstLine="480"/>
        <w:rPr>
          <w:sz w:val="24"/>
        </w:rPr>
      </w:pPr>
      <w:r>
        <w:rPr>
          <w:rFonts w:hint="eastAsia"/>
          <w:sz w:val="24"/>
        </w:rPr>
        <w:t>3</w:t>
      </w:r>
      <w:r>
        <w:rPr>
          <w:rFonts w:hint="eastAsia"/>
          <w:sz w:val="24"/>
        </w:rPr>
        <w:t>）本基金未平仓的期权合约面值不得超过基金资产净值的</w:t>
      </w:r>
      <w:r>
        <w:rPr>
          <w:rFonts w:hint="eastAsia"/>
          <w:sz w:val="24"/>
        </w:rPr>
        <w:t>20%</w:t>
      </w:r>
      <w:r>
        <w:rPr>
          <w:rFonts w:hint="eastAsia"/>
          <w:sz w:val="24"/>
        </w:rPr>
        <w:t>。其中，合约面值按照行权价乘以合约乘数计算；</w:t>
      </w:r>
    </w:p>
    <w:p w14:paraId="544C175F" w14:textId="77777777" w:rsidR="0046184B" w:rsidRDefault="00000000">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）本基金管理人管理的全部开放式基金（包括开放式基金以及处于开放期的定期开放基金）持有一家上市公司发行的可流通股票，不得超过该上市公司可流通股票的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062989EE" w14:textId="77777777" w:rsidR="0046184B" w:rsidRDefault="00000000">
      <w:pPr>
        <w:spacing w:line="360" w:lineRule="auto"/>
        <w:ind w:firstLineChars="200" w:firstLine="480"/>
        <w:rPr>
          <w:bCs/>
          <w:sz w:val="24"/>
        </w:rPr>
      </w:pPr>
      <w:r>
        <w:rPr>
          <w:rFonts w:hint="eastAsia"/>
          <w:bCs/>
          <w:sz w:val="24"/>
        </w:rPr>
        <w:lastRenderedPageBreak/>
        <w:t>（</w:t>
      </w:r>
      <w:r>
        <w:rPr>
          <w:rFonts w:hint="eastAsia"/>
          <w:bCs/>
          <w:sz w:val="24"/>
        </w:rPr>
        <w:t>20</w:t>
      </w:r>
      <w:r>
        <w:rPr>
          <w:rFonts w:hint="eastAsia"/>
          <w:bCs/>
          <w:sz w:val="24"/>
        </w:rPr>
        <w:t>）本基金主动投资于流动性受限资产的市值合计不得超过基金资产净值的</w:t>
      </w:r>
      <w:r>
        <w:rPr>
          <w:rFonts w:hint="eastAsia"/>
          <w:bCs/>
          <w:sz w:val="24"/>
        </w:rPr>
        <w:t>15%</w:t>
      </w:r>
      <w:r>
        <w:rPr>
          <w:rFonts w:hint="eastAsia"/>
          <w:bCs/>
          <w:sz w:val="24"/>
        </w:rPr>
        <w:t>；</w:t>
      </w:r>
    </w:p>
    <w:p w14:paraId="029D30F4" w14:textId="77777777" w:rsidR="0046184B" w:rsidRDefault="00000000">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36BAAAC" w14:textId="77777777" w:rsidR="0046184B" w:rsidRDefault="00000000">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347F84DE"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22</w:t>
      </w:r>
      <w:r>
        <w:rPr>
          <w:rFonts w:hint="eastAsia"/>
          <w:bCs/>
          <w:sz w:val="24"/>
        </w:rPr>
        <w:t>）本基金投资存托凭证的比例限制依照境内上市交易的股票执行，与境内上市交易的股票合并计算；</w:t>
      </w:r>
    </w:p>
    <w:p w14:paraId="1B191736" w14:textId="77777777" w:rsidR="0046184B"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23</w:t>
      </w:r>
      <w:r>
        <w:rPr>
          <w:rFonts w:hint="eastAsia"/>
          <w:bCs/>
          <w:sz w:val="24"/>
        </w:rPr>
        <w:t>）法律法规及中国证监会规定的和《基金合同》约定的其他投资限制。</w:t>
      </w:r>
    </w:p>
    <w:p w14:paraId="2C9C2EF0" w14:textId="77777777" w:rsidR="0046184B" w:rsidRDefault="00000000">
      <w:pPr>
        <w:autoSpaceDE w:val="0"/>
        <w:autoSpaceDN w:val="0"/>
        <w:spacing w:line="360" w:lineRule="auto"/>
        <w:ind w:firstLineChars="200" w:firstLine="480"/>
        <w:textAlignment w:val="bottom"/>
        <w:rPr>
          <w:bCs/>
          <w:sz w:val="24"/>
        </w:rPr>
      </w:pPr>
      <w:r>
        <w:rPr>
          <w:rFonts w:hint="eastAsia"/>
          <w:bCs/>
          <w:sz w:val="24"/>
        </w:rPr>
        <w:t>除上述第（</w:t>
      </w:r>
      <w:r>
        <w:rPr>
          <w:rFonts w:hint="eastAsia"/>
          <w:bCs/>
          <w:sz w:val="24"/>
        </w:rPr>
        <w:t>2</w:t>
      </w:r>
      <w:r>
        <w:rPr>
          <w:rFonts w:hint="eastAsia"/>
          <w:bCs/>
          <w:sz w:val="24"/>
        </w:rPr>
        <w:t>）、（</w:t>
      </w:r>
      <w:r>
        <w:rPr>
          <w:rFonts w:hint="eastAsia"/>
          <w:bCs/>
          <w:sz w:val="24"/>
        </w:rPr>
        <w:t>1</w:t>
      </w:r>
      <w:r>
        <w:rPr>
          <w:bCs/>
          <w:sz w:val="24"/>
        </w:rPr>
        <w:t>2</w:t>
      </w:r>
      <w:r>
        <w:rPr>
          <w:rFonts w:hint="eastAsia"/>
          <w:bCs/>
          <w:sz w:val="24"/>
        </w:rPr>
        <w:t>）、（</w:t>
      </w:r>
      <w:r>
        <w:rPr>
          <w:bCs/>
          <w:sz w:val="24"/>
        </w:rPr>
        <w:t>20</w:t>
      </w:r>
      <w:r>
        <w:rPr>
          <w:rFonts w:hint="eastAsia"/>
          <w:bCs/>
          <w:sz w:val="24"/>
        </w:rPr>
        <w:t>）、（</w:t>
      </w:r>
      <w:r>
        <w:rPr>
          <w:rFonts w:hint="eastAsia"/>
          <w:bCs/>
          <w:sz w:val="24"/>
        </w:rPr>
        <w:t>21</w:t>
      </w:r>
      <w:r>
        <w:rPr>
          <w:rFonts w:hint="eastAsia"/>
          <w:bCs/>
          <w:sz w:val="24"/>
        </w:rPr>
        <w:t>）项外，因证券、期货市场波动、上市公司合并、基金规模变动、股权分置改革中支付对价等基金管理人之外的因素致使基金投资比例不符合上述规定投资比例的，基金管理人应当在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7EC16920" w14:textId="77777777" w:rsidR="0046184B" w:rsidRDefault="00000000">
      <w:pPr>
        <w:autoSpaceDE w:val="0"/>
        <w:autoSpaceDN w:val="0"/>
        <w:spacing w:line="360" w:lineRule="auto"/>
        <w:ind w:firstLineChars="200" w:firstLine="480"/>
        <w:textAlignment w:val="bottom"/>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个月内使基金的投资组合比例符合基金合同的有关约定。在上述期间内，本基金的投资范围、投资策略应当符合基金合同的约定。基金托管人对基金的投资的监督与检查自本基金合同生效之日起开始。</w:t>
      </w:r>
    </w:p>
    <w:p w14:paraId="5CEAFCD0" w14:textId="77777777" w:rsidR="0046184B"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hint="eastAsia"/>
          <w:bCs/>
          <w:sz w:val="24"/>
        </w:rPr>
        <w:t>法律法规或监管部门取消或调整上述限制，如适用于本基金，基金管理人在履行适当程序后，则本基金投资不再受相关限制或按调整后的规定执行</w:t>
      </w:r>
      <w:r>
        <w:rPr>
          <w:rFonts w:asciiTheme="minorEastAsia" w:hAnsiTheme="minorEastAsia" w:cs="Arial" w:hint="eastAsia"/>
          <w:color w:val="000000"/>
          <w:sz w:val="24"/>
          <w:szCs w:val="24"/>
        </w:rPr>
        <w:t>。</w:t>
      </w:r>
    </w:p>
    <w:p w14:paraId="3DF1B212"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（三）基金托管人根据有关法律法规的规定及基金合同的约定，对本托管协议第十五条第九款基金投资禁止行为进行监督。</w:t>
      </w:r>
    </w:p>
    <w:p w14:paraId="7C4935B3"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基金托管人通过事后监督方式对基金管理人基金投资禁止行为进行监督。</w:t>
      </w:r>
    </w:p>
    <w:p w14:paraId="1F9E1A14" w14:textId="77777777" w:rsidR="0046184B" w:rsidRDefault="00000000">
      <w:pPr>
        <w:spacing w:line="360" w:lineRule="auto"/>
        <w:ind w:firstLineChars="200" w:firstLine="480"/>
        <w:rPr>
          <w:bCs/>
          <w:sz w:val="24"/>
        </w:rPr>
      </w:pPr>
      <w:r>
        <w:rPr>
          <w:rFonts w:hint="eastAsia"/>
          <w:bCs/>
          <w:sz w:val="24"/>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w:t>
      </w:r>
      <w:r>
        <w:rPr>
          <w:rFonts w:hint="eastAsia"/>
          <w:bCs/>
          <w:sz w:val="24"/>
        </w:rPr>
        <w:lastRenderedPageBreak/>
        <w:t>规予以披露。重大关联交易应提交基金管理人董事会审议，并经过三分之二以上的独立董事通过。基金管理人董事会应至少每半年对关联交易事项进行审查。</w:t>
      </w:r>
    </w:p>
    <w:p w14:paraId="0F5B2319" w14:textId="77777777" w:rsidR="0046184B" w:rsidRDefault="00000000">
      <w:pPr>
        <w:spacing w:line="360" w:lineRule="auto"/>
        <w:ind w:firstLineChars="200" w:firstLine="480"/>
        <w:rPr>
          <w:bCs/>
          <w:sz w:val="24"/>
        </w:rPr>
      </w:pPr>
      <w:r>
        <w:rPr>
          <w:rFonts w:hint="eastAsia"/>
          <w:bCs/>
          <w:sz w:val="24"/>
        </w:rPr>
        <w:t>法律、行政法规或监管部门取消上述禁止性规定，如适用于本基金，则本基金投资不再受相关限制。</w:t>
      </w:r>
    </w:p>
    <w:p w14:paraId="365E218B" w14:textId="77777777" w:rsidR="0046184B" w:rsidRDefault="00000000">
      <w:pPr>
        <w:spacing w:line="360" w:lineRule="auto"/>
        <w:ind w:firstLineChars="200" w:firstLine="480"/>
        <w:rPr>
          <w:rFonts w:ascii="宋体" w:hAnsi="宋体" w:hint="eastAsia"/>
          <w:sz w:val="24"/>
          <w:szCs w:val="24"/>
        </w:rPr>
      </w:pPr>
      <w:r>
        <w:rPr>
          <w:rFonts w:hint="eastAsia"/>
          <w:bCs/>
          <w:sz w:val="24"/>
        </w:rPr>
        <w:t>根据法律法规有关基金从事关联交易的规定，基金管理人和基金托管人应事先相互提供与本机构有控股关系的股东、与本机构有其他重大利害关系的公司名单及有关关联</w:t>
      </w:r>
      <w:proofErr w:type="gramStart"/>
      <w:r>
        <w:rPr>
          <w:rFonts w:hint="eastAsia"/>
          <w:bCs/>
          <w:sz w:val="24"/>
        </w:rPr>
        <w:t>方发行</w:t>
      </w:r>
      <w:proofErr w:type="gramEnd"/>
      <w:r>
        <w:rPr>
          <w:rFonts w:hint="eastAsia"/>
          <w:bCs/>
          <w:sz w:val="24"/>
        </w:rPr>
        <w:t>的证券名单。基金管理人和基金托管人有责任确保关联交易名单的真实性、准确性、完整性，并负责及时将更新后的名单发送给对方。</w:t>
      </w:r>
    </w:p>
    <w:p w14:paraId="54399275"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（四）基金托管人根据有关法律法规的规定及基金合同的约定，对基金管理人参与银行间债券市场进行监督。</w:t>
      </w:r>
    </w:p>
    <w:p w14:paraId="3FB47EDA"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应在基金投资运作之前向基金托管人提供符合法律法规及行业标准的、经慎重选择的、本基金适用的银行间债券市场交易对手名单。基金管理人应严格按照交易对手名单的范围在银行间债券市场选择交易对手。基金托管人监督基金管理人是否按事前提供的银行间债券市场交易对手名单进行交易。基金管理人可以每半年对银行间债券市场交易对手名单进行更新，新名单确定前已与本次剔除的交易对手所进行但尚未结算的交易，仍应按照协议进行结算。如基金管理人根据市场情况需要临时调整银行间债券市场交易对手名单的，应向基金托管人说明理由，并在与交易对手发生交易前3个工作日内与基金托管人协商解决。</w:t>
      </w:r>
    </w:p>
    <w:p w14:paraId="0A733DB3"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0212C0F7"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 xml:space="preserve">（五）基金托管人根据有关法律法规的规定及《基金合同》的约定，对基金管理人选择存款银行进行监督。 </w:t>
      </w:r>
    </w:p>
    <w:p w14:paraId="24817B67"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 xml:space="preserve">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 </w:t>
      </w:r>
    </w:p>
    <w:p w14:paraId="1667F6B0"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 xml:space="preserve">本基金投资银行存款应符合如下规定： </w:t>
      </w:r>
    </w:p>
    <w:p w14:paraId="2D6F875E"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lastRenderedPageBreak/>
        <w:t>1、基金管理人、基金托管人应当与存款银行建立定期对账机制，确保基金银行存款业务账目及核算的真实、准确。</w:t>
      </w:r>
    </w:p>
    <w:p w14:paraId="2AA8FB4A"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 xml:space="preserve">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 </w:t>
      </w:r>
    </w:p>
    <w:p w14:paraId="2FBD0D11"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3、基金托管人应加强对基金银行存款业务的监督与核查，严格审查、复核相关协议、账户资料、投资指令、存款证实书等有关文件，切实履行托管职责。</w:t>
      </w:r>
    </w:p>
    <w:p w14:paraId="02AB0E16"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4、基金管理人与基金托管人在开展基金存款业务时，应严格遵守《基金法》、《运作办法》等有关法律法规，以及国家有关账户管理、利率管理、支付结算等的各项规定。 基金托管人发现基金管理人在选择存款银行时有违反有关法律法规的规定及《基金合同》的约定的行为，应及时以书面形式通知基金管理人在10个工作日内纠正。基金管理人对基金托管人通知的违规事项未能在10个工作日内纠正的，基金托管人应报告中国证监会。基金托管人发现基金管理人有重大违规行为，应立即报告中国证监会，同时通知基金管理人在10个工作日内纠正或拒绝结算，</w:t>
      </w:r>
      <w:proofErr w:type="gramStart"/>
      <w:r>
        <w:rPr>
          <w:rFonts w:ascii="宋体" w:hAnsi="宋体" w:hint="eastAsia"/>
          <w:sz w:val="24"/>
          <w:szCs w:val="24"/>
        </w:rPr>
        <w:t>若基金</w:t>
      </w:r>
      <w:proofErr w:type="gramEnd"/>
      <w:r>
        <w:rPr>
          <w:rFonts w:ascii="宋体" w:hAnsi="宋体" w:hint="eastAsia"/>
          <w:sz w:val="24"/>
          <w:szCs w:val="24"/>
        </w:rPr>
        <w:t>管理人拒不执行造成基金财产的损失，基金托管人不承担任何责任。</w:t>
      </w:r>
    </w:p>
    <w:p w14:paraId="77480B59"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（六）基金托管人根据有关法律法规的规定及基金合同的约定，对基金投资流通受限证券进行监督。</w:t>
      </w:r>
    </w:p>
    <w:p w14:paraId="21E85FBB"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1．基金投资流通受限证券，应遵守《关于基金投资非公开发行股票等流通受限证券有关问题的通知》等有关法律法规规定。</w:t>
      </w:r>
    </w:p>
    <w:p w14:paraId="6AAD3FDB"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2．流通受限证券，包括由《上市公司证券发行管理办法》规范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宋体" w:hAnsi="宋体" w:hint="eastAsia"/>
          <w:sz w:val="24"/>
          <w:szCs w:val="24"/>
        </w:rPr>
        <w:t>券</w:t>
      </w:r>
      <w:proofErr w:type="gramEnd"/>
      <w:r>
        <w:rPr>
          <w:rFonts w:ascii="宋体" w:hAnsi="宋体" w:hint="eastAsia"/>
          <w:sz w:val="24"/>
          <w:szCs w:val="24"/>
        </w:rPr>
        <w:t>等流通受限证券。</w:t>
      </w:r>
    </w:p>
    <w:p w14:paraId="137793DF"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3．在首次投资流通受限证券之前，基金管理人应当制定相关投资决策流程、风险控制等规章制度。基金管理人应当根据基金的投资风格和流动性的需要合理安排流通受限证券的投资比例，并在相关制度中明确具体比例，避免基金出现流</w:t>
      </w:r>
      <w:r>
        <w:rPr>
          <w:rFonts w:ascii="宋体" w:hAnsi="宋体" w:hint="eastAsia"/>
          <w:sz w:val="24"/>
          <w:szCs w:val="24"/>
        </w:rPr>
        <w:lastRenderedPageBreak/>
        <w:t>动性风险。基金投资非公开发行股票，基金管理人还应提供流动性风险处置预案。上述资料应包括但不限于基金投资流通受限证券的投资额度和投资比例控制情况。</w:t>
      </w:r>
    </w:p>
    <w:p w14:paraId="6D708749"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上述规章制度须经基金管理人董事会批准。上述规章制度经董事会通过之后，基金管理人应至少</w:t>
      </w:r>
      <w:proofErr w:type="gramStart"/>
      <w:r>
        <w:rPr>
          <w:rFonts w:ascii="宋体" w:hAnsi="宋体" w:hint="eastAsia"/>
          <w:sz w:val="24"/>
          <w:szCs w:val="24"/>
        </w:rPr>
        <w:t>于首次</w:t>
      </w:r>
      <w:proofErr w:type="gramEnd"/>
      <w:r>
        <w:rPr>
          <w:rFonts w:ascii="宋体" w:hAnsi="宋体" w:hint="eastAsia"/>
          <w:sz w:val="24"/>
          <w:szCs w:val="24"/>
        </w:rPr>
        <w:t>投资流通受限证券之前两个工作日将上述资料书面发至基金托管人，保证基金托管人有足够的时间进行审核。</w:t>
      </w:r>
    </w:p>
    <w:p w14:paraId="1102DAFB"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4．在投资流通受限证券之前，基金管理人应按约定时间向基金托管人提供符合法律法规要求的有关流通受限证券的信息，具体应当包括但不限于如下文件（如有）：拟发行证券主体的中国证监会批准文件、拟发行数量、定价依据、锁定期、基金拟认购的数量、价格、总成本、总成本占基金资产净值的比例、已持有流通受限证券市值占基金资产净值的比例、划款账号、划款金额、划款时间文件等。基金管理人应保证上述信息的真实、完整。</w:t>
      </w:r>
    </w:p>
    <w:p w14:paraId="3597928C"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5.基金投资流通受限证券，基金管理人应根据本协议的规定与基金托管银行签订风险控制补充协议。协议应包括基金托管人对于基金管理人是否遵守相关制度、流动</w:t>
      </w:r>
      <w:proofErr w:type="gramStart"/>
      <w:r>
        <w:rPr>
          <w:rFonts w:ascii="宋体" w:hAnsi="宋体" w:hint="eastAsia"/>
          <w:sz w:val="24"/>
          <w:szCs w:val="24"/>
        </w:rPr>
        <w:t>型风险</w:t>
      </w:r>
      <w:proofErr w:type="gramEnd"/>
      <w:r>
        <w:rPr>
          <w:rFonts w:ascii="宋体" w:hAnsi="宋体" w:hint="eastAsia"/>
          <w:sz w:val="24"/>
          <w:szCs w:val="24"/>
        </w:rPr>
        <w:t>处置预案以及相关投资额度和比例的情况进行监督等内容。</w:t>
      </w:r>
    </w:p>
    <w:p w14:paraId="12DDC3A7"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6．基金管理人应在基金投资非公开发行股票后两个交易日内，在中国证监会指定媒介披露所投资非公开发行股票的名称、数量、总成本、账面价值，以及总成本和账面价值占基金资产净值的比例、锁定期等信息。</w:t>
      </w:r>
    </w:p>
    <w:p w14:paraId="60A79962"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7．基金托管人应对基金管理人是否遵守法律法规、投资决策流程、风险控制制度、流动性风险处置预案情况进行监督，并审核基金管理人提供的有关书面信息。基金托管人认为上述资料可能导致基金出现风险的，有权要求基金管理人在投资流通受限证券前就该风险的消除或防范措施进行补充书面说明，并保留查看基金管理人风险管理部门就基金投资流通受限证券出具的风险评估报告等备查资料的权利。否则，基金托管人有权拒绝执行有关指令。因拒绝执行该指令造成基金财产损失的，基金托管人不承担任何责任，并有权报告中国证监会。</w:t>
      </w:r>
    </w:p>
    <w:p w14:paraId="18B43BE4"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如基金管理人和基金托管人无法达成一致，应及时上报中国证监会请求解决。</w:t>
      </w:r>
    </w:p>
    <w:p w14:paraId="556A53E6"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七）基金托管人根据有关法律法规的规定及基金合同的约定，对基金资产净值计算、基金份额净值计算、应收资金到账、基金费用开支及收入确定、基金收益分配、相关信息披露、基金宣传推介材料中登载基金业绩表现数据等进行监</w:t>
      </w:r>
      <w:r>
        <w:rPr>
          <w:rFonts w:ascii="宋体" w:hAnsi="宋体" w:hint="eastAsia"/>
          <w:sz w:val="24"/>
          <w:szCs w:val="24"/>
        </w:rPr>
        <w:lastRenderedPageBreak/>
        <w:t>督和核查。</w:t>
      </w:r>
    </w:p>
    <w:p w14:paraId="6B216FA0"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（八）基金托管人发现基金管理人的上述事项及投资指令或实际投资运作违反法律法规、基金合同和本托管协议的规定，应及时以电话提醒或书面提示等方式通知基金管理人限期纠正。</w:t>
      </w:r>
    </w:p>
    <w:p w14:paraId="7CC43B7E"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应积极配合和协助基金托管人的监督和核查。基金管理人收到书面通知后应在两个工作日内及时核对并以书面形式给基金托管人发出回函，就基金托管人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0F2B400C"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（九）基金管理人有义务配合和协助基金托管人依照法律法规、基金合同和本托管协议对基金业务执行核查。</w:t>
      </w:r>
    </w:p>
    <w:p w14:paraId="0944B5CC"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对基金托管人发出的书面提示，基金管理人应在规定时间内答复并改正，或就基金托管人的疑义进行解释或举证；对基金托管人按照法律法规、基金合同和本托管协议的要求需向中国证监会报送基金监督报告的事项，基金管理人应积极配合提供相关数据资料和制度等。</w:t>
      </w:r>
    </w:p>
    <w:p w14:paraId="2BFF17BF"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（十）</w:t>
      </w:r>
      <w:proofErr w:type="gramStart"/>
      <w:r>
        <w:rPr>
          <w:rFonts w:ascii="宋体" w:hAnsi="宋体" w:hint="eastAsia"/>
          <w:sz w:val="24"/>
          <w:szCs w:val="24"/>
        </w:rPr>
        <w:t>若基金</w:t>
      </w:r>
      <w:proofErr w:type="gramEnd"/>
      <w:r>
        <w:rPr>
          <w:rFonts w:ascii="宋体" w:hAnsi="宋体" w:hint="eastAsia"/>
          <w:sz w:val="24"/>
          <w:szCs w:val="24"/>
        </w:rPr>
        <w:t>托管人发现基金管理人依据交易程序已经生效的指令违反法律、行政法规和其他有关规定，或者违反基金合同约定的，应当立即通知基金管理人。</w:t>
      </w:r>
    </w:p>
    <w:p w14:paraId="743EBC8C"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（十一）基金托管人发现基金管理人有重大违规行为，应及时报告中国证监会，同时通知基金管理人限期纠正，并将纠正结果报告中国证监会。</w:t>
      </w:r>
    </w:p>
    <w:p w14:paraId="25D42F9C" w14:textId="77777777" w:rsidR="0046184B" w:rsidRDefault="00000000">
      <w:pPr>
        <w:adjustRightInd w:val="0"/>
        <w:snapToGrid w:val="0"/>
        <w:spacing w:line="360" w:lineRule="auto"/>
        <w:ind w:firstLineChars="200" w:firstLine="480"/>
        <w:rPr>
          <w:rFonts w:asciiTheme="minorEastAsia" w:hAnsiTheme="minorEastAsia" w:cs="Arial" w:hint="eastAsia"/>
          <w:color w:val="000000"/>
          <w:sz w:val="24"/>
          <w:szCs w:val="24"/>
        </w:rPr>
      </w:pPr>
      <w:r>
        <w:rPr>
          <w:rFonts w:ascii="宋体" w:hAnsi="宋体" w:hint="eastAsia"/>
          <w:sz w:val="24"/>
          <w:szCs w:val="24"/>
        </w:rPr>
        <w:t>基金管理人无正当理由，拒绝、阻挠对方根据本托管协议规定行使监督权，或采取拖延、欺诈等手段妨碍对方进行有效监督，情节严重或经基金托管人提出警告仍不改正的，基金托管人应报告中国证监会</w:t>
      </w:r>
      <w:r>
        <w:rPr>
          <w:rFonts w:asciiTheme="minorEastAsia" w:hAnsiTheme="minorEastAsia" w:cs="Arial" w:hint="eastAsia"/>
          <w:color w:val="000000"/>
          <w:sz w:val="24"/>
          <w:szCs w:val="24"/>
        </w:rPr>
        <w:t>。</w:t>
      </w:r>
    </w:p>
    <w:p w14:paraId="58334B1D" w14:textId="77777777" w:rsidR="0046184B"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三、基金管理人对基金托管人的业务核查</w:t>
      </w:r>
    </w:p>
    <w:p w14:paraId="42D57066"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（一）基金管理人对基金托管人履行托管职责情况进行核查，核查事项包括基金托管人安全保管基金财产、开设基金财产的资金账户、证券账户、期货账户</w:t>
      </w:r>
      <w:r>
        <w:rPr>
          <w:rFonts w:hint="eastAsia"/>
          <w:bCs/>
          <w:sz w:val="24"/>
        </w:rPr>
        <w:t>等投资所需账户</w:t>
      </w:r>
      <w:r>
        <w:rPr>
          <w:rFonts w:ascii="宋体" w:hAnsi="宋体" w:hint="eastAsia"/>
          <w:sz w:val="24"/>
          <w:szCs w:val="24"/>
        </w:rPr>
        <w:t>、复核基金管理人计算的基金资产净值和各类基金份额净值、根据基金管理人指令办理清算交收、相关信息披露和监督基金投资运作等行为。</w:t>
      </w:r>
    </w:p>
    <w:p w14:paraId="1145E33B"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（二）基金管理人发现基金托管人擅自挪用基金财产、未对基金财产实行分账管理、未执行或无故延迟执行基金管理人资金划拨指令、泄露基金投资信息等</w:t>
      </w:r>
      <w:r>
        <w:rPr>
          <w:rFonts w:ascii="宋体" w:hAnsi="宋体" w:hint="eastAsia"/>
          <w:sz w:val="24"/>
          <w:szCs w:val="24"/>
        </w:rPr>
        <w:lastRenderedPageBreak/>
        <w:t>违反《基金法》、基金合同、本协议及其他有关规定时，应及时以书面形式通知基金托管人限期纠正。</w:t>
      </w:r>
    </w:p>
    <w:p w14:paraId="412B10AC"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管理人核查托管财产的完整性和真实性，在规定时间内答复基金管理人并改正。</w:t>
      </w:r>
    </w:p>
    <w:p w14:paraId="2C2B5FD7"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（三）基金管理人发现基金托管人有重大违规行为，应及时报告中国证监会，同时通知基金托管人限期纠正，并将纠正结果报告中国证监会。</w:t>
      </w:r>
    </w:p>
    <w:p w14:paraId="17088E47"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基金托管人无正当理由，拒绝、阻挠对方根据本协议规定行使监督权，或采取拖延、欺诈等手段妨碍对方进行有效监督，情节严重或经基金管理人提出警告仍不改正的，基金管理人应报告中国证监会</w:t>
      </w:r>
      <w:r>
        <w:rPr>
          <w:rFonts w:asciiTheme="minorEastAsia" w:hAnsiTheme="minorEastAsia" w:cs="Arial" w:hint="eastAsia"/>
          <w:sz w:val="24"/>
          <w:szCs w:val="24"/>
        </w:rPr>
        <w:t>。</w:t>
      </w:r>
    </w:p>
    <w:p w14:paraId="3E470519" w14:textId="77777777" w:rsidR="0046184B"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四、基金财产的保管</w:t>
      </w:r>
    </w:p>
    <w:p w14:paraId="459B589D"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（一）基金财产保管的原则</w:t>
      </w:r>
    </w:p>
    <w:p w14:paraId="73A35247"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1．基金财产应独立于基金管理人、基金托管人的固有财产；</w:t>
      </w:r>
    </w:p>
    <w:p w14:paraId="5B98666D"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2．基金托管人应安全保管基金财产；</w:t>
      </w:r>
    </w:p>
    <w:p w14:paraId="009E4E86"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3．基金托管人按照规定开设基金财产的资金账户、证券账户和期货账户等投资所需账户；</w:t>
      </w:r>
    </w:p>
    <w:p w14:paraId="543725DF"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 xml:space="preserve">4．基金托管人对所托管的不同基金财产分别设置账户，确保基金财产的完整与独立； </w:t>
      </w:r>
    </w:p>
    <w:p w14:paraId="62B4C8E2"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5．基金托管人根据基金管理人的指令，按照基金合同和本协议的约定保管基金财产，如有特殊情况双方可另行协商解决；</w:t>
      </w:r>
    </w:p>
    <w:p w14:paraId="4C8B687B"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6．对于因为基金投资产生的应收资产，应由基金管理人负责与有关当事人确定到账日期并通知基金托管人，到账日基金财产没有到达基金账户的，基金托管人应及时通知基金管理人采取措施进行催收。由此给基金财产造成损失的，基金管理人应负责向有关当事人追偿基金财产的损失，基金托管人对此不承担任何责任；</w:t>
      </w:r>
    </w:p>
    <w:p w14:paraId="1B34237B"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7．除依据法律法规和基金合同的规定外，基金托管人不得委托第三人托管基金财产。</w:t>
      </w:r>
    </w:p>
    <w:p w14:paraId="3A41F5A2"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（二）基金募集期间及募集资金的验资</w:t>
      </w:r>
    </w:p>
    <w:p w14:paraId="0F791A6D"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lastRenderedPageBreak/>
        <w:t>1．基金募集期间募集的资金应存于基金募集专户</w:t>
      </w:r>
      <w:r>
        <w:rPr>
          <w:rFonts w:ascii="宋体" w:hAnsi="宋体" w:hint="eastAsia"/>
          <w:sz w:val="24"/>
        </w:rPr>
        <w:t>，</w:t>
      </w:r>
      <w:r>
        <w:rPr>
          <w:rFonts w:ascii="宋体" w:hAnsi="宋体" w:hint="eastAsia"/>
          <w:sz w:val="24"/>
          <w:szCs w:val="24"/>
        </w:rPr>
        <w:t>该账户由基金管理人开立并管理。</w:t>
      </w:r>
    </w:p>
    <w:p w14:paraId="33F78185"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39308E74"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3．</w:t>
      </w:r>
      <w:proofErr w:type="gramStart"/>
      <w:r>
        <w:rPr>
          <w:rFonts w:ascii="宋体" w:hAnsi="宋体" w:hint="eastAsia"/>
          <w:sz w:val="24"/>
          <w:szCs w:val="24"/>
        </w:rPr>
        <w:t>若基金</w:t>
      </w:r>
      <w:proofErr w:type="gramEnd"/>
      <w:r>
        <w:rPr>
          <w:rFonts w:ascii="宋体" w:hAnsi="宋体" w:hint="eastAsia"/>
          <w:sz w:val="24"/>
          <w:szCs w:val="24"/>
        </w:rPr>
        <w:t>募集期限届满，未能达到基金合同生效的条件，由基金管理人按规定办理退款等事宜。</w:t>
      </w:r>
    </w:p>
    <w:p w14:paraId="16D5C864"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（三）</w:t>
      </w:r>
      <w:r>
        <w:rPr>
          <w:rFonts w:ascii="宋体" w:hAnsi="宋体" w:cs="宋体" w:hint="eastAsia"/>
          <w:sz w:val="24"/>
          <w:szCs w:val="24"/>
        </w:rPr>
        <w:t>基金托管专户</w:t>
      </w:r>
      <w:r>
        <w:rPr>
          <w:rFonts w:ascii="宋体" w:hAnsi="宋体" w:hint="eastAsia"/>
          <w:sz w:val="24"/>
          <w:szCs w:val="24"/>
        </w:rPr>
        <w:t>的开立和管理</w:t>
      </w:r>
    </w:p>
    <w:p w14:paraId="22756C69"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1．基金托管人以本基金的名义在其营业机构开设基金托管专户，保管基金的银行存款。本基金的一切货币收支活动，包括但不限于投资、支付赎回金额、支付基金收益、收取申购款，均需通过基金托管专户进行。</w:t>
      </w:r>
      <w:r>
        <w:rPr>
          <w:rFonts w:ascii="宋体" w:hAnsi="宋体" w:hint="eastAsia"/>
          <w:sz w:val="24"/>
        </w:rPr>
        <w:t>基金管理人授权基金托管人办理托管专户的开立、销户、变更工作，本基金托管账户无需预留印鉴，具体按基金托管人要求办理。</w:t>
      </w:r>
    </w:p>
    <w:p w14:paraId="0DCCC7F2"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041F538D"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3．基金托管专户的开立和管理应符合有关法律法规以及银行业监督管理机构的其他有关规定。</w:t>
      </w:r>
    </w:p>
    <w:p w14:paraId="40D50A62"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（四）基金证券账户和结算备付金账户的开立和管理</w:t>
      </w:r>
    </w:p>
    <w:p w14:paraId="47FC3A5A"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1．基金托管人在中国证券登记结算有限责任公司上海分公司、深圳分公司为基金开立基金托管人与本基金联名的证券账户。</w:t>
      </w:r>
    </w:p>
    <w:p w14:paraId="325765FD"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2．基金证券账户的开立和使用，仅限于满足开展本基金业务的需要。基金托管人和基金管理人不得出借或转让基金的任何证券账户，亦不得使用基金的任何账户进行本基金业务以外的活动。</w:t>
      </w:r>
    </w:p>
    <w:p w14:paraId="5DF065D6"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3．基金证券账户的开立和证券账户卡的保管由基金托管人负责，账户资产的管理和运用由基金管理人负责。</w:t>
      </w:r>
    </w:p>
    <w:p w14:paraId="6A7FB528"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4．基金托管人以基金托管人的名义在中国证券登记结算有限责任公司上海</w:t>
      </w:r>
      <w:r>
        <w:rPr>
          <w:rFonts w:ascii="宋体" w:hAnsi="宋体" w:hint="eastAsia"/>
          <w:sz w:val="24"/>
          <w:szCs w:val="24"/>
        </w:rPr>
        <w:lastRenderedPageBreak/>
        <w:t>分公司、深圳分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4055A762"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5．若中国证监会或其他监管机构在本托管协议订立日之后允许基金从事其他投资品种的投资业务，涉及相关账户的开立、使用的，若无相关规定，</w:t>
      </w:r>
      <w:proofErr w:type="gramStart"/>
      <w:r>
        <w:rPr>
          <w:rFonts w:ascii="宋体" w:hAnsi="宋体" w:hint="eastAsia"/>
          <w:sz w:val="24"/>
          <w:szCs w:val="24"/>
        </w:rPr>
        <w:t>则基金</w:t>
      </w:r>
      <w:proofErr w:type="gramEnd"/>
      <w:r>
        <w:rPr>
          <w:rFonts w:ascii="宋体" w:hAnsi="宋体" w:hint="eastAsia"/>
          <w:sz w:val="24"/>
          <w:szCs w:val="24"/>
        </w:rPr>
        <w:t>托管人比照上述关于账户开立、使用的规定执行。</w:t>
      </w:r>
    </w:p>
    <w:p w14:paraId="31032B00"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（五）银行间债券托管专户的开设和管理</w:t>
      </w:r>
    </w:p>
    <w:p w14:paraId="61957504"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合同生效后，基金管理人负责以本基金的名义申请并取得进入全国银行间同业拆借市场的交易资格，并代表基金进行交易；基金托管人负责以本基金的名义在中央国债登记结算有限责任公司和银行间市场清算所股份有限公司开设银行间债券市场债券托管账户，并代表基金进行银行间市场债券的结算。基金管理人和基金托管人共同代表基金签订全国银行间债券市场债券回购主协议，基金管理人保管协议正本，基金托管人保存协议副本。</w:t>
      </w:r>
    </w:p>
    <w:p w14:paraId="3DB70860"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（六）其他账户的开立和管理</w:t>
      </w:r>
    </w:p>
    <w:p w14:paraId="31C91043"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09819576"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（七）基金财产投资的有关有价凭证等的保管</w:t>
      </w:r>
    </w:p>
    <w:p w14:paraId="4B4F8F68"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财产投资的有关实物证券等有价凭证由基金托管人存放于基金托管人的保管库，也可存入中央国债登记结算有限责任公司、中国证券登记结算有限责任公司上海分公司/深圳分公司或票据营业中心的代保管库，保管凭证由基金托管人持有。实物证券等有价凭证的购买和转让，由基金管理人和基金托管人共同办理。基金托管人对由基金托管人以外机构实际有效控制的证券不承担保管责任。</w:t>
      </w:r>
    </w:p>
    <w:p w14:paraId="463D63D2"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（八）与基金财产有关的重大合同的保管</w:t>
      </w:r>
    </w:p>
    <w:p w14:paraId="3C2B3D5D"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基金管理人应保证基金管理人和基金托管人至少各持有一份正本的原件。基金管理人应在重大合同签署后及时将重大合同传真给基金托管人，并在30个</w:t>
      </w:r>
      <w:r>
        <w:rPr>
          <w:rFonts w:ascii="宋体" w:hAnsi="宋体" w:hint="eastAsia"/>
          <w:sz w:val="24"/>
          <w:szCs w:val="24"/>
        </w:rPr>
        <w:lastRenderedPageBreak/>
        <w:t>工作日内将正本送达基金托管人处。重大合同的保管期限为基金合同终止后15年</w:t>
      </w:r>
      <w:r>
        <w:rPr>
          <w:rFonts w:asciiTheme="minorEastAsia" w:hAnsiTheme="minorEastAsia" w:cs="Arial" w:hint="eastAsia"/>
          <w:sz w:val="24"/>
          <w:szCs w:val="24"/>
        </w:rPr>
        <w:t>。</w:t>
      </w:r>
    </w:p>
    <w:p w14:paraId="61DDFCF6" w14:textId="77777777" w:rsidR="0046184B"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五、基金资产净值计算、估值和会计核算</w:t>
      </w:r>
    </w:p>
    <w:p w14:paraId="1C3E63F4"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（一）基金资产净值的计算、复核与完成的时间及程序</w:t>
      </w:r>
    </w:p>
    <w:p w14:paraId="208D416A"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1．基金资产净值</w:t>
      </w:r>
    </w:p>
    <w:p w14:paraId="661334B4"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基金资产净值是指基金资产总值减去负债后的金额。</w:t>
      </w:r>
    </w:p>
    <w:p w14:paraId="09D9DC3F"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该类基金份额净值是指该类基金资产净值除以当日该类基金份额总数，各类基金份额净值的计算，精确到0.0001元，小数点后第5位四舍五入，国家另有规定的，从其规定。</w:t>
      </w:r>
    </w:p>
    <w:p w14:paraId="05E32439"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基金管理人每个工作日计算基金资产净值及两类基金份额净值，经基金托管人复核，按规定公告。</w:t>
      </w:r>
    </w:p>
    <w:p w14:paraId="75F14F2F"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2．复核程序</w:t>
      </w:r>
    </w:p>
    <w:p w14:paraId="4577ABEB"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基金管理人每工作日对基金资产进行估值后，将两类基金份额净值结果发送基金托管人，经基金托管人复核无误后，由基金管理人对外公布</w:t>
      </w:r>
      <w:r>
        <w:rPr>
          <w:rFonts w:asciiTheme="minorEastAsia" w:hAnsiTheme="minorEastAsia" w:cs="Arial" w:hint="eastAsia"/>
          <w:sz w:val="24"/>
          <w:szCs w:val="24"/>
        </w:rPr>
        <w:t>。</w:t>
      </w:r>
    </w:p>
    <w:p w14:paraId="1B0B3B4D"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（二）基金会计核算</w:t>
      </w:r>
    </w:p>
    <w:p w14:paraId="18EEC627"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1、基金账册的建立</w:t>
      </w:r>
    </w:p>
    <w:p w14:paraId="1B347D18"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基金管理人进行基金会计核算并编制基金财务会计报告。基金管理人、基金托管人独立地设置、记录和保管本基金的全套账册。</w:t>
      </w:r>
      <w:proofErr w:type="gramStart"/>
      <w:r>
        <w:rPr>
          <w:rFonts w:ascii="宋体" w:hAnsi="宋体" w:hint="eastAsia"/>
          <w:sz w:val="24"/>
          <w:szCs w:val="24"/>
        </w:rPr>
        <w:t>若基金</w:t>
      </w:r>
      <w:proofErr w:type="gramEnd"/>
      <w:r>
        <w:rPr>
          <w:rFonts w:ascii="宋体" w:hAnsi="宋体" w:hint="eastAsia"/>
          <w:sz w:val="24"/>
          <w:szCs w:val="24"/>
        </w:rPr>
        <w:t>管理人和基金托管人对会计处理方法存在分歧，应以基金管理人的处理方法为准。若当日核对不符，暂时无法查找到错账的原因而影响到基金资产净值的计算和公告的，以基金管理人的账册为准</w:t>
      </w:r>
      <w:r>
        <w:rPr>
          <w:rFonts w:asciiTheme="minorEastAsia" w:hAnsiTheme="minorEastAsia" w:cs="Arial" w:hint="eastAsia"/>
          <w:sz w:val="24"/>
          <w:szCs w:val="24"/>
        </w:rPr>
        <w:t>。</w:t>
      </w:r>
    </w:p>
    <w:p w14:paraId="47AFBAAA"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2、基金财务报表和定期报告的编制和复核</w:t>
      </w:r>
    </w:p>
    <w:p w14:paraId="3B98E765"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（1）财务报表的编制</w:t>
      </w:r>
    </w:p>
    <w:p w14:paraId="73F1ED26"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基金财务报表由基金管理人编制，基金托管人复核。</w:t>
      </w:r>
    </w:p>
    <w:p w14:paraId="2323B461"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（2）报表复核</w:t>
      </w:r>
    </w:p>
    <w:p w14:paraId="2BCBC488"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基金托管人在收到基金管理人编制的基金财务报表后，进行独立的复核。核对不符时，应及时通知基金管理人共同查出原因，进行调整，直至双方数据完全一致。</w:t>
      </w:r>
    </w:p>
    <w:p w14:paraId="433F6056"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（3）财务报表的编制与复核时间安排</w:t>
      </w:r>
    </w:p>
    <w:p w14:paraId="715F8F4B"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1）报表的编制</w:t>
      </w:r>
    </w:p>
    <w:p w14:paraId="7A091818"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lastRenderedPageBreak/>
        <w:t>基金管理人应当在每月结束后5个工作日内完成月度报表的编制；在每个季度结束之日起15个工作日内完成基金季度报告的编制；在上半年结束之日起两个月内完成基金中期报告的编制；在每年结束之日起三个月内完成基金年度报告的编制。基金年度报告的财务会计报告应当经过审计。基金合同生效不足两个月的，基金管理人可以不编制当期季度报告、中期报告或者年度报告。</w:t>
      </w:r>
    </w:p>
    <w:p w14:paraId="49EE47A1"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2）报表的复核</w:t>
      </w:r>
    </w:p>
    <w:p w14:paraId="553ECF84"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65ABE799"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基金管理人应留足充分的时间，便于基金托管人复核相关报表及报告</w:t>
      </w:r>
      <w:r>
        <w:rPr>
          <w:rFonts w:asciiTheme="minorEastAsia" w:hAnsiTheme="minorEastAsia" w:cs="Arial" w:hint="eastAsia"/>
          <w:sz w:val="24"/>
          <w:szCs w:val="24"/>
        </w:rPr>
        <w:t>。</w:t>
      </w:r>
    </w:p>
    <w:p w14:paraId="0EE0C0F6" w14:textId="77777777" w:rsidR="0046184B"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六、基金份额持有人名册的保管</w:t>
      </w:r>
    </w:p>
    <w:p w14:paraId="5F5751D1"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基金份额持有人名册至少应包括基金份额持有人的名称和持有的基金份额。基金份额持有人名册由基金登记机构根据基金管理人的指令编制和保管，基金管理人和基金托管人应分别保管基金份额持有人名册。保管方式可以采用电子或文档的形式，保存期不少于15年。如不能妥善保管，则按相关法规承担责任。</w:t>
      </w:r>
    </w:p>
    <w:p w14:paraId="33EA9E76" w14:textId="77777777" w:rsidR="0046184B" w:rsidRDefault="00000000">
      <w:pPr>
        <w:adjustRightInd w:val="0"/>
        <w:snapToGrid w:val="0"/>
        <w:spacing w:line="360" w:lineRule="auto"/>
        <w:ind w:firstLineChars="200" w:firstLine="480"/>
        <w:rPr>
          <w:rFonts w:asciiTheme="minorEastAsia" w:hAnsiTheme="minorEastAsia" w:cs="Arial" w:hint="eastAsia"/>
          <w:sz w:val="24"/>
          <w:szCs w:val="24"/>
        </w:rPr>
      </w:pPr>
      <w:r>
        <w:rPr>
          <w:rFonts w:ascii="宋体" w:hAnsi="宋体" w:hint="eastAsia"/>
          <w:sz w:val="24"/>
          <w:szCs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r>
        <w:rPr>
          <w:rFonts w:asciiTheme="minorEastAsia" w:hAnsiTheme="minorEastAsia" w:cs="Arial" w:hint="eastAsia"/>
          <w:sz w:val="24"/>
          <w:szCs w:val="24"/>
        </w:rPr>
        <w:t>。</w:t>
      </w:r>
    </w:p>
    <w:p w14:paraId="4ACDDF0C" w14:textId="77777777" w:rsidR="0046184B"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七、争议解决方式</w:t>
      </w:r>
    </w:p>
    <w:p w14:paraId="56F2A274"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因本协议产生或与之相关的争议，双方当事人应通过协商、调解解决，协商、调解不能解决的，任何一方均有权将争议提交华南国际经济贸易仲裁委员会，仲裁地点为深圳市，按照华南国际经济贸易仲裁委员会届时有效的仲裁规则进行仲裁。仲裁裁决是终局的，对当事人均有约束力，仲裁费用由败诉方承担</w:t>
      </w:r>
      <w:r>
        <w:rPr>
          <w:rFonts w:asciiTheme="minorEastAsia" w:hAnsiTheme="minorEastAsia" w:cs="Times New Roman" w:hint="eastAsia"/>
          <w:sz w:val="24"/>
          <w:szCs w:val="24"/>
        </w:rPr>
        <w:t>。</w:t>
      </w:r>
    </w:p>
    <w:p w14:paraId="354F26D7"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争议处理期间，双方当事人应恪守基金管理人和基金托管人职责，各自继续忠实、勤勉、尽责地履行基金合同和本托管协议规定的义务，维护基金份额持有人的合法权益</w:t>
      </w:r>
      <w:r>
        <w:rPr>
          <w:rFonts w:asciiTheme="minorEastAsia" w:hAnsiTheme="minorEastAsia" w:cs="Times New Roman" w:hint="eastAsia"/>
          <w:sz w:val="24"/>
          <w:szCs w:val="24"/>
        </w:rPr>
        <w:t>。</w:t>
      </w:r>
    </w:p>
    <w:p w14:paraId="3891D2C2"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本协议受中国法律（不含港澳台立法）管辖</w:t>
      </w:r>
      <w:r>
        <w:rPr>
          <w:rFonts w:asciiTheme="minorEastAsia" w:hAnsiTheme="minorEastAsia" w:cs="Times New Roman" w:hint="eastAsia"/>
          <w:sz w:val="24"/>
          <w:szCs w:val="24"/>
        </w:rPr>
        <w:t>。</w:t>
      </w:r>
    </w:p>
    <w:p w14:paraId="4D4F2F59" w14:textId="77777777" w:rsidR="0046184B" w:rsidRDefault="00000000">
      <w:pPr>
        <w:adjustRightInd w:val="0"/>
        <w:snapToGrid w:val="0"/>
        <w:spacing w:line="360" w:lineRule="auto"/>
        <w:ind w:firstLineChars="200" w:firstLine="482"/>
        <w:rPr>
          <w:rFonts w:asciiTheme="minorEastAsia" w:hAnsiTheme="minorEastAsia" w:cs="Arial" w:hint="eastAsia"/>
          <w:b/>
          <w:sz w:val="24"/>
          <w:szCs w:val="24"/>
        </w:rPr>
      </w:pPr>
      <w:r>
        <w:rPr>
          <w:rFonts w:asciiTheme="minorEastAsia" w:hAnsiTheme="minorEastAsia" w:cs="Arial" w:hint="eastAsia"/>
          <w:b/>
          <w:sz w:val="24"/>
          <w:szCs w:val="24"/>
        </w:rPr>
        <w:t>八、</w:t>
      </w:r>
      <w:r>
        <w:rPr>
          <w:rFonts w:asciiTheme="minorEastAsia" w:hAnsiTheme="minorEastAsia" w:cs="Times New Roman" w:hint="eastAsia"/>
          <w:b/>
          <w:color w:val="000000"/>
          <w:sz w:val="24"/>
          <w:szCs w:val="24"/>
        </w:rPr>
        <w:t>托管协议的变更、终止与基金财产的清算</w:t>
      </w:r>
    </w:p>
    <w:p w14:paraId="71D83F1F"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（一）托管协议的变更程序</w:t>
      </w:r>
    </w:p>
    <w:p w14:paraId="0FFA87A5"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lastRenderedPageBreak/>
        <w:t>本协议双方当事人经协商一致，可以对协议进行修改。修改后的新协议，其内容不得与基金合同的规定有任何冲突。基金托管协议的变更报中国证监会备案。</w:t>
      </w:r>
    </w:p>
    <w:p w14:paraId="19327054"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（二）基金托管协议终止出现的情形</w:t>
      </w:r>
    </w:p>
    <w:p w14:paraId="3F0C0083"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1．基金合同终止；</w:t>
      </w:r>
    </w:p>
    <w:p w14:paraId="4A7C6BB2"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2．基金托管人解散、依法被撤销、破产或由其他基金托管人接管基金资产；</w:t>
      </w:r>
    </w:p>
    <w:p w14:paraId="223C57CB"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3．基金管理人解散、依法被撤销、破产或由其他基金管理人接管基金管理权；</w:t>
      </w:r>
    </w:p>
    <w:p w14:paraId="0000CF35"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4．发生法律法规或基金合同规定的终止事项。</w:t>
      </w:r>
    </w:p>
    <w:p w14:paraId="3A19CA2B" w14:textId="77777777" w:rsidR="0046184B" w:rsidRDefault="00000000">
      <w:pPr>
        <w:spacing w:line="360" w:lineRule="auto"/>
        <w:ind w:firstLineChars="200" w:firstLine="480"/>
        <w:rPr>
          <w:rFonts w:ascii="宋体" w:hAnsi="宋体" w:hint="eastAsia"/>
          <w:sz w:val="24"/>
          <w:szCs w:val="24"/>
        </w:rPr>
      </w:pPr>
      <w:r>
        <w:rPr>
          <w:rFonts w:ascii="宋体" w:hAnsi="宋体" w:hint="eastAsia"/>
          <w:sz w:val="24"/>
          <w:szCs w:val="24"/>
        </w:rPr>
        <w:t>（三）基金财产的清算</w:t>
      </w:r>
    </w:p>
    <w:p w14:paraId="0A6DAA05" w14:textId="77777777" w:rsidR="0046184B" w:rsidRDefault="00000000">
      <w:pPr>
        <w:adjustRightInd w:val="0"/>
        <w:snapToGrid w:val="0"/>
        <w:spacing w:line="360" w:lineRule="auto"/>
        <w:ind w:firstLineChars="200" w:firstLine="480"/>
        <w:rPr>
          <w:rFonts w:asciiTheme="minorEastAsia" w:hAnsiTheme="minorEastAsia" w:cs="Times New Roman" w:hint="eastAsia"/>
          <w:sz w:val="24"/>
          <w:szCs w:val="24"/>
        </w:rPr>
      </w:pPr>
      <w:r>
        <w:rPr>
          <w:rFonts w:ascii="宋体" w:hAnsi="宋体" w:hint="eastAsia"/>
          <w:sz w:val="24"/>
          <w:szCs w:val="24"/>
        </w:rPr>
        <w:t>基金管理人与基金托管人按照《基金合同》的约定处理基金财产的清算</w:t>
      </w:r>
      <w:r>
        <w:rPr>
          <w:rFonts w:asciiTheme="minorEastAsia" w:hAnsiTheme="minorEastAsia" w:cs="Times New Roman" w:hint="eastAsia"/>
          <w:sz w:val="24"/>
          <w:szCs w:val="24"/>
        </w:rPr>
        <w:t>。</w:t>
      </w:r>
    </w:p>
    <w:p w14:paraId="35012321" w14:textId="77777777" w:rsidR="0046184B" w:rsidRDefault="0046184B">
      <w:pPr>
        <w:keepNext/>
        <w:keepLines/>
        <w:tabs>
          <w:tab w:val="center" w:pos="4364"/>
        </w:tabs>
        <w:autoSpaceDE w:val="0"/>
        <w:autoSpaceDN w:val="0"/>
        <w:adjustRightInd w:val="0"/>
        <w:snapToGrid w:val="0"/>
        <w:spacing w:line="360" w:lineRule="auto"/>
        <w:ind w:firstLineChars="150" w:firstLine="361"/>
        <w:textAlignment w:val="baseline"/>
        <w:outlineLvl w:val="0"/>
        <w:rPr>
          <w:rFonts w:asciiTheme="minorEastAsia" w:hAnsiTheme="minorEastAsia" w:cs="Times New Roman" w:hint="eastAsia"/>
          <w:b/>
          <w:kern w:val="0"/>
          <w:sz w:val="24"/>
          <w:szCs w:val="24"/>
        </w:rPr>
        <w:sectPr w:rsidR="0046184B">
          <w:footerReference w:type="default" r:id="rId40"/>
          <w:pgSz w:w="11906" w:h="16838"/>
          <w:pgMar w:top="1440" w:right="1800" w:bottom="1440" w:left="1800" w:header="851" w:footer="992" w:gutter="0"/>
          <w:pgNumType w:chapStyle="1"/>
          <w:cols w:space="720"/>
          <w:docGrid w:type="lines" w:linePitch="312"/>
        </w:sectPr>
      </w:pPr>
      <w:bookmarkStart w:id="399" w:name="_Toc416264555"/>
      <w:bookmarkStart w:id="400" w:name="_Toc12357176"/>
      <w:bookmarkStart w:id="401" w:name="_Toc147463123"/>
      <w:bookmarkStart w:id="402" w:name="_Toc263092328"/>
      <w:bookmarkStart w:id="403" w:name="_Toc21073396"/>
      <w:bookmarkStart w:id="404" w:name="_Toc214873621"/>
      <w:bookmarkStart w:id="405" w:name="_Toc21983"/>
      <w:bookmarkStart w:id="406" w:name="_Toc352229767"/>
      <w:bookmarkStart w:id="407" w:name="_Toc25651"/>
      <w:bookmarkStart w:id="408" w:name="_Toc8636"/>
      <w:bookmarkStart w:id="409" w:name="_Toc7288"/>
      <w:bookmarkStart w:id="410" w:name="_Toc123102468"/>
      <w:bookmarkStart w:id="411" w:name="_Toc6202"/>
      <w:bookmarkStart w:id="412" w:name="_Toc123051467"/>
      <w:bookmarkStart w:id="413" w:name="_Toc1790"/>
      <w:bookmarkStart w:id="414" w:name="_Toc23999"/>
      <w:bookmarkStart w:id="415" w:name="_Toc6110"/>
      <w:bookmarkStart w:id="416" w:name="_Toc141703902"/>
      <w:bookmarkStart w:id="417" w:name="_Toc3319"/>
      <w:bookmarkStart w:id="418" w:name="_Toc123112249"/>
      <w:bookmarkStart w:id="419" w:name="_Toc24923"/>
      <w:bookmarkStart w:id="420" w:name="_Toc98560366"/>
      <w:bookmarkStart w:id="421" w:name="_Toc30350"/>
      <w:bookmarkStart w:id="422" w:name="_Toc139991751"/>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14:paraId="2DB6F972" w14:textId="77777777" w:rsidR="0046184B" w:rsidRDefault="00000000">
      <w:pPr>
        <w:pStyle w:val="1"/>
        <w:jc w:val="center"/>
        <w:rPr>
          <w:sz w:val="30"/>
          <w:szCs w:val="30"/>
        </w:rPr>
      </w:pPr>
      <w:bookmarkStart w:id="423" w:name="_Toc37770223"/>
      <w:r>
        <w:rPr>
          <w:rFonts w:hint="eastAsia"/>
          <w:sz w:val="30"/>
          <w:szCs w:val="30"/>
        </w:rPr>
        <w:lastRenderedPageBreak/>
        <w:t>第二十部分</w:t>
      </w:r>
      <w:r>
        <w:rPr>
          <w:sz w:val="30"/>
          <w:szCs w:val="30"/>
        </w:rPr>
        <w:t xml:space="preserve">  </w:t>
      </w:r>
      <w:r>
        <w:rPr>
          <w:rFonts w:hint="eastAsia"/>
          <w:sz w:val="30"/>
          <w:szCs w:val="30"/>
        </w:rPr>
        <w:t>对基金份额持有人的服务</w:t>
      </w:r>
      <w:bookmarkEnd w:id="423"/>
    </w:p>
    <w:p w14:paraId="5F8C6873"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288FDC0B"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（一）电话人工咨询服务</w:t>
      </w:r>
    </w:p>
    <w:p w14:paraId="31F96ACA"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48828439"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（二）自助查询服务</w:t>
      </w:r>
    </w:p>
    <w:p w14:paraId="52176B6D"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678123F0"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（三）邮件咨询服务</w:t>
      </w:r>
    </w:p>
    <w:p w14:paraId="604CAB3E"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7852496E"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（四）免费信息订阅服务</w:t>
      </w:r>
    </w:p>
    <w:p w14:paraId="07D7EDFC"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为了给投资者带来良好的服务体验，基金管理人除了交易确认短信外，提供免费信息订阅服务。投资人可以通过拨打基金管理人客服热线提交信息定制申请，在申请获基金管理人确认后，基金管理人将通过手机短信、电子邮件等方式为客户发送所定制的信息。可定制的信息包括：月度电子对账单、持有基金周末净值等信息。基金管理人将根据业务发展需要和实际情况，适时调整发送的定制信息内容。</w:t>
      </w:r>
    </w:p>
    <w:p w14:paraId="01D19B1E"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（五）客户投诉受理服务</w:t>
      </w:r>
    </w:p>
    <w:p w14:paraId="613874B6"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投资人可以通过客服热线、书信、电子邮件等渠道，对基金管理人和销售机构所提供的服务进行投诉。基金管理人承诺在 20个工作日之内对基金投资人的投诉做出回复。</w:t>
      </w:r>
    </w:p>
    <w:p w14:paraId="4DE24768"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 xml:space="preserve">（六）基金管理人联系方式 </w:t>
      </w:r>
    </w:p>
    <w:p w14:paraId="7CDA30BA"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基金管理人网址： www.furamc.com.cn</w:t>
      </w:r>
    </w:p>
    <w:p w14:paraId="598C4881"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电子信箱：service@furamc.com.cn</w:t>
      </w:r>
    </w:p>
    <w:p w14:paraId="75C65D4B"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客服热线：4006855600</w:t>
      </w:r>
    </w:p>
    <w:p w14:paraId="55F5FDAE"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lastRenderedPageBreak/>
        <w:t>客户服务部门地址：深圳市福田区八卦四路52号安吉尔大厦24层，富荣基金管理有限公司客户服务部门（收）</w:t>
      </w:r>
    </w:p>
    <w:p w14:paraId="5911EABB"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邮编：518038</w:t>
      </w:r>
    </w:p>
    <w:p w14:paraId="1F66DEB4" w14:textId="77777777" w:rsidR="0046184B" w:rsidRDefault="00000000">
      <w:pPr>
        <w:spacing w:line="360" w:lineRule="auto"/>
        <w:ind w:firstLineChars="200" w:firstLine="480"/>
        <w:rPr>
          <w:rFonts w:asciiTheme="minorEastAsia" w:hAnsiTheme="minorEastAsia" w:cs="Arial" w:hint="eastAsia"/>
          <w:sz w:val="24"/>
          <w:szCs w:val="24"/>
        </w:rPr>
      </w:pPr>
      <w:r>
        <w:rPr>
          <w:rFonts w:asciiTheme="minorEastAsia" w:hAnsiTheme="minorEastAsia" w:cs="Arial" w:hint="eastAsia"/>
          <w:sz w:val="24"/>
          <w:szCs w:val="24"/>
        </w:rPr>
        <w:t>（七）如本招募说明书存在任何您/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p>
    <w:p w14:paraId="487A5FE7" w14:textId="77777777" w:rsidR="0046184B" w:rsidRDefault="00000000">
      <w:pPr>
        <w:pStyle w:val="1"/>
        <w:jc w:val="center"/>
        <w:rPr>
          <w:rFonts w:asciiTheme="minorEastAsia" w:hAnsiTheme="minorEastAsia" w:cs="Arial" w:hint="eastAsia"/>
          <w:szCs w:val="24"/>
        </w:rPr>
      </w:pPr>
      <w:r>
        <w:rPr>
          <w:rFonts w:asciiTheme="minorEastAsia" w:hAnsiTheme="minorEastAsia" w:cs="Arial"/>
          <w:szCs w:val="24"/>
        </w:rPr>
        <w:br w:type="page"/>
      </w:r>
    </w:p>
    <w:p w14:paraId="19BE09D2" w14:textId="77777777" w:rsidR="0046184B" w:rsidRDefault="00000000">
      <w:pPr>
        <w:pStyle w:val="1"/>
        <w:jc w:val="center"/>
      </w:pPr>
      <w:bookmarkStart w:id="424" w:name="_Toc30359"/>
      <w:bookmarkStart w:id="425" w:name="_Toc520207207"/>
      <w:bookmarkStart w:id="426" w:name="_Toc256666809"/>
      <w:bookmarkStart w:id="427" w:name="_Toc482624810"/>
      <w:bookmarkStart w:id="428" w:name="_Toc256666929"/>
      <w:bookmarkStart w:id="429" w:name="_Toc521338342"/>
      <w:bookmarkStart w:id="430" w:name="_Toc37770224"/>
      <w:bookmarkStart w:id="431" w:name="_Toc263092329"/>
      <w:bookmarkStart w:id="432" w:name="_Toc214873622"/>
      <w:bookmarkStart w:id="433" w:name="_Toc416264556"/>
      <w:bookmarkStart w:id="434" w:name="_Toc530223198"/>
      <w:bookmarkEnd w:id="399"/>
      <w:bookmarkEnd w:id="400"/>
      <w:bookmarkEnd w:id="401"/>
      <w:bookmarkEnd w:id="402"/>
      <w:bookmarkEnd w:id="403"/>
      <w:bookmarkEnd w:id="404"/>
      <w:r>
        <w:rPr>
          <w:rFonts w:hint="eastAsia"/>
          <w:sz w:val="30"/>
          <w:szCs w:val="30"/>
        </w:rPr>
        <w:lastRenderedPageBreak/>
        <w:t xml:space="preserve">第二十一部分  </w:t>
      </w:r>
      <w:bookmarkEnd w:id="424"/>
      <w:bookmarkEnd w:id="425"/>
      <w:bookmarkEnd w:id="426"/>
      <w:bookmarkEnd w:id="427"/>
      <w:bookmarkEnd w:id="428"/>
      <w:bookmarkEnd w:id="429"/>
      <w:r>
        <w:rPr>
          <w:rFonts w:hint="eastAsia"/>
          <w:sz w:val="30"/>
          <w:szCs w:val="30"/>
        </w:rPr>
        <w:t>其他应披露事项</w:t>
      </w:r>
      <w:bookmarkEnd w:id="430"/>
    </w:p>
    <w:tbl>
      <w:tblPr>
        <w:tblpPr w:leftFromText="180" w:rightFromText="180" w:vertAnchor="text" w:tblpY="1"/>
        <w:tblOverlap w:val="never"/>
        <w:tblW w:w="81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9"/>
        <w:gridCol w:w="1662"/>
      </w:tblGrid>
      <w:tr w:rsidR="0046184B" w14:paraId="31DB2E40" w14:textId="77777777">
        <w:trPr>
          <w:trHeight w:val="382"/>
        </w:trPr>
        <w:tc>
          <w:tcPr>
            <w:tcW w:w="817" w:type="dxa"/>
            <w:tcBorders>
              <w:top w:val="single" w:sz="4" w:space="0" w:color="auto"/>
              <w:left w:val="single" w:sz="4" w:space="0" w:color="auto"/>
              <w:bottom w:val="single" w:sz="4" w:space="0" w:color="auto"/>
              <w:right w:val="single" w:sz="4" w:space="0" w:color="auto"/>
            </w:tcBorders>
          </w:tcPr>
          <w:p w14:paraId="2A8B7C28" w14:textId="77777777" w:rsidR="0046184B" w:rsidRDefault="00000000">
            <w:pPr>
              <w:jc w:val="center"/>
              <w:rPr>
                <w:rFonts w:ascii="宋体" w:hAnsi="宋体" w:hint="eastAsia"/>
                <w:szCs w:val="21"/>
              </w:rPr>
            </w:pPr>
            <w:r>
              <w:rPr>
                <w:rFonts w:asciiTheme="minorEastAsia" w:hAnsiTheme="minorEastAsia" w:cs="Arial" w:hint="eastAsia"/>
                <w:sz w:val="24"/>
                <w:szCs w:val="24"/>
              </w:rPr>
              <w:t>序号</w:t>
            </w:r>
          </w:p>
        </w:tc>
        <w:tc>
          <w:tcPr>
            <w:tcW w:w="5709" w:type="dxa"/>
            <w:tcBorders>
              <w:top w:val="single" w:sz="4" w:space="0" w:color="auto"/>
              <w:left w:val="single" w:sz="4" w:space="0" w:color="auto"/>
              <w:bottom w:val="single" w:sz="4" w:space="0" w:color="auto"/>
              <w:right w:val="single" w:sz="4" w:space="0" w:color="auto"/>
            </w:tcBorders>
          </w:tcPr>
          <w:p w14:paraId="4426CD38" w14:textId="77777777" w:rsidR="0046184B" w:rsidRDefault="00000000">
            <w:pPr>
              <w:jc w:val="center"/>
              <w:rPr>
                <w:rFonts w:ascii="宋体" w:hAnsi="宋体" w:hint="eastAsia"/>
                <w:szCs w:val="21"/>
              </w:rPr>
            </w:pPr>
            <w:r>
              <w:rPr>
                <w:rFonts w:asciiTheme="minorEastAsia" w:hAnsiTheme="minorEastAsia" w:cs="Arial" w:hint="eastAsia"/>
                <w:sz w:val="24"/>
                <w:szCs w:val="24"/>
              </w:rPr>
              <w:t>公告事项</w:t>
            </w:r>
          </w:p>
        </w:tc>
        <w:tc>
          <w:tcPr>
            <w:tcW w:w="1662" w:type="dxa"/>
            <w:tcBorders>
              <w:top w:val="single" w:sz="4" w:space="0" w:color="auto"/>
              <w:left w:val="single" w:sz="4" w:space="0" w:color="auto"/>
              <w:bottom w:val="single" w:sz="4" w:space="0" w:color="auto"/>
              <w:right w:val="single" w:sz="4" w:space="0" w:color="auto"/>
            </w:tcBorders>
          </w:tcPr>
          <w:p w14:paraId="1F9BAA26" w14:textId="77777777" w:rsidR="0046184B" w:rsidRDefault="00000000">
            <w:pPr>
              <w:jc w:val="center"/>
              <w:rPr>
                <w:rFonts w:ascii="宋体" w:hAnsi="宋体" w:hint="eastAsia"/>
                <w:szCs w:val="21"/>
              </w:rPr>
            </w:pPr>
            <w:r>
              <w:rPr>
                <w:rFonts w:asciiTheme="minorEastAsia" w:hAnsiTheme="minorEastAsia" w:cs="Arial" w:hint="eastAsia"/>
                <w:sz w:val="24"/>
                <w:szCs w:val="24"/>
              </w:rPr>
              <w:t>披露日期</w:t>
            </w:r>
          </w:p>
        </w:tc>
      </w:tr>
      <w:tr w:rsidR="0046184B" w14:paraId="367B95CC"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08A1ACD"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1</w:t>
            </w:r>
          </w:p>
        </w:tc>
        <w:tc>
          <w:tcPr>
            <w:tcW w:w="5709" w:type="dxa"/>
            <w:tcBorders>
              <w:top w:val="single" w:sz="4" w:space="0" w:color="auto"/>
              <w:left w:val="nil"/>
              <w:bottom w:val="single" w:sz="4" w:space="0" w:color="auto"/>
              <w:right w:val="single" w:sz="4" w:space="0" w:color="auto"/>
            </w:tcBorders>
            <w:shd w:val="clear" w:color="auto" w:fill="auto"/>
          </w:tcPr>
          <w:p w14:paraId="0D33043D"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1</w:t>
            </w:r>
            <w:r>
              <w:rPr>
                <w:rFonts w:asciiTheme="minorEastAsia" w:hAnsiTheme="minorEastAsia" w:cs="Arial" w:hint="eastAsia"/>
                <w:sz w:val="24"/>
                <w:szCs w:val="24"/>
              </w:rPr>
              <w:t>季度报告提示性公告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793662DC"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2023-04-24</w:t>
            </w:r>
          </w:p>
        </w:tc>
      </w:tr>
      <w:tr w:rsidR="0046184B" w14:paraId="6BCAB3E7"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E2E80F6"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2</w:t>
            </w:r>
          </w:p>
        </w:tc>
        <w:tc>
          <w:tcPr>
            <w:tcW w:w="5709" w:type="dxa"/>
            <w:tcBorders>
              <w:top w:val="single" w:sz="4" w:space="0" w:color="auto"/>
              <w:left w:val="nil"/>
              <w:bottom w:val="single" w:sz="4" w:space="0" w:color="auto"/>
              <w:right w:val="single" w:sz="4" w:space="0" w:color="auto"/>
            </w:tcBorders>
            <w:shd w:val="clear" w:color="auto" w:fill="auto"/>
          </w:tcPr>
          <w:p w14:paraId="19162CA5"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富荣基金管理有限公司关于旗下部分公开募集证券投资基金更新招募说明书及产品资料概要的提示性公告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2BB702A"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2023-05-19</w:t>
            </w:r>
          </w:p>
        </w:tc>
      </w:tr>
      <w:tr w:rsidR="0046184B" w14:paraId="0A65A314"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5A648B0C"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3</w:t>
            </w:r>
          </w:p>
        </w:tc>
        <w:tc>
          <w:tcPr>
            <w:tcW w:w="5709" w:type="dxa"/>
            <w:tcBorders>
              <w:top w:val="single" w:sz="4" w:space="0" w:color="auto"/>
              <w:left w:val="nil"/>
              <w:bottom w:val="single" w:sz="4" w:space="0" w:color="auto"/>
              <w:right w:val="single" w:sz="4" w:space="0" w:color="auto"/>
            </w:tcBorders>
            <w:shd w:val="clear" w:color="auto" w:fill="auto"/>
          </w:tcPr>
          <w:p w14:paraId="5E372BF1"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富荣基金管理有限公司关于总经理代为履行督察长职务的公告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59D9B90"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2023-06-14</w:t>
            </w:r>
          </w:p>
        </w:tc>
      </w:tr>
      <w:tr w:rsidR="0046184B" w14:paraId="6A3C87FF"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82DFFD8"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4</w:t>
            </w:r>
          </w:p>
        </w:tc>
        <w:tc>
          <w:tcPr>
            <w:tcW w:w="5709" w:type="dxa"/>
            <w:tcBorders>
              <w:top w:val="single" w:sz="4" w:space="0" w:color="auto"/>
              <w:left w:val="nil"/>
              <w:bottom w:val="single" w:sz="4" w:space="0" w:color="auto"/>
              <w:right w:val="single" w:sz="4" w:space="0" w:color="auto"/>
            </w:tcBorders>
            <w:shd w:val="clear" w:color="auto" w:fill="auto"/>
          </w:tcPr>
          <w:p w14:paraId="17BCE98C"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富荣基金管理有限公司高级管理人员变更公告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45585EE0"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2023-06-15</w:t>
            </w:r>
          </w:p>
        </w:tc>
      </w:tr>
      <w:tr w:rsidR="0046184B" w14:paraId="754C8336"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F3A2C90"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5</w:t>
            </w:r>
          </w:p>
        </w:tc>
        <w:tc>
          <w:tcPr>
            <w:tcW w:w="5709" w:type="dxa"/>
            <w:tcBorders>
              <w:top w:val="single" w:sz="4" w:space="0" w:color="auto"/>
              <w:left w:val="nil"/>
              <w:bottom w:val="single" w:sz="4" w:space="0" w:color="auto"/>
              <w:right w:val="single" w:sz="4" w:space="0" w:color="auto"/>
            </w:tcBorders>
            <w:shd w:val="clear" w:color="auto" w:fill="auto"/>
          </w:tcPr>
          <w:p w14:paraId="65CC4B81"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富荣基金管理有限公司基金行业高级管理人员变更公告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697980BB"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2023-06-17</w:t>
            </w:r>
          </w:p>
        </w:tc>
      </w:tr>
      <w:tr w:rsidR="0046184B" w14:paraId="376B80C6"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1352A36F"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6</w:t>
            </w:r>
          </w:p>
        </w:tc>
        <w:tc>
          <w:tcPr>
            <w:tcW w:w="5709" w:type="dxa"/>
            <w:tcBorders>
              <w:top w:val="single" w:sz="4" w:space="0" w:color="auto"/>
              <w:left w:val="nil"/>
              <w:bottom w:val="single" w:sz="4" w:space="0" w:color="auto"/>
              <w:right w:val="single" w:sz="4" w:space="0" w:color="auto"/>
            </w:tcBorders>
            <w:shd w:val="clear" w:color="auto" w:fill="auto"/>
          </w:tcPr>
          <w:p w14:paraId="645493B1"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2</w:t>
            </w:r>
            <w:r>
              <w:rPr>
                <w:rFonts w:asciiTheme="minorEastAsia" w:hAnsiTheme="minorEastAsia" w:cs="Arial" w:hint="eastAsia"/>
                <w:sz w:val="24"/>
                <w:szCs w:val="24"/>
              </w:rPr>
              <w:t>季度报告提示性公告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1BB2DA40"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2023-07-21</w:t>
            </w:r>
          </w:p>
        </w:tc>
      </w:tr>
      <w:tr w:rsidR="0046184B" w14:paraId="68716679"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237F642"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7</w:t>
            </w:r>
          </w:p>
        </w:tc>
        <w:tc>
          <w:tcPr>
            <w:tcW w:w="5709" w:type="dxa"/>
            <w:tcBorders>
              <w:top w:val="single" w:sz="4" w:space="0" w:color="auto"/>
              <w:left w:val="nil"/>
              <w:bottom w:val="single" w:sz="4" w:space="0" w:color="auto"/>
              <w:right w:val="single" w:sz="4" w:space="0" w:color="auto"/>
            </w:tcBorders>
            <w:shd w:val="clear" w:color="auto" w:fill="auto"/>
          </w:tcPr>
          <w:p w14:paraId="27EF2303"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年中期报告提示性公告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1C1EE62F"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2023-08-31</w:t>
            </w:r>
          </w:p>
        </w:tc>
      </w:tr>
      <w:tr w:rsidR="0046184B" w14:paraId="00239E7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1752225"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8</w:t>
            </w:r>
          </w:p>
        </w:tc>
        <w:tc>
          <w:tcPr>
            <w:tcW w:w="5709" w:type="dxa"/>
            <w:tcBorders>
              <w:top w:val="single" w:sz="4" w:space="0" w:color="auto"/>
              <w:left w:val="nil"/>
              <w:bottom w:val="single" w:sz="4" w:space="0" w:color="auto"/>
              <w:right w:val="single" w:sz="4" w:space="0" w:color="auto"/>
            </w:tcBorders>
            <w:shd w:val="clear" w:color="auto" w:fill="auto"/>
          </w:tcPr>
          <w:p w14:paraId="65ABDEC0"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富荣基金管理有限公司关于旗下基金新增上海大智慧基金销售有限公司为销售机构、开通基金定期定额投资业务和基金转换业务并参加申购及定期定额投资申购费率优惠活动的公告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D8D4884"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2023-09-08</w:t>
            </w:r>
          </w:p>
        </w:tc>
      </w:tr>
      <w:tr w:rsidR="0046184B" w14:paraId="55A13E30"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183CD2A"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9</w:t>
            </w:r>
          </w:p>
        </w:tc>
        <w:tc>
          <w:tcPr>
            <w:tcW w:w="5709" w:type="dxa"/>
            <w:tcBorders>
              <w:top w:val="single" w:sz="4" w:space="0" w:color="auto"/>
              <w:left w:val="nil"/>
              <w:bottom w:val="single" w:sz="4" w:space="0" w:color="auto"/>
              <w:right w:val="single" w:sz="4" w:space="0" w:color="auto"/>
            </w:tcBorders>
            <w:shd w:val="clear" w:color="auto" w:fill="auto"/>
          </w:tcPr>
          <w:p w14:paraId="6862C775"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富荣基金管理有限公司关于旗下基金新增上海华夏财富投资管理有限公司为销售机构、开通基金定期定额投资业务和基金转换业务并参加申购及定期定额投资申购费率优惠活动的公告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308ABDD4"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2023-10-13</w:t>
            </w:r>
          </w:p>
        </w:tc>
      </w:tr>
      <w:tr w:rsidR="0046184B" w14:paraId="06BC8EF8"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5DB9EEA"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10</w:t>
            </w:r>
          </w:p>
        </w:tc>
        <w:tc>
          <w:tcPr>
            <w:tcW w:w="5709" w:type="dxa"/>
            <w:tcBorders>
              <w:top w:val="single" w:sz="4" w:space="0" w:color="auto"/>
              <w:left w:val="nil"/>
              <w:bottom w:val="single" w:sz="4" w:space="0" w:color="auto"/>
              <w:right w:val="single" w:sz="4" w:space="0" w:color="auto"/>
            </w:tcBorders>
            <w:shd w:val="clear" w:color="auto" w:fill="auto"/>
          </w:tcPr>
          <w:p w14:paraId="756C4AED"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3</w:t>
            </w:r>
            <w:r>
              <w:rPr>
                <w:rFonts w:asciiTheme="minorEastAsia" w:hAnsiTheme="minorEastAsia" w:cs="Arial" w:hint="eastAsia"/>
                <w:sz w:val="24"/>
                <w:szCs w:val="24"/>
              </w:rPr>
              <w:t>季度报告提示性公告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568350B8"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2023-10-25</w:t>
            </w:r>
          </w:p>
        </w:tc>
      </w:tr>
      <w:tr w:rsidR="0046184B" w14:paraId="1D0DC89B"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0AC577B2"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11</w:t>
            </w:r>
          </w:p>
        </w:tc>
        <w:tc>
          <w:tcPr>
            <w:tcW w:w="5709" w:type="dxa"/>
            <w:tcBorders>
              <w:top w:val="single" w:sz="4" w:space="0" w:color="auto"/>
              <w:left w:val="nil"/>
              <w:bottom w:val="single" w:sz="4" w:space="0" w:color="auto"/>
              <w:right w:val="single" w:sz="4" w:space="0" w:color="auto"/>
            </w:tcBorders>
            <w:shd w:val="clear" w:color="auto" w:fill="auto"/>
          </w:tcPr>
          <w:p w14:paraId="548D9299"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富荣基金管理有限公司关于旗下基金新增上海</w:t>
            </w:r>
            <w:proofErr w:type="gramStart"/>
            <w:r>
              <w:rPr>
                <w:rFonts w:asciiTheme="minorEastAsia" w:hAnsiTheme="minorEastAsia" w:cs="Arial" w:hint="eastAsia"/>
                <w:sz w:val="24"/>
                <w:szCs w:val="24"/>
              </w:rPr>
              <w:t>中正达广基金</w:t>
            </w:r>
            <w:proofErr w:type="gramEnd"/>
            <w:r>
              <w:rPr>
                <w:rFonts w:asciiTheme="minorEastAsia" w:hAnsiTheme="minorEastAsia" w:cs="Arial" w:hint="eastAsia"/>
                <w:sz w:val="24"/>
                <w:szCs w:val="24"/>
              </w:rPr>
              <w:t>销售有限公司为销售机构、开通基金定期定额投资业务和基金转换业务并参加申购及定期定额投资申购费率优惠活动的公告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563DD47E"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2023-11-01</w:t>
            </w:r>
          </w:p>
        </w:tc>
      </w:tr>
      <w:tr w:rsidR="0046184B" w14:paraId="762ADD26"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34D5AC30"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12</w:t>
            </w:r>
          </w:p>
        </w:tc>
        <w:tc>
          <w:tcPr>
            <w:tcW w:w="5709" w:type="dxa"/>
            <w:tcBorders>
              <w:top w:val="single" w:sz="4" w:space="0" w:color="auto"/>
              <w:left w:val="nil"/>
              <w:bottom w:val="single" w:sz="4" w:space="0" w:color="auto"/>
              <w:right w:val="single" w:sz="4" w:space="0" w:color="auto"/>
            </w:tcBorders>
            <w:shd w:val="clear" w:color="auto" w:fill="auto"/>
          </w:tcPr>
          <w:p w14:paraId="043B8B07"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富荣基金管理有限公司关于提醒投资者防范不法分子假冒本公司名义从事诈骗活动的公告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7B5139FF"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2023-11-09</w:t>
            </w:r>
          </w:p>
        </w:tc>
      </w:tr>
      <w:tr w:rsidR="0046184B" w14:paraId="4B102FFF"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5730233"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13</w:t>
            </w:r>
          </w:p>
        </w:tc>
        <w:tc>
          <w:tcPr>
            <w:tcW w:w="5709" w:type="dxa"/>
            <w:tcBorders>
              <w:top w:val="single" w:sz="4" w:space="0" w:color="auto"/>
              <w:left w:val="nil"/>
              <w:bottom w:val="single" w:sz="4" w:space="0" w:color="auto"/>
              <w:right w:val="single" w:sz="4" w:space="0" w:color="auto"/>
            </w:tcBorders>
            <w:shd w:val="clear" w:color="auto" w:fill="auto"/>
          </w:tcPr>
          <w:p w14:paraId="08284110"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富荣基金管理有限公司关于提醒投资者防范不法分子假冒本公司名义从事诈骗活动的公告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B54B0D2"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2023-11-14</w:t>
            </w:r>
          </w:p>
        </w:tc>
      </w:tr>
      <w:tr w:rsidR="0046184B" w14:paraId="1BC9FB58"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70E1CF5"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14</w:t>
            </w:r>
          </w:p>
        </w:tc>
        <w:tc>
          <w:tcPr>
            <w:tcW w:w="5709" w:type="dxa"/>
            <w:tcBorders>
              <w:top w:val="single" w:sz="4" w:space="0" w:color="auto"/>
              <w:left w:val="nil"/>
              <w:bottom w:val="single" w:sz="4" w:space="0" w:color="auto"/>
              <w:right w:val="single" w:sz="4" w:space="0" w:color="auto"/>
            </w:tcBorders>
            <w:shd w:val="clear" w:color="auto" w:fill="auto"/>
          </w:tcPr>
          <w:p w14:paraId="0379BC3F"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富荣基金管理有限公司关于旗下基金</w:t>
            </w:r>
            <w:proofErr w:type="gramStart"/>
            <w:r>
              <w:rPr>
                <w:rFonts w:asciiTheme="minorEastAsia" w:hAnsiTheme="minorEastAsia" w:cs="Arial" w:hint="eastAsia"/>
                <w:sz w:val="24"/>
                <w:szCs w:val="24"/>
              </w:rPr>
              <w:t>新增国</w:t>
            </w:r>
            <w:proofErr w:type="gramEnd"/>
            <w:r>
              <w:rPr>
                <w:rFonts w:asciiTheme="minorEastAsia" w:hAnsiTheme="minorEastAsia" w:cs="Arial" w:hint="eastAsia"/>
                <w:sz w:val="24"/>
                <w:szCs w:val="24"/>
              </w:rPr>
              <w:t>金证券股份有限公司为销售机构、开通基金定期定额投资业务和基金转换业务并参加申购及定期定额投资申购费率优惠活动的公告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70377D2C"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2023-11-20</w:t>
            </w:r>
          </w:p>
        </w:tc>
      </w:tr>
      <w:tr w:rsidR="0046184B" w14:paraId="5304484E"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EBC2A46"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15</w:t>
            </w:r>
          </w:p>
        </w:tc>
        <w:tc>
          <w:tcPr>
            <w:tcW w:w="5709" w:type="dxa"/>
            <w:tcBorders>
              <w:top w:val="single" w:sz="4" w:space="0" w:color="auto"/>
              <w:left w:val="nil"/>
              <w:bottom w:val="single" w:sz="4" w:space="0" w:color="auto"/>
              <w:right w:val="single" w:sz="4" w:space="0" w:color="auto"/>
            </w:tcBorders>
            <w:shd w:val="clear" w:color="auto" w:fill="auto"/>
          </w:tcPr>
          <w:p w14:paraId="03AE87F7"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富荣基金管理有限公司关于督察</w:t>
            </w:r>
            <w:proofErr w:type="gramStart"/>
            <w:r>
              <w:rPr>
                <w:rFonts w:asciiTheme="minorEastAsia" w:hAnsiTheme="minorEastAsia" w:cs="Arial" w:hint="eastAsia"/>
                <w:sz w:val="24"/>
                <w:szCs w:val="24"/>
              </w:rPr>
              <w:t>长恢复</w:t>
            </w:r>
            <w:proofErr w:type="gramEnd"/>
            <w:r>
              <w:rPr>
                <w:rFonts w:asciiTheme="minorEastAsia" w:hAnsiTheme="minorEastAsia" w:cs="Arial" w:hint="eastAsia"/>
                <w:sz w:val="24"/>
                <w:szCs w:val="24"/>
              </w:rPr>
              <w:t>履行职务的公告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59A2BB9C"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2023-12-12</w:t>
            </w:r>
          </w:p>
        </w:tc>
      </w:tr>
      <w:tr w:rsidR="0046184B" w14:paraId="7187AC4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6656C31B"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16</w:t>
            </w:r>
          </w:p>
        </w:tc>
        <w:tc>
          <w:tcPr>
            <w:tcW w:w="5709" w:type="dxa"/>
            <w:tcBorders>
              <w:top w:val="single" w:sz="4" w:space="0" w:color="auto"/>
              <w:left w:val="nil"/>
              <w:bottom w:val="single" w:sz="4" w:space="0" w:color="auto"/>
              <w:right w:val="single" w:sz="4" w:space="0" w:color="auto"/>
            </w:tcBorders>
            <w:shd w:val="clear" w:color="auto" w:fill="auto"/>
          </w:tcPr>
          <w:p w14:paraId="2987DCCB"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富荣基金管理有限公司关于系统升级维护的公告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5C2E267F"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2023-12-14</w:t>
            </w:r>
          </w:p>
        </w:tc>
      </w:tr>
      <w:tr w:rsidR="0046184B" w14:paraId="7DA8A07A"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7CEA01D3"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17</w:t>
            </w:r>
          </w:p>
        </w:tc>
        <w:tc>
          <w:tcPr>
            <w:tcW w:w="5709" w:type="dxa"/>
            <w:tcBorders>
              <w:top w:val="single" w:sz="4" w:space="0" w:color="auto"/>
              <w:left w:val="nil"/>
              <w:bottom w:val="single" w:sz="4" w:space="0" w:color="auto"/>
              <w:right w:val="single" w:sz="4" w:space="0" w:color="auto"/>
            </w:tcBorders>
            <w:shd w:val="clear" w:color="auto" w:fill="auto"/>
          </w:tcPr>
          <w:p w14:paraId="38550599"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4</w:t>
            </w:r>
            <w:r>
              <w:rPr>
                <w:rFonts w:asciiTheme="minorEastAsia" w:hAnsiTheme="minorEastAsia" w:cs="Arial" w:hint="eastAsia"/>
                <w:sz w:val="24"/>
                <w:szCs w:val="24"/>
              </w:rPr>
              <w:t>季</w:t>
            </w:r>
            <w:r>
              <w:rPr>
                <w:rFonts w:asciiTheme="minorEastAsia" w:hAnsiTheme="minorEastAsia" w:cs="Arial" w:hint="eastAsia"/>
                <w:sz w:val="24"/>
                <w:szCs w:val="24"/>
              </w:rPr>
              <w:lastRenderedPageBreak/>
              <w:t>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30C4817F"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lastRenderedPageBreak/>
              <w:t>2024-01-22</w:t>
            </w:r>
          </w:p>
        </w:tc>
      </w:tr>
      <w:tr w:rsidR="0046184B" w14:paraId="4CBED182"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9216321"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18</w:t>
            </w:r>
          </w:p>
        </w:tc>
        <w:tc>
          <w:tcPr>
            <w:tcW w:w="5709" w:type="dxa"/>
            <w:tcBorders>
              <w:top w:val="single" w:sz="4" w:space="0" w:color="auto"/>
              <w:left w:val="nil"/>
              <w:bottom w:val="single" w:sz="4" w:space="0" w:color="auto"/>
              <w:right w:val="single" w:sz="4" w:space="0" w:color="auto"/>
            </w:tcBorders>
            <w:shd w:val="clear" w:color="auto" w:fill="auto"/>
          </w:tcPr>
          <w:p w14:paraId="20E4B7BD"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富荣基金管理有限公司关于旗下基金新增华西证券股份有限公司为销售机构、开通基金定期定额投资业务和基金转换业务并参加申购及定期定额投资申购费率优惠活动的公告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0169A3D5"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2024-02-22</w:t>
            </w:r>
          </w:p>
        </w:tc>
      </w:tr>
      <w:tr w:rsidR="0046184B" w14:paraId="28B0815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4F784BBB"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19</w:t>
            </w:r>
          </w:p>
        </w:tc>
        <w:tc>
          <w:tcPr>
            <w:tcW w:w="5709" w:type="dxa"/>
            <w:tcBorders>
              <w:top w:val="single" w:sz="4" w:space="0" w:color="auto"/>
              <w:left w:val="nil"/>
              <w:bottom w:val="single" w:sz="4" w:space="0" w:color="auto"/>
              <w:right w:val="single" w:sz="4" w:space="0" w:color="auto"/>
            </w:tcBorders>
            <w:shd w:val="clear" w:color="auto" w:fill="auto"/>
          </w:tcPr>
          <w:p w14:paraId="54FE32A1"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富荣基金管理有限公司关于董事变更的公告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36E92155"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2024-03-01</w:t>
            </w:r>
          </w:p>
        </w:tc>
      </w:tr>
      <w:tr w:rsidR="0046184B" w14:paraId="1EFDD284"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165F8B34"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20</w:t>
            </w:r>
          </w:p>
        </w:tc>
        <w:tc>
          <w:tcPr>
            <w:tcW w:w="5709" w:type="dxa"/>
            <w:tcBorders>
              <w:top w:val="single" w:sz="4" w:space="0" w:color="auto"/>
              <w:left w:val="nil"/>
              <w:bottom w:val="single" w:sz="4" w:space="0" w:color="auto"/>
              <w:right w:val="single" w:sz="4" w:space="0" w:color="auto"/>
            </w:tcBorders>
            <w:shd w:val="clear" w:color="auto" w:fill="auto"/>
          </w:tcPr>
          <w:p w14:paraId="6A6C0921"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富荣基金管理有限公司关于提醒投资者持续完善身份信息资料的公告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4DA71C84"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2024-03-20</w:t>
            </w:r>
          </w:p>
        </w:tc>
      </w:tr>
      <w:tr w:rsidR="0046184B" w14:paraId="53CAFEAD"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0A81CE46"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21</w:t>
            </w:r>
          </w:p>
        </w:tc>
        <w:tc>
          <w:tcPr>
            <w:tcW w:w="5709" w:type="dxa"/>
            <w:tcBorders>
              <w:top w:val="single" w:sz="4" w:space="0" w:color="auto"/>
              <w:left w:val="nil"/>
              <w:bottom w:val="single" w:sz="4" w:space="0" w:color="auto"/>
              <w:right w:val="single" w:sz="4" w:space="0" w:color="auto"/>
            </w:tcBorders>
            <w:shd w:val="clear" w:color="auto" w:fill="auto"/>
          </w:tcPr>
          <w:p w14:paraId="30D30F60"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富荣基金管理有限公司关于旗下基金新增上海中欧财富基金销售有限公司为销售机构、开通基金定期定额投资业务和基金转换业务并参加申购及定期定额投资申购费率优惠活动的公告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2C019557"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2024-03-29</w:t>
            </w:r>
          </w:p>
        </w:tc>
      </w:tr>
      <w:tr w:rsidR="0046184B" w14:paraId="30BC065B" w14:textId="77777777">
        <w:trPr>
          <w:trHeight w:val="261"/>
        </w:trPr>
        <w:tc>
          <w:tcPr>
            <w:tcW w:w="817" w:type="dxa"/>
            <w:tcBorders>
              <w:top w:val="single" w:sz="4" w:space="0" w:color="auto"/>
              <w:left w:val="single" w:sz="4" w:space="0" w:color="auto"/>
              <w:bottom w:val="single" w:sz="4" w:space="0" w:color="auto"/>
              <w:right w:val="single" w:sz="4" w:space="0" w:color="auto"/>
            </w:tcBorders>
          </w:tcPr>
          <w:p w14:paraId="2D99050C"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22</w:t>
            </w:r>
          </w:p>
        </w:tc>
        <w:tc>
          <w:tcPr>
            <w:tcW w:w="5709" w:type="dxa"/>
            <w:tcBorders>
              <w:top w:val="single" w:sz="4" w:space="0" w:color="auto"/>
              <w:left w:val="nil"/>
              <w:bottom w:val="single" w:sz="4" w:space="0" w:color="auto"/>
              <w:right w:val="single" w:sz="4" w:space="0" w:color="auto"/>
            </w:tcBorders>
            <w:shd w:val="clear" w:color="auto" w:fill="auto"/>
          </w:tcPr>
          <w:p w14:paraId="62635ACC" w14:textId="77777777" w:rsidR="0046184B" w:rsidRDefault="00000000">
            <w:pPr>
              <w:jc w:val="left"/>
              <w:rPr>
                <w:rFonts w:asciiTheme="minorEastAsia" w:hAnsiTheme="minorEastAsia" w:cs="Arial" w:hint="eastAsia"/>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年年度报告提示性公告</w:t>
            </w:r>
          </w:p>
        </w:tc>
        <w:tc>
          <w:tcPr>
            <w:tcW w:w="1662" w:type="dxa"/>
            <w:tcBorders>
              <w:top w:val="single" w:sz="4" w:space="0" w:color="auto"/>
              <w:left w:val="single" w:sz="4" w:space="0" w:color="auto"/>
              <w:bottom w:val="single" w:sz="4" w:space="0" w:color="auto"/>
              <w:right w:val="single" w:sz="4" w:space="0" w:color="auto"/>
            </w:tcBorders>
            <w:shd w:val="clear" w:color="auto" w:fill="auto"/>
          </w:tcPr>
          <w:p w14:paraId="189F4237" w14:textId="77777777" w:rsidR="0046184B" w:rsidRDefault="00000000">
            <w:pPr>
              <w:jc w:val="left"/>
              <w:rPr>
                <w:rFonts w:asciiTheme="minorEastAsia" w:hAnsiTheme="minorEastAsia" w:cs="Arial" w:hint="eastAsia"/>
                <w:sz w:val="24"/>
                <w:szCs w:val="24"/>
              </w:rPr>
            </w:pPr>
            <w:r>
              <w:rPr>
                <w:rFonts w:asciiTheme="minorEastAsia" w:hAnsiTheme="minorEastAsia" w:cs="Arial"/>
                <w:sz w:val="24"/>
                <w:szCs w:val="24"/>
              </w:rPr>
              <w:t>2024-03-30</w:t>
            </w:r>
          </w:p>
        </w:tc>
      </w:tr>
    </w:tbl>
    <w:p w14:paraId="384CAAC0" w14:textId="77777777" w:rsidR="0046184B" w:rsidRDefault="0046184B">
      <w:pPr>
        <w:rPr>
          <w:rFonts w:ascii="宋体" w:eastAsia="宋体" w:hAnsi="Times New Roman" w:cs="Times New Roman"/>
          <w:b/>
          <w:color w:val="000000"/>
          <w:kern w:val="0"/>
          <w:sz w:val="30"/>
          <w:szCs w:val="30"/>
        </w:rPr>
      </w:pPr>
    </w:p>
    <w:p w14:paraId="703F4B7C" w14:textId="77777777" w:rsidR="0046184B" w:rsidRDefault="00000000">
      <w:pPr>
        <w:pStyle w:val="1"/>
        <w:jc w:val="center"/>
        <w:rPr>
          <w:sz w:val="30"/>
          <w:szCs w:val="30"/>
        </w:rPr>
      </w:pPr>
      <w:r>
        <w:rPr>
          <w:sz w:val="30"/>
          <w:szCs w:val="30"/>
        </w:rPr>
        <w:br w:type="page"/>
      </w:r>
      <w:bookmarkStart w:id="435" w:name="_Toc37770225"/>
      <w:r>
        <w:rPr>
          <w:rFonts w:hint="eastAsia"/>
          <w:sz w:val="30"/>
          <w:szCs w:val="30"/>
        </w:rPr>
        <w:lastRenderedPageBreak/>
        <w:t>第二十二部分</w:t>
      </w:r>
      <w:r>
        <w:rPr>
          <w:sz w:val="30"/>
          <w:szCs w:val="30"/>
        </w:rPr>
        <w:t xml:space="preserve">  </w:t>
      </w:r>
      <w:r>
        <w:rPr>
          <w:rFonts w:hint="eastAsia"/>
          <w:sz w:val="30"/>
          <w:szCs w:val="30"/>
        </w:rPr>
        <w:t>招募说明书存放及查阅方式</w:t>
      </w:r>
      <w:bookmarkEnd w:id="431"/>
      <w:bookmarkEnd w:id="432"/>
      <w:bookmarkEnd w:id="433"/>
      <w:bookmarkEnd w:id="434"/>
      <w:bookmarkEnd w:id="435"/>
    </w:p>
    <w:p w14:paraId="473FB5AE"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7229A1C2"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422F8F9B" w14:textId="77777777" w:rsidR="0046184B" w:rsidRDefault="0046184B">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5932720D" w14:textId="77777777" w:rsidR="0046184B" w:rsidRDefault="0046184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hint="eastAsia"/>
          <w:b/>
          <w:kern w:val="0"/>
          <w:sz w:val="24"/>
          <w:szCs w:val="24"/>
        </w:rPr>
        <w:sectPr w:rsidR="0046184B">
          <w:footerReference w:type="default" r:id="rId41"/>
          <w:pgSz w:w="11906" w:h="16838"/>
          <w:pgMar w:top="1440" w:right="1800" w:bottom="1440" w:left="1800" w:header="851" w:footer="992" w:gutter="0"/>
          <w:cols w:space="425"/>
          <w:docGrid w:type="lines" w:linePitch="312"/>
        </w:sectPr>
      </w:pPr>
      <w:bookmarkStart w:id="436" w:name="_Toc416268879"/>
      <w:bookmarkStart w:id="437" w:name="_Toc263092330"/>
    </w:p>
    <w:p w14:paraId="2C072CEC" w14:textId="77777777" w:rsidR="0046184B" w:rsidRDefault="00000000">
      <w:pPr>
        <w:pStyle w:val="1"/>
        <w:jc w:val="center"/>
      </w:pPr>
      <w:bookmarkStart w:id="438" w:name="_Toc37770226"/>
      <w:bookmarkEnd w:id="61"/>
      <w:bookmarkEnd w:id="62"/>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36"/>
      <w:bookmarkEnd w:id="437"/>
      <w:r>
        <w:rPr>
          <w:sz w:val="30"/>
          <w:szCs w:val="30"/>
        </w:rPr>
        <w:lastRenderedPageBreak/>
        <w:t>第二十</w:t>
      </w:r>
      <w:r>
        <w:rPr>
          <w:rFonts w:hint="eastAsia"/>
          <w:sz w:val="30"/>
          <w:szCs w:val="30"/>
        </w:rPr>
        <w:t>三</w:t>
      </w:r>
      <w:r>
        <w:rPr>
          <w:sz w:val="30"/>
          <w:szCs w:val="30"/>
        </w:rPr>
        <w:t>部分  备查文件</w:t>
      </w:r>
      <w:bookmarkEnd w:id="438"/>
    </w:p>
    <w:p w14:paraId="2A5335E6"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以下备查文件存放在基金管理人的办公场所，在办公时间可供免费查阅。</w:t>
      </w:r>
    </w:p>
    <w:p w14:paraId="55477C10"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326F64E7"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（二）《富荣福锦混合型证券投资基金基金合同》 </w:t>
      </w:r>
    </w:p>
    <w:p w14:paraId="767ECBC1"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 xml:space="preserve">（三）《富荣福锦混合型证券投资基金托管协议》 </w:t>
      </w:r>
    </w:p>
    <w:p w14:paraId="795BA325"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（四）基金管理人业务资格批件、营业执照</w:t>
      </w:r>
    </w:p>
    <w:p w14:paraId="4B8EC258"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（五）基金托管人业务资格批件、营业执照</w:t>
      </w:r>
    </w:p>
    <w:p w14:paraId="3EC28635"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富荣福锦混合型证券投资基金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47A369BC"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hint="eastAsia"/>
          <w:kern w:val="0"/>
          <w:sz w:val="24"/>
          <w:szCs w:val="24"/>
        </w:rPr>
        <w:t>（七）中国证监会要求的其他文件</w:t>
      </w:r>
    </w:p>
    <w:p w14:paraId="631C19E7" w14:textId="77777777" w:rsidR="0046184B" w:rsidRDefault="00000000">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r>
        <w:rPr>
          <w:rFonts w:asciiTheme="minorEastAsia" w:hAnsiTheme="minorEastAsia" w:cs="Arial"/>
          <w:kern w:val="0"/>
          <w:sz w:val="24"/>
          <w:szCs w:val="24"/>
        </w:rPr>
        <w:t>查阅方式：投资者可在营业时间免费查阅，也可按工本费购买复印件。</w:t>
      </w:r>
    </w:p>
    <w:p w14:paraId="481A8D22" w14:textId="77777777" w:rsidR="0046184B" w:rsidRDefault="0046184B">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3DA51F81" w14:textId="77777777" w:rsidR="0046184B" w:rsidRDefault="0046184B">
      <w:pPr>
        <w:widowControl/>
        <w:adjustRightInd w:val="0"/>
        <w:snapToGrid w:val="0"/>
        <w:spacing w:line="360" w:lineRule="auto"/>
        <w:ind w:rightChars="-85" w:right="-178" w:firstLineChars="200" w:firstLine="480"/>
        <w:rPr>
          <w:rFonts w:asciiTheme="minorEastAsia" w:hAnsiTheme="minorEastAsia" w:cs="Arial" w:hint="eastAsia"/>
          <w:kern w:val="0"/>
          <w:sz w:val="24"/>
          <w:szCs w:val="24"/>
        </w:rPr>
      </w:pPr>
    </w:p>
    <w:p w14:paraId="02B65CA7"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290D1C68"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77077BED"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752A2223"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6C6CA068"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1E52B430"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65D75965"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118D6E3B"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79CA8E8B"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6ACB64C7"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17E610EB"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7023CD20" w14:textId="77777777" w:rsidR="0046184B" w:rsidRDefault="0046184B">
      <w:pPr>
        <w:widowControl/>
        <w:adjustRightInd w:val="0"/>
        <w:snapToGrid w:val="0"/>
        <w:spacing w:line="360" w:lineRule="auto"/>
        <w:ind w:rightChars="-85" w:right="-178" w:firstLineChars="200" w:firstLine="420"/>
        <w:rPr>
          <w:rFonts w:ascii="Arial" w:eastAsia="宋体" w:hAnsi="Arial" w:cs="Arial"/>
          <w:kern w:val="0"/>
          <w:szCs w:val="21"/>
        </w:rPr>
      </w:pPr>
    </w:p>
    <w:p w14:paraId="288148F3" w14:textId="77777777" w:rsidR="0046184B" w:rsidRDefault="00000000">
      <w:pPr>
        <w:widowControl/>
        <w:adjustRightInd w:val="0"/>
        <w:snapToGrid w:val="0"/>
        <w:spacing w:line="360" w:lineRule="auto"/>
        <w:ind w:rightChars="-85" w:right="-178"/>
        <w:jc w:val="right"/>
        <w:rPr>
          <w:rFonts w:asciiTheme="minorEastAsia" w:hAnsiTheme="minorEastAsia" w:cs="Arial" w:hint="eastAsia"/>
          <w:kern w:val="0"/>
          <w:sz w:val="24"/>
          <w:szCs w:val="24"/>
        </w:rPr>
      </w:pPr>
      <w:r>
        <w:rPr>
          <w:rFonts w:asciiTheme="minorEastAsia" w:hAnsiTheme="minorEastAsia" w:cs="Arial" w:hint="eastAsia"/>
          <w:kern w:val="0"/>
          <w:sz w:val="24"/>
          <w:szCs w:val="24"/>
        </w:rPr>
        <w:t xml:space="preserve">富荣基金管理有限公司 </w:t>
      </w:r>
    </w:p>
    <w:p w14:paraId="02D863BA" w14:textId="4093FAC1" w:rsidR="0046184B" w:rsidRDefault="00000000">
      <w:pPr>
        <w:widowControl/>
        <w:adjustRightInd w:val="0"/>
        <w:snapToGrid w:val="0"/>
        <w:spacing w:line="360" w:lineRule="auto"/>
        <w:ind w:rightChars="-85" w:right="-178"/>
        <w:jc w:val="right"/>
      </w:pPr>
      <w:r>
        <w:rPr>
          <w:rFonts w:asciiTheme="minorEastAsia" w:hAnsiTheme="minorEastAsia" w:cs="Arial" w:hint="eastAsia"/>
          <w:kern w:val="0"/>
          <w:sz w:val="24"/>
          <w:szCs w:val="24"/>
        </w:rPr>
        <w:t>2025年2月24日</w:t>
      </w:r>
    </w:p>
    <w:sectPr w:rsidR="0046184B">
      <w:footerReference w:type="default" r:id="rId42"/>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6CD4E1" w14:textId="77777777" w:rsidR="00494DF0" w:rsidRDefault="00494DF0">
      <w:r>
        <w:separator/>
      </w:r>
    </w:p>
  </w:endnote>
  <w:endnote w:type="continuationSeparator" w:id="0">
    <w:p w14:paraId="379B8B2C" w14:textId="77777777" w:rsidR="00494DF0" w:rsidRDefault="00494D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font>
  <w:font w:name="方正仿宋简体">
    <w:altName w:val="等线"/>
    <w:charset w:val="86"/>
    <w:family w:val="auto"/>
    <w:pitch w:val="default"/>
    <w:sig w:usb0="00000000" w:usb1="0000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6794151"/>
    </w:sdtPr>
    <w:sdtContent>
      <w:p w14:paraId="696D277E"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p w14:paraId="1B90F1DB" w14:textId="77777777" w:rsidR="0046184B" w:rsidRDefault="0046184B">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41473134"/>
    </w:sdtPr>
    <w:sdtContent>
      <w:p w14:paraId="123AE948"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4</w:t>
        </w:r>
        <w:r>
          <w:rPr>
            <w:lang w:val="zh-CN"/>
          </w:rPr>
          <w:fldChar w:fldCharType="end"/>
        </w:r>
      </w:p>
    </w:sdtContent>
  </w:sdt>
  <w:p w14:paraId="79142494" w14:textId="77777777" w:rsidR="0046184B" w:rsidRDefault="0046184B">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5009397"/>
    </w:sdtPr>
    <w:sdtContent>
      <w:p w14:paraId="507379ED"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9</w:t>
        </w:r>
        <w:r>
          <w:rPr>
            <w:lang w:val="zh-CN"/>
          </w:rPr>
          <w:fldChar w:fldCharType="end"/>
        </w:r>
      </w:p>
    </w:sdtContent>
  </w:sdt>
  <w:p w14:paraId="79195256" w14:textId="77777777" w:rsidR="0046184B" w:rsidRDefault="0046184B">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0737179"/>
    </w:sdtPr>
    <w:sdtContent>
      <w:p w14:paraId="59985F58"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w:t>
        </w:r>
        <w:r>
          <w:rPr>
            <w:lang w:val="zh-CN"/>
          </w:rPr>
          <w:t>4</w:t>
        </w:r>
        <w:r>
          <w:rPr>
            <w:lang w:val="zh-CN"/>
          </w:rPr>
          <w:fldChar w:fldCharType="end"/>
        </w:r>
      </w:p>
    </w:sdtContent>
  </w:sdt>
  <w:p w14:paraId="458E9E6A" w14:textId="77777777" w:rsidR="0046184B" w:rsidRDefault="0046184B">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9926321"/>
    </w:sdtPr>
    <w:sdtContent>
      <w:p w14:paraId="4944F2CA"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33</w:t>
        </w:r>
        <w:r>
          <w:rPr>
            <w:lang w:val="zh-CN"/>
          </w:rPr>
          <w:fldChar w:fldCharType="end"/>
        </w:r>
      </w:p>
    </w:sdtContent>
  </w:sdt>
  <w:p w14:paraId="7523028D" w14:textId="77777777" w:rsidR="0046184B" w:rsidRDefault="0046184B">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2677094"/>
    </w:sdtPr>
    <w:sdtContent>
      <w:p w14:paraId="1F0E684E"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w:t>
        </w:r>
        <w:r>
          <w:rPr>
            <w:lang w:val="zh-CN"/>
          </w:rPr>
          <w:t>4</w:t>
        </w:r>
        <w:r>
          <w:rPr>
            <w:lang w:val="zh-CN"/>
          </w:rPr>
          <w:fldChar w:fldCharType="end"/>
        </w:r>
      </w:p>
    </w:sdtContent>
  </w:sdt>
  <w:p w14:paraId="06C44870" w14:textId="77777777" w:rsidR="0046184B" w:rsidRDefault="0046184B">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60824264"/>
    </w:sdtPr>
    <w:sdtContent>
      <w:p w14:paraId="649B2190"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35</w:t>
        </w:r>
        <w:r>
          <w:rPr>
            <w:lang w:val="zh-CN"/>
          </w:rPr>
          <w:fldChar w:fldCharType="end"/>
        </w:r>
      </w:p>
    </w:sdtContent>
  </w:sdt>
  <w:p w14:paraId="2E637664" w14:textId="77777777" w:rsidR="0046184B" w:rsidRDefault="0046184B">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4271876"/>
    </w:sdtPr>
    <w:sdtContent>
      <w:p w14:paraId="759A99E1"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4</w:t>
        </w:r>
        <w:r>
          <w:rPr>
            <w:lang w:val="zh-CN"/>
          </w:rPr>
          <w:t>6</w:t>
        </w:r>
        <w:r>
          <w:rPr>
            <w:lang w:val="zh-CN"/>
          </w:rPr>
          <w:fldChar w:fldCharType="end"/>
        </w:r>
      </w:p>
    </w:sdtContent>
  </w:sdt>
  <w:p w14:paraId="470E303E" w14:textId="77777777" w:rsidR="0046184B" w:rsidRDefault="0046184B">
    <w:pPr>
      <w:pStyle w:val="af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2692790"/>
    </w:sdtPr>
    <w:sdtContent>
      <w:p w14:paraId="4E8D989F"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62</w:t>
        </w:r>
        <w:r>
          <w:rPr>
            <w:lang w:val="zh-CN"/>
          </w:rPr>
          <w:fldChar w:fldCharType="end"/>
        </w:r>
      </w:p>
    </w:sdtContent>
  </w:sdt>
  <w:p w14:paraId="2924F6C3" w14:textId="77777777" w:rsidR="0046184B" w:rsidRDefault="0046184B">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5031260"/>
    </w:sdtPr>
    <w:sdtContent>
      <w:p w14:paraId="2EA13571"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6</w:t>
        </w:r>
        <w:r>
          <w:rPr>
            <w:lang w:val="zh-CN"/>
          </w:rPr>
          <w:t>7</w:t>
        </w:r>
        <w:r>
          <w:rPr>
            <w:lang w:val="zh-CN"/>
          </w:rPr>
          <w:fldChar w:fldCharType="end"/>
        </w:r>
      </w:p>
    </w:sdtContent>
  </w:sdt>
  <w:p w14:paraId="798C0EAF" w14:textId="77777777" w:rsidR="0046184B" w:rsidRDefault="0046184B">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1935810"/>
    </w:sdtPr>
    <w:sdtContent>
      <w:p w14:paraId="2A3D686F"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69</w:t>
        </w:r>
        <w:r>
          <w:rPr>
            <w:lang w:val="zh-CN"/>
          </w:rPr>
          <w:fldChar w:fldCharType="end"/>
        </w:r>
      </w:p>
    </w:sdtContent>
  </w:sdt>
  <w:p w14:paraId="10DC357B" w14:textId="77777777" w:rsidR="0046184B" w:rsidRDefault="0046184B">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20709484"/>
    </w:sdtPr>
    <w:sdtContent>
      <w:p w14:paraId="239BB274"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7</w:t>
        </w:r>
        <w:r>
          <w:rPr>
            <w:lang w:val="zh-CN"/>
          </w:rPr>
          <w:t>2</w:t>
        </w:r>
        <w:r>
          <w:rPr>
            <w:lang w:val="zh-CN"/>
          </w:rPr>
          <w:fldChar w:fldCharType="end"/>
        </w:r>
      </w:p>
    </w:sdtContent>
  </w:sdt>
  <w:p w14:paraId="2719DECA" w14:textId="77777777" w:rsidR="0046184B" w:rsidRDefault="0046184B">
    <w:pPr>
      <w:pStyle w:val="af0"/>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93238106"/>
    </w:sdtPr>
    <w:sdtContent>
      <w:p w14:paraId="13CF441A"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73</w:t>
        </w:r>
        <w:r>
          <w:rPr>
            <w:lang w:val="zh-CN"/>
          </w:rPr>
          <w:fldChar w:fldCharType="end"/>
        </w:r>
      </w:p>
    </w:sdtContent>
  </w:sdt>
  <w:p w14:paraId="11745564" w14:textId="77777777" w:rsidR="0046184B" w:rsidRDefault="0046184B">
    <w:pPr>
      <w:pStyle w:val="af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0208776"/>
    </w:sdtPr>
    <w:sdtContent>
      <w:p w14:paraId="1A1550A6"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8</w:t>
        </w:r>
        <w:r>
          <w:rPr>
            <w:lang w:val="zh-CN"/>
          </w:rPr>
          <w:t>0</w:t>
        </w:r>
        <w:r>
          <w:rPr>
            <w:lang w:val="zh-CN"/>
          </w:rPr>
          <w:fldChar w:fldCharType="end"/>
        </w:r>
      </w:p>
    </w:sdtContent>
  </w:sdt>
  <w:p w14:paraId="3EC3B89C" w14:textId="77777777" w:rsidR="0046184B" w:rsidRDefault="0046184B">
    <w:pPr>
      <w:pStyle w:val="af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42280055"/>
    </w:sdtPr>
    <w:sdtContent>
      <w:p w14:paraId="31F1134B"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84</w:t>
        </w:r>
        <w:r>
          <w:rPr>
            <w:lang w:val="zh-CN"/>
          </w:rPr>
          <w:fldChar w:fldCharType="end"/>
        </w:r>
      </w:p>
    </w:sdtContent>
  </w:sdt>
  <w:p w14:paraId="087DFA0B" w14:textId="77777777" w:rsidR="0046184B" w:rsidRDefault="0046184B">
    <w:pPr>
      <w:pStyle w:val="af0"/>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6314526"/>
    </w:sdtPr>
    <w:sdtContent>
      <w:p w14:paraId="2F08C580"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8</w:t>
        </w:r>
        <w:r>
          <w:rPr>
            <w:lang w:val="zh-CN"/>
          </w:rPr>
          <w:t>6</w:t>
        </w:r>
        <w:r>
          <w:rPr>
            <w:lang w:val="zh-CN"/>
          </w:rPr>
          <w:fldChar w:fldCharType="end"/>
        </w:r>
      </w:p>
    </w:sdtContent>
  </w:sdt>
  <w:p w14:paraId="7E8D8541" w14:textId="77777777" w:rsidR="0046184B" w:rsidRDefault="0046184B">
    <w:pPr>
      <w:pStyle w:val="af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90163986"/>
    </w:sdtPr>
    <w:sdtContent>
      <w:p w14:paraId="0605369D"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102</w:t>
        </w:r>
        <w:r>
          <w:rPr>
            <w:lang w:val="zh-CN"/>
          </w:rPr>
          <w:fldChar w:fldCharType="end"/>
        </w:r>
      </w:p>
    </w:sdtContent>
  </w:sdt>
  <w:p w14:paraId="110CD598" w14:textId="77777777" w:rsidR="0046184B" w:rsidRDefault="0046184B">
    <w:pPr>
      <w:pStyle w:val="af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391200"/>
    </w:sdtPr>
    <w:sdtContent>
      <w:p w14:paraId="6975BDC1"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11</w:t>
        </w:r>
        <w:r>
          <w:rPr>
            <w:lang w:val="zh-CN"/>
          </w:rPr>
          <w:t>7</w:t>
        </w:r>
        <w:r>
          <w:rPr>
            <w:lang w:val="zh-CN"/>
          </w:rPr>
          <w:fldChar w:fldCharType="end"/>
        </w:r>
      </w:p>
    </w:sdtContent>
  </w:sdt>
  <w:p w14:paraId="64FD8175" w14:textId="77777777" w:rsidR="0046184B" w:rsidRDefault="0046184B">
    <w:pPr>
      <w:pStyle w:val="af0"/>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6723160"/>
    </w:sdtPr>
    <w:sdtContent>
      <w:p w14:paraId="14D12858" w14:textId="77777777" w:rsidR="0046184B"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122</w:t>
        </w:r>
        <w:r>
          <w:rPr>
            <w:lang w:val="zh-CN"/>
          </w:rPr>
          <w:fldChar w:fldCharType="end"/>
        </w:r>
      </w:p>
    </w:sdtContent>
  </w:sdt>
  <w:p w14:paraId="37057D94" w14:textId="77777777" w:rsidR="0046184B" w:rsidRDefault="0046184B">
    <w:pPr>
      <w:pStyle w:val="af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40023507"/>
    </w:sdtPr>
    <w:sdtContent>
      <w:p w14:paraId="5B2742AD" w14:textId="77777777" w:rsidR="0046184B" w:rsidRDefault="00000000">
        <w:pPr>
          <w:pStyle w:val="af0"/>
          <w:jc w:val="center"/>
        </w:pPr>
        <w:r>
          <w:fldChar w:fldCharType="begin"/>
        </w:r>
        <w:r>
          <w:instrText>PAGE   \* MERGEFORMAT</w:instrText>
        </w:r>
        <w:r>
          <w:fldChar w:fldCharType="separate"/>
        </w:r>
        <w:r>
          <w:rPr>
            <w:lang w:val="zh-CN"/>
          </w:rPr>
          <w:t>12</w:t>
        </w:r>
        <w:r>
          <w:rPr>
            <w:lang w:val="zh-CN"/>
          </w:rPr>
          <w:t>3</w:t>
        </w:r>
        <w:r>
          <w:fldChar w:fldCharType="end"/>
        </w:r>
      </w:p>
    </w:sdtContent>
  </w:sdt>
  <w:p w14:paraId="0C35C87C" w14:textId="77777777" w:rsidR="0046184B" w:rsidRDefault="0046184B">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E3E5FB" w14:textId="77777777" w:rsidR="00494DF0" w:rsidRDefault="00494DF0">
      <w:r>
        <w:separator/>
      </w:r>
    </w:p>
  </w:footnote>
  <w:footnote w:type="continuationSeparator" w:id="0">
    <w:p w14:paraId="5174BDBA" w14:textId="77777777" w:rsidR="00494DF0" w:rsidRDefault="00494D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2468D" w14:textId="2353A6A5" w:rsidR="0046184B" w:rsidRDefault="00000000">
    <w:pPr>
      <w:pStyle w:val="af2"/>
      <w:jc w:val="both"/>
    </w:pPr>
    <w:r>
      <w:rPr>
        <w:rFonts w:ascii="Arial" w:hAnsi="Arial" w:cs="Arial" w:hint="eastAsia"/>
        <w:szCs w:val="21"/>
      </w:rPr>
      <w:t>富荣福锦混合型证券投资基金更新的</w:t>
    </w:r>
    <w:r>
      <w:rPr>
        <w:rFonts w:hint="eastAsia"/>
      </w:rPr>
      <w:t>招募说明书（</w:t>
    </w:r>
    <w:r>
      <w:rPr>
        <w:rFonts w:hint="eastAsia"/>
      </w:rPr>
      <w:t>202</w:t>
    </w:r>
    <w:r w:rsidR="007B1F64">
      <w:rPr>
        <w:rFonts w:hint="eastAsia"/>
      </w:rPr>
      <w:t>5</w:t>
    </w:r>
    <w:r>
      <w:rPr>
        <w:rFonts w:hint="eastAsia"/>
      </w:rPr>
      <w:t>年第</w:t>
    </w:r>
    <w:r w:rsidR="007B1F64">
      <w:rPr>
        <w:rFonts w:hint="eastAsia"/>
      </w:rPr>
      <w:t>1</w:t>
    </w:r>
    <w:r>
      <w:rPr>
        <w:rFonts w:hint="eastAsia"/>
      </w:rPr>
      <w:t>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738134309">
    <w:abstractNumId w:val="0"/>
  </w:num>
  <w:num w:numId="2" w16cid:durableId="1921719564">
    <w:abstractNumId w:val="1"/>
  </w:num>
  <w:num w:numId="3" w16cid:durableId="165537875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87441586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OTJiNGIxMWYyMGQxMGUwNzEzNjg5OWFkODNmZmRmYWEifQ=="/>
  </w:docVars>
  <w:rsids>
    <w:rsidRoot w:val="00F562CC"/>
    <w:rsid w:val="00002716"/>
    <w:rsid w:val="00002C39"/>
    <w:rsid w:val="0000336D"/>
    <w:rsid w:val="00007E80"/>
    <w:rsid w:val="00011379"/>
    <w:rsid w:val="00011E0C"/>
    <w:rsid w:val="000137D8"/>
    <w:rsid w:val="000150A1"/>
    <w:rsid w:val="00016B2F"/>
    <w:rsid w:val="00021C6F"/>
    <w:rsid w:val="00024EED"/>
    <w:rsid w:val="00026A47"/>
    <w:rsid w:val="00032C15"/>
    <w:rsid w:val="00036415"/>
    <w:rsid w:val="000417AB"/>
    <w:rsid w:val="00043AE3"/>
    <w:rsid w:val="00043E2F"/>
    <w:rsid w:val="000453E4"/>
    <w:rsid w:val="000455CE"/>
    <w:rsid w:val="00045DF2"/>
    <w:rsid w:val="000470CA"/>
    <w:rsid w:val="000507C1"/>
    <w:rsid w:val="00050E32"/>
    <w:rsid w:val="000515D1"/>
    <w:rsid w:val="0005270F"/>
    <w:rsid w:val="0005295B"/>
    <w:rsid w:val="00053F56"/>
    <w:rsid w:val="00055889"/>
    <w:rsid w:val="000570B2"/>
    <w:rsid w:val="000579D5"/>
    <w:rsid w:val="0006090B"/>
    <w:rsid w:val="000613A6"/>
    <w:rsid w:val="00061EFE"/>
    <w:rsid w:val="00062C1B"/>
    <w:rsid w:val="00063460"/>
    <w:rsid w:val="00063887"/>
    <w:rsid w:val="00063FB4"/>
    <w:rsid w:val="000653A7"/>
    <w:rsid w:val="00065FA9"/>
    <w:rsid w:val="00066597"/>
    <w:rsid w:val="00070358"/>
    <w:rsid w:val="00072066"/>
    <w:rsid w:val="00072559"/>
    <w:rsid w:val="000740F2"/>
    <w:rsid w:val="00076E9C"/>
    <w:rsid w:val="000776EE"/>
    <w:rsid w:val="000807B7"/>
    <w:rsid w:val="000817BB"/>
    <w:rsid w:val="00084A9D"/>
    <w:rsid w:val="00092FE3"/>
    <w:rsid w:val="00093B11"/>
    <w:rsid w:val="00094942"/>
    <w:rsid w:val="00094C09"/>
    <w:rsid w:val="0009505B"/>
    <w:rsid w:val="0009610D"/>
    <w:rsid w:val="00096D0E"/>
    <w:rsid w:val="000A1798"/>
    <w:rsid w:val="000A2809"/>
    <w:rsid w:val="000A34E4"/>
    <w:rsid w:val="000A53A9"/>
    <w:rsid w:val="000B0075"/>
    <w:rsid w:val="000B0476"/>
    <w:rsid w:val="000B467C"/>
    <w:rsid w:val="000B4A9C"/>
    <w:rsid w:val="000B4DA0"/>
    <w:rsid w:val="000B6836"/>
    <w:rsid w:val="000B720D"/>
    <w:rsid w:val="000B7428"/>
    <w:rsid w:val="000B7ACE"/>
    <w:rsid w:val="000C00C5"/>
    <w:rsid w:val="000C0BDF"/>
    <w:rsid w:val="000C1E78"/>
    <w:rsid w:val="000C2A62"/>
    <w:rsid w:val="000C3020"/>
    <w:rsid w:val="000C36FD"/>
    <w:rsid w:val="000C4C8F"/>
    <w:rsid w:val="000C7B00"/>
    <w:rsid w:val="000D1C20"/>
    <w:rsid w:val="000D2A86"/>
    <w:rsid w:val="000D3337"/>
    <w:rsid w:val="000D525E"/>
    <w:rsid w:val="000E1DA6"/>
    <w:rsid w:val="000E1E9B"/>
    <w:rsid w:val="000E3D34"/>
    <w:rsid w:val="000E4187"/>
    <w:rsid w:val="000E7BCA"/>
    <w:rsid w:val="000F0384"/>
    <w:rsid w:val="000F4000"/>
    <w:rsid w:val="000F5C40"/>
    <w:rsid w:val="000F63F5"/>
    <w:rsid w:val="000F7BD8"/>
    <w:rsid w:val="001002BF"/>
    <w:rsid w:val="00100EB0"/>
    <w:rsid w:val="00101ED0"/>
    <w:rsid w:val="00102D5B"/>
    <w:rsid w:val="0010455F"/>
    <w:rsid w:val="00105BC6"/>
    <w:rsid w:val="00107B18"/>
    <w:rsid w:val="00110756"/>
    <w:rsid w:val="0011175F"/>
    <w:rsid w:val="00111FD3"/>
    <w:rsid w:val="00112609"/>
    <w:rsid w:val="00112ACF"/>
    <w:rsid w:val="00115947"/>
    <w:rsid w:val="0012019B"/>
    <w:rsid w:val="001225F3"/>
    <w:rsid w:val="0012332B"/>
    <w:rsid w:val="00127ED5"/>
    <w:rsid w:val="00127EE7"/>
    <w:rsid w:val="00132839"/>
    <w:rsid w:val="00135275"/>
    <w:rsid w:val="001369D9"/>
    <w:rsid w:val="001431F8"/>
    <w:rsid w:val="00145063"/>
    <w:rsid w:val="00146EBC"/>
    <w:rsid w:val="00147C35"/>
    <w:rsid w:val="00150AFC"/>
    <w:rsid w:val="0015138A"/>
    <w:rsid w:val="00151DB5"/>
    <w:rsid w:val="00154130"/>
    <w:rsid w:val="001548F6"/>
    <w:rsid w:val="00154B34"/>
    <w:rsid w:val="001569AD"/>
    <w:rsid w:val="00156D24"/>
    <w:rsid w:val="00157AF8"/>
    <w:rsid w:val="001609F9"/>
    <w:rsid w:val="001611B4"/>
    <w:rsid w:val="001635EE"/>
    <w:rsid w:val="00166406"/>
    <w:rsid w:val="00166FE9"/>
    <w:rsid w:val="0016706A"/>
    <w:rsid w:val="00171B39"/>
    <w:rsid w:val="001745C9"/>
    <w:rsid w:val="001756AE"/>
    <w:rsid w:val="00175EFD"/>
    <w:rsid w:val="001815D7"/>
    <w:rsid w:val="00181E11"/>
    <w:rsid w:val="00181F45"/>
    <w:rsid w:val="00182072"/>
    <w:rsid w:val="00184AAE"/>
    <w:rsid w:val="00184E9F"/>
    <w:rsid w:val="00185938"/>
    <w:rsid w:val="00186FFA"/>
    <w:rsid w:val="001939DE"/>
    <w:rsid w:val="001959D1"/>
    <w:rsid w:val="00196862"/>
    <w:rsid w:val="00197F8C"/>
    <w:rsid w:val="001A0D71"/>
    <w:rsid w:val="001A1315"/>
    <w:rsid w:val="001A1C76"/>
    <w:rsid w:val="001A3539"/>
    <w:rsid w:val="001A41F8"/>
    <w:rsid w:val="001A4CAD"/>
    <w:rsid w:val="001A6505"/>
    <w:rsid w:val="001A670B"/>
    <w:rsid w:val="001B101B"/>
    <w:rsid w:val="001B1C13"/>
    <w:rsid w:val="001B23ED"/>
    <w:rsid w:val="001B598D"/>
    <w:rsid w:val="001B716E"/>
    <w:rsid w:val="001B7A9B"/>
    <w:rsid w:val="001C08B6"/>
    <w:rsid w:val="001C17CF"/>
    <w:rsid w:val="001C275F"/>
    <w:rsid w:val="001C404F"/>
    <w:rsid w:val="001C450C"/>
    <w:rsid w:val="001C71D3"/>
    <w:rsid w:val="001C79DE"/>
    <w:rsid w:val="001C7D92"/>
    <w:rsid w:val="001D3A66"/>
    <w:rsid w:val="001D3C2F"/>
    <w:rsid w:val="001D4772"/>
    <w:rsid w:val="001D5B6E"/>
    <w:rsid w:val="001E05E8"/>
    <w:rsid w:val="001E3B99"/>
    <w:rsid w:val="001E79E1"/>
    <w:rsid w:val="001F029F"/>
    <w:rsid w:val="001F0DEC"/>
    <w:rsid w:val="001F141D"/>
    <w:rsid w:val="001F222C"/>
    <w:rsid w:val="001F2A1F"/>
    <w:rsid w:val="001F2EE0"/>
    <w:rsid w:val="001F32BF"/>
    <w:rsid w:val="001F4508"/>
    <w:rsid w:val="001F670C"/>
    <w:rsid w:val="001F6CAF"/>
    <w:rsid w:val="001F7354"/>
    <w:rsid w:val="001F7512"/>
    <w:rsid w:val="00201AB5"/>
    <w:rsid w:val="00202627"/>
    <w:rsid w:val="00203D74"/>
    <w:rsid w:val="002078F3"/>
    <w:rsid w:val="00207CD5"/>
    <w:rsid w:val="00211085"/>
    <w:rsid w:val="00212167"/>
    <w:rsid w:val="002138DB"/>
    <w:rsid w:val="002210DF"/>
    <w:rsid w:val="00224418"/>
    <w:rsid w:val="00224953"/>
    <w:rsid w:val="00224EE1"/>
    <w:rsid w:val="0022597A"/>
    <w:rsid w:val="00225DB5"/>
    <w:rsid w:val="002275A8"/>
    <w:rsid w:val="00227859"/>
    <w:rsid w:val="00227AD6"/>
    <w:rsid w:val="00227AFA"/>
    <w:rsid w:val="00230271"/>
    <w:rsid w:val="0023113A"/>
    <w:rsid w:val="00232510"/>
    <w:rsid w:val="00232779"/>
    <w:rsid w:val="00235392"/>
    <w:rsid w:val="0023618C"/>
    <w:rsid w:val="0023759E"/>
    <w:rsid w:val="0023788E"/>
    <w:rsid w:val="00240358"/>
    <w:rsid w:val="00241ACA"/>
    <w:rsid w:val="002430FE"/>
    <w:rsid w:val="002472F8"/>
    <w:rsid w:val="002507FE"/>
    <w:rsid w:val="0025184A"/>
    <w:rsid w:val="002518DB"/>
    <w:rsid w:val="00252C86"/>
    <w:rsid w:val="0025398C"/>
    <w:rsid w:val="002601E9"/>
    <w:rsid w:val="00260A84"/>
    <w:rsid w:val="00260AE0"/>
    <w:rsid w:val="002622A9"/>
    <w:rsid w:val="00263BCA"/>
    <w:rsid w:val="00266917"/>
    <w:rsid w:val="00266A12"/>
    <w:rsid w:val="002701CE"/>
    <w:rsid w:val="00272867"/>
    <w:rsid w:val="00272F3A"/>
    <w:rsid w:val="00273FCA"/>
    <w:rsid w:val="002752C2"/>
    <w:rsid w:val="002775A2"/>
    <w:rsid w:val="00282732"/>
    <w:rsid w:val="002833FF"/>
    <w:rsid w:val="002834CB"/>
    <w:rsid w:val="00283A8E"/>
    <w:rsid w:val="00283F15"/>
    <w:rsid w:val="002863C8"/>
    <w:rsid w:val="00291943"/>
    <w:rsid w:val="00291D52"/>
    <w:rsid w:val="00293582"/>
    <w:rsid w:val="002940A2"/>
    <w:rsid w:val="00294C41"/>
    <w:rsid w:val="00295C02"/>
    <w:rsid w:val="00295EF8"/>
    <w:rsid w:val="002966EC"/>
    <w:rsid w:val="002A18EC"/>
    <w:rsid w:val="002A1DD0"/>
    <w:rsid w:val="002A6E10"/>
    <w:rsid w:val="002B01D8"/>
    <w:rsid w:val="002B1A83"/>
    <w:rsid w:val="002B435D"/>
    <w:rsid w:val="002B4DD9"/>
    <w:rsid w:val="002B5548"/>
    <w:rsid w:val="002B6235"/>
    <w:rsid w:val="002B64A8"/>
    <w:rsid w:val="002C0796"/>
    <w:rsid w:val="002C36B6"/>
    <w:rsid w:val="002C385C"/>
    <w:rsid w:val="002C3C29"/>
    <w:rsid w:val="002C438F"/>
    <w:rsid w:val="002C5274"/>
    <w:rsid w:val="002D3234"/>
    <w:rsid w:val="002D32E2"/>
    <w:rsid w:val="002D33E0"/>
    <w:rsid w:val="002D581C"/>
    <w:rsid w:val="002E2B52"/>
    <w:rsid w:val="002E342B"/>
    <w:rsid w:val="002E3433"/>
    <w:rsid w:val="002E3582"/>
    <w:rsid w:val="002E4399"/>
    <w:rsid w:val="002E7690"/>
    <w:rsid w:val="002E7B2F"/>
    <w:rsid w:val="002F0AEB"/>
    <w:rsid w:val="002F3DFB"/>
    <w:rsid w:val="00300107"/>
    <w:rsid w:val="0030232B"/>
    <w:rsid w:val="0030418D"/>
    <w:rsid w:val="003042BB"/>
    <w:rsid w:val="00305747"/>
    <w:rsid w:val="00306EB0"/>
    <w:rsid w:val="00306F94"/>
    <w:rsid w:val="00307617"/>
    <w:rsid w:val="003079B5"/>
    <w:rsid w:val="00307AB6"/>
    <w:rsid w:val="003155E3"/>
    <w:rsid w:val="00315D57"/>
    <w:rsid w:val="00325A48"/>
    <w:rsid w:val="00326A72"/>
    <w:rsid w:val="00327DF4"/>
    <w:rsid w:val="00327F7E"/>
    <w:rsid w:val="0033271C"/>
    <w:rsid w:val="0033347C"/>
    <w:rsid w:val="00333E36"/>
    <w:rsid w:val="0033564F"/>
    <w:rsid w:val="00336927"/>
    <w:rsid w:val="00340466"/>
    <w:rsid w:val="00341D19"/>
    <w:rsid w:val="00344461"/>
    <w:rsid w:val="003464BC"/>
    <w:rsid w:val="003464D5"/>
    <w:rsid w:val="003479D7"/>
    <w:rsid w:val="00352C16"/>
    <w:rsid w:val="00353591"/>
    <w:rsid w:val="00354A44"/>
    <w:rsid w:val="00355E38"/>
    <w:rsid w:val="003567DD"/>
    <w:rsid w:val="00357378"/>
    <w:rsid w:val="00357882"/>
    <w:rsid w:val="00361458"/>
    <w:rsid w:val="00361F09"/>
    <w:rsid w:val="00365C58"/>
    <w:rsid w:val="0036675B"/>
    <w:rsid w:val="0036697D"/>
    <w:rsid w:val="00367074"/>
    <w:rsid w:val="00367E2C"/>
    <w:rsid w:val="00370B4F"/>
    <w:rsid w:val="00371EC6"/>
    <w:rsid w:val="00371ED5"/>
    <w:rsid w:val="00375A6B"/>
    <w:rsid w:val="00376750"/>
    <w:rsid w:val="00377542"/>
    <w:rsid w:val="00381F92"/>
    <w:rsid w:val="003832FA"/>
    <w:rsid w:val="003842CA"/>
    <w:rsid w:val="00386A86"/>
    <w:rsid w:val="00390719"/>
    <w:rsid w:val="0039150E"/>
    <w:rsid w:val="003928DF"/>
    <w:rsid w:val="00392C0F"/>
    <w:rsid w:val="003962D5"/>
    <w:rsid w:val="00397AF5"/>
    <w:rsid w:val="003A1C92"/>
    <w:rsid w:val="003A3022"/>
    <w:rsid w:val="003A3E39"/>
    <w:rsid w:val="003A6148"/>
    <w:rsid w:val="003A733C"/>
    <w:rsid w:val="003A78F9"/>
    <w:rsid w:val="003B2407"/>
    <w:rsid w:val="003B2B86"/>
    <w:rsid w:val="003B2C1E"/>
    <w:rsid w:val="003B318D"/>
    <w:rsid w:val="003B374D"/>
    <w:rsid w:val="003B3D76"/>
    <w:rsid w:val="003C0A28"/>
    <w:rsid w:val="003C3BD4"/>
    <w:rsid w:val="003C4E68"/>
    <w:rsid w:val="003C6950"/>
    <w:rsid w:val="003C71FB"/>
    <w:rsid w:val="003D25AE"/>
    <w:rsid w:val="003D32C5"/>
    <w:rsid w:val="003D3E7F"/>
    <w:rsid w:val="003D4F54"/>
    <w:rsid w:val="003E33DE"/>
    <w:rsid w:val="003E7547"/>
    <w:rsid w:val="003F024E"/>
    <w:rsid w:val="003F07F0"/>
    <w:rsid w:val="003F0D6B"/>
    <w:rsid w:val="003F1398"/>
    <w:rsid w:val="003F1495"/>
    <w:rsid w:val="003F1645"/>
    <w:rsid w:val="003F2C03"/>
    <w:rsid w:val="003F2F14"/>
    <w:rsid w:val="003F3EBD"/>
    <w:rsid w:val="003F7179"/>
    <w:rsid w:val="003F71BA"/>
    <w:rsid w:val="00400369"/>
    <w:rsid w:val="00402349"/>
    <w:rsid w:val="004052E3"/>
    <w:rsid w:val="004055CF"/>
    <w:rsid w:val="00407289"/>
    <w:rsid w:val="00407B86"/>
    <w:rsid w:val="0041206B"/>
    <w:rsid w:val="00412850"/>
    <w:rsid w:val="00413B26"/>
    <w:rsid w:val="00416668"/>
    <w:rsid w:val="0041693E"/>
    <w:rsid w:val="00416A03"/>
    <w:rsid w:val="00417728"/>
    <w:rsid w:val="00417E3F"/>
    <w:rsid w:val="004212FB"/>
    <w:rsid w:val="00423971"/>
    <w:rsid w:val="004254CB"/>
    <w:rsid w:val="00427D57"/>
    <w:rsid w:val="004307A3"/>
    <w:rsid w:val="00432722"/>
    <w:rsid w:val="004334EC"/>
    <w:rsid w:val="004344F1"/>
    <w:rsid w:val="00434ACE"/>
    <w:rsid w:val="004353E6"/>
    <w:rsid w:val="0043660A"/>
    <w:rsid w:val="004366F9"/>
    <w:rsid w:val="00440CA4"/>
    <w:rsid w:val="004419FB"/>
    <w:rsid w:val="00447A84"/>
    <w:rsid w:val="00451F4D"/>
    <w:rsid w:val="00453F51"/>
    <w:rsid w:val="004570E4"/>
    <w:rsid w:val="00457A75"/>
    <w:rsid w:val="0046184B"/>
    <w:rsid w:val="00463AC0"/>
    <w:rsid w:val="00463D15"/>
    <w:rsid w:val="004657EA"/>
    <w:rsid w:val="004665F2"/>
    <w:rsid w:val="00467F0E"/>
    <w:rsid w:val="00470701"/>
    <w:rsid w:val="0047449E"/>
    <w:rsid w:val="00476243"/>
    <w:rsid w:val="00480219"/>
    <w:rsid w:val="00481714"/>
    <w:rsid w:val="00481E25"/>
    <w:rsid w:val="004820BD"/>
    <w:rsid w:val="004822FB"/>
    <w:rsid w:val="0048357D"/>
    <w:rsid w:val="004847A5"/>
    <w:rsid w:val="0048715E"/>
    <w:rsid w:val="00487357"/>
    <w:rsid w:val="004905DE"/>
    <w:rsid w:val="00490E64"/>
    <w:rsid w:val="004922D1"/>
    <w:rsid w:val="00493840"/>
    <w:rsid w:val="00494DF0"/>
    <w:rsid w:val="00494FA6"/>
    <w:rsid w:val="004A4445"/>
    <w:rsid w:val="004A65D7"/>
    <w:rsid w:val="004B45FA"/>
    <w:rsid w:val="004B5F31"/>
    <w:rsid w:val="004B617B"/>
    <w:rsid w:val="004C13D9"/>
    <w:rsid w:val="004C1FB1"/>
    <w:rsid w:val="004C27F1"/>
    <w:rsid w:val="004C42FE"/>
    <w:rsid w:val="004C4A0F"/>
    <w:rsid w:val="004C4BF6"/>
    <w:rsid w:val="004C7719"/>
    <w:rsid w:val="004D2D86"/>
    <w:rsid w:val="004D3208"/>
    <w:rsid w:val="004D5A0E"/>
    <w:rsid w:val="004D693A"/>
    <w:rsid w:val="004D719C"/>
    <w:rsid w:val="004D73CA"/>
    <w:rsid w:val="004D7A1C"/>
    <w:rsid w:val="004E08FD"/>
    <w:rsid w:val="004E3FD5"/>
    <w:rsid w:val="004E4409"/>
    <w:rsid w:val="004E5BE5"/>
    <w:rsid w:val="004F02E3"/>
    <w:rsid w:val="004F4E5A"/>
    <w:rsid w:val="004F7007"/>
    <w:rsid w:val="004F7935"/>
    <w:rsid w:val="00501B74"/>
    <w:rsid w:val="00502C4D"/>
    <w:rsid w:val="00503979"/>
    <w:rsid w:val="005043F9"/>
    <w:rsid w:val="005067A5"/>
    <w:rsid w:val="00506A9D"/>
    <w:rsid w:val="00511BB1"/>
    <w:rsid w:val="00513369"/>
    <w:rsid w:val="00516A76"/>
    <w:rsid w:val="00517167"/>
    <w:rsid w:val="00520016"/>
    <w:rsid w:val="005266D4"/>
    <w:rsid w:val="00526F09"/>
    <w:rsid w:val="00530298"/>
    <w:rsid w:val="0053132E"/>
    <w:rsid w:val="00532478"/>
    <w:rsid w:val="005339D1"/>
    <w:rsid w:val="00540285"/>
    <w:rsid w:val="00540E2F"/>
    <w:rsid w:val="005435FB"/>
    <w:rsid w:val="0054379A"/>
    <w:rsid w:val="00550B96"/>
    <w:rsid w:val="00552750"/>
    <w:rsid w:val="0055353E"/>
    <w:rsid w:val="00555BA2"/>
    <w:rsid w:val="00556041"/>
    <w:rsid w:val="0055734F"/>
    <w:rsid w:val="005622B6"/>
    <w:rsid w:val="0056275F"/>
    <w:rsid w:val="00562DCF"/>
    <w:rsid w:val="00562F04"/>
    <w:rsid w:val="00563324"/>
    <w:rsid w:val="00563426"/>
    <w:rsid w:val="00564640"/>
    <w:rsid w:val="00565760"/>
    <w:rsid w:val="00566F0E"/>
    <w:rsid w:val="005677AD"/>
    <w:rsid w:val="00571308"/>
    <w:rsid w:val="005730A9"/>
    <w:rsid w:val="00574CE7"/>
    <w:rsid w:val="0057704C"/>
    <w:rsid w:val="005803F4"/>
    <w:rsid w:val="00581D26"/>
    <w:rsid w:val="00585A88"/>
    <w:rsid w:val="0059102D"/>
    <w:rsid w:val="005916C4"/>
    <w:rsid w:val="00592B7E"/>
    <w:rsid w:val="00593DBE"/>
    <w:rsid w:val="0059486A"/>
    <w:rsid w:val="00595A44"/>
    <w:rsid w:val="00597B85"/>
    <w:rsid w:val="005A098B"/>
    <w:rsid w:val="005A304E"/>
    <w:rsid w:val="005A3605"/>
    <w:rsid w:val="005A4328"/>
    <w:rsid w:val="005A4D49"/>
    <w:rsid w:val="005A7A85"/>
    <w:rsid w:val="005B1DAC"/>
    <w:rsid w:val="005B766D"/>
    <w:rsid w:val="005C0239"/>
    <w:rsid w:val="005C4273"/>
    <w:rsid w:val="005C5145"/>
    <w:rsid w:val="005C5F4E"/>
    <w:rsid w:val="005D19A9"/>
    <w:rsid w:val="005D51A1"/>
    <w:rsid w:val="005E29FB"/>
    <w:rsid w:val="005E2DD2"/>
    <w:rsid w:val="005E609E"/>
    <w:rsid w:val="005F0253"/>
    <w:rsid w:val="005F27B9"/>
    <w:rsid w:val="005F3AD5"/>
    <w:rsid w:val="005F4F71"/>
    <w:rsid w:val="005F62D9"/>
    <w:rsid w:val="005F6C53"/>
    <w:rsid w:val="00601DA1"/>
    <w:rsid w:val="00601E16"/>
    <w:rsid w:val="00602B88"/>
    <w:rsid w:val="006038C3"/>
    <w:rsid w:val="00603E46"/>
    <w:rsid w:val="00610F6E"/>
    <w:rsid w:val="00611CEA"/>
    <w:rsid w:val="006132D5"/>
    <w:rsid w:val="00613D11"/>
    <w:rsid w:val="006140CC"/>
    <w:rsid w:val="0061438B"/>
    <w:rsid w:val="006162F5"/>
    <w:rsid w:val="006212EC"/>
    <w:rsid w:val="006218FD"/>
    <w:rsid w:val="00621934"/>
    <w:rsid w:val="00622A23"/>
    <w:rsid w:val="00624228"/>
    <w:rsid w:val="006259CB"/>
    <w:rsid w:val="00626C8D"/>
    <w:rsid w:val="00626D65"/>
    <w:rsid w:val="00627DBF"/>
    <w:rsid w:val="00627E38"/>
    <w:rsid w:val="00632249"/>
    <w:rsid w:val="00634E01"/>
    <w:rsid w:val="00635709"/>
    <w:rsid w:val="006367A1"/>
    <w:rsid w:val="00636857"/>
    <w:rsid w:val="00637A2B"/>
    <w:rsid w:val="00637FCA"/>
    <w:rsid w:val="006404E1"/>
    <w:rsid w:val="00641394"/>
    <w:rsid w:val="006424F1"/>
    <w:rsid w:val="006447F2"/>
    <w:rsid w:val="006447F9"/>
    <w:rsid w:val="0064498B"/>
    <w:rsid w:val="006459AC"/>
    <w:rsid w:val="0064649E"/>
    <w:rsid w:val="00646DF1"/>
    <w:rsid w:val="00647036"/>
    <w:rsid w:val="00647B84"/>
    <w:rsid w:val="00650023"/>
    <w:rsid w:val="006504A9"/>
    <w:rsid w:val="00651EFB"/>
    <w:rsid w:val="00654D08"/>
    <w:rsid w:val="00656F9A"/>
    <w:rsid w:val="006575B3"/>
    <w:rsid w:val="00660A08"/>
    <w:rsid w:val="006610F6"/>
    <w:rsid w:val="006620BA"/>
    <w:rsid w:val="00662717"/>
    <w:rsid w:val="00664560"/>
    <w:rsid w:val="006662A1"/>
    <w:rsid w:val="00666ACE"/>
    <w:rsid w:val="00673746"/>
    <w:rsid w:val="00673BD7"/>
    <w:rsid w:val="006748D6"/>
    <w:rsid w:val="00675885"/>
    <w:rsid w:val="00677EC1"/>
    <w:rsid w:val="00680CCC"/>
    <w:rsid w:val="0068149E"/>
    <w:rsid w:val="0068156F"/>
    <w:rsid w:val="006827D6"/>
    <w:rsid w:val="006845DD"/>
    <w:rsid w:val="00686670"/>
    <w:rsid w:val="0069362E"/>
    <w:rsid w:val="006A1FB2"/>
    <w:rsid w:val="006A3AEA"/>
    <w:rsid w:val="006A4ED4"/>
    <w:rsid w:val="006A609D"/>
    <w:rsid w:val="006A62A6"/>
    <w:rsid w:val="006B231F"/>
    <w:rsid w:val="006B2B37"/>
    <w:rsid w:val="006B2EB8"/>
    <w:rsid w:val="006B324A"/>
    <w:rsid w:val="006B5E4E"/>
    <w:rsid w:val="006B6220"/>
    <w:rsid w:val="006B788D"/>
    <w:rsid w:val="006C2816"/>
    <w:rsid w:val="006C4A63"/>
    <w:rsid w:val="006C632A"/>
    <w:rsid w:val="006C688D"/>
    <w:rsid w:val="006D0194"/>
    <w:rsid w:val="006D11CD"/>
    <w:rsid w:val="006D4512"/>
    <w:rsid w:val="006D6E03"/>
    <w:rsid w:val="006E4865"/>
    <w:rsid w:val="006E55E8"/>
    <w:rsid w:val="006E567D"/>
    <w:rsid w:val="006E7CCA"/>
    <w:rsid w:val="006F0F3C"/>
    <w:rsid w:val="006F0F6A"/>
    <w:rsid w:val="006F36D3"/>
    <w:rsid w:val="006F4194"/>
    <w:rsid w:val="006F4638"/>
    <w:rsid w:val="006F5C33"/>
    <w:rsid w:val="006F7207"/>
    <w:rsid w:val="006F741E"/>
    <w:rsid w:val="006F7E1A"/>
    <w:rsid w:val="007021F5"/>
    <w:rsid w:val="00702DD7"/>
    <w:rsid w:val="00703058"/>
    <w:rsid w:val="007032EB"/>
    <w:rsid w:val="00703F25"/>
    <w:rsid w:val="00704D7F"/>
    <w:rsid w:val="007066B5"/>
    <w:rsid w:val="00707B95"/>
    <w:rsid w:val="00710D35"/>
    <w:rsid w:val="0071206F"/>
    <w:rsid w:val="00713346"/>
    <w:rsid w:val="00716B55"/>
    <w:rsid w:val="00716D3B"/>
    <w:rsid w:val="00720080"/>
    <w:rsid w:val="00722704"/>
    <w:rsid w:val="00723B1D"/>
    <w:rsid w:val="007268E3"/>
    <w:rsid w:val="00726BC1"/>
    <w:rsid w:val="007270B2"/>
    <w:rsid w:val="00732DA2"/>
    <w:rsid w:val="00733830"/>
    <w:rsid w:val="00736608"/>
    <w:rsid w:val="00736F54"/>
    <w:rsid w:val="00740060"/>
    <w:rsid w:val="00740CBA"/>
    <w:rsid w:val="00741DBB"/>
    <w:rsid w:val="00742372"/>
    <w:rsid w:val="00743C6B"/>
    <w:rsid w:val="0074463C"/>
    <w:rsid w:val="00746029"/>
    <w:rsid w:val="00746174"/>
    <w:rsid w:val="00746D8F"/>
    <w:rsid w:val="00750314"/>
    <w:rsid w:val="00750772"/>
    <w:rsid w:val="007530DC"/>
    <w:rsid w:val="007538D3"/>
    <w:rsid w:val="007546AB"/>
    <w:rsid w:val="0075534A"/>
    <w:rsid w:val="00760DC1"/>
    <w:rsid w:val="00761273"/>
    <w:rsid w:val="00762387"/>
    <w:rsid w:val="00766DBF"/>
    <w:rsid w:val="00767E9E"/>
    <w:rsid w:val="00771C0C"/>
    <w:rsid w:val="00771D0E"/>
    <w:rsid w:val="00773E87"/>
    <w:rsid w:val="00774210"/>
    <w:rsid w:val="007743FF"/>
    <w:rsid w:val="00774BE4"/>
    <w:rsid w:val="00775ABC"/>
    <w:rsid w:val="00775D6D"/>
    <w:rsid w:val="00780A15"/>
    <w:rsid w:val="0078316E"/>
    <w:rsid w:val="007834DB"/>
    <w:rsid w:val="00785310"/>
    <w:rsid w:val="00785A76"/>
    <w:rsid w:val="00787C08"/>
    <w:rsid w:val="00787D48"/>
    <w:rsid w:val="00790FC7"/>
    <w:rsid w:val="007929DD"/>
    <w:rsid w:val="007942D9"/>
    <w:rsid w:val="00795893"/>
    <w:rsid w:val="00795A6A"/>
    <w:rsid w:val="00796706"/>
    <w:rsid w:val="007A354C"/>
    <w:rsid w:val="007A47C2"/>
    <w:rsid w:val="007A559F"/>
    <w:rsid w:val="007A57BE"/>
    <w:rsid w:val="007A6409"/>
    <w:rsid w:val="007A659F"/>
    <w:rsid w:val="007A6F07"/>
    <w:rsid w:val="007A708A"/>
    <w:rsid w:val="007B0165"/>
    <w:rsid w:val="007B0530"/>
    <w:rsid w:val="007B11A4"/>
    <w:rsid w:val="007B1A77"/>
    <w:rsid w:val="007B1F64"/>
    <w:rsid w:val="007C09AB"/>
    <w:rsid w:val="007C30A7"/>
    <w:rsid w:val="007C384C"/>
    <w:rsid w:val="007C51A5"/>
    <w:rsid w:val="007C5BF3"/>
    <w:rsid w:val="007C7B3D"/>
    <w:rsid w:val="007C7D83"/>
    <w:rsid w:val="007D226D"/>
    <w:rsid w:val="007D3B33"/>
    <w:rsid w:val="007D58D9"/>
    <w:rsid w:val="007E0DDF"/>
    <w:rsid w:val="007E174A"/>
    <w:rsid w:val="007E36BF"/>
    <w:rsid w:val="007E6165"/>
    <w:rsid w:val="007E6BA9"/>
    <w:rsid w:val="007E7483"/>
    <w:rsid w:val="007F0C2B"/>
    <w:rsid w:val="007F0F86"/>
    <w:rsid w:val="007F3034"/>
    <w:rsid w:val="007F3452"/>
    <w:rsid w:val="007F446F"/>
    <w:rsid w:val="007F4DB6"/>
    <w:rsid w:val="007F5FFE"/>
    <w:rsid w:val="007F610C"/>
    <w:rsid w:val="007F6715"/>
    <w:rsid w:val="007F72A0"/>
    <w:rsid w:val="007F7416"/>
    <w:rsid w:val="007F7827"/>
    <w:rsid w:val="00800633"/>
    <w:rsid w:val="0080091B"/>
    <w:rsid w:val="00804709"/>
    <w:rsid w:val="008101DA"/>
    <w:rsid w:val="0081243C"/>
    <w:rsid w:val="00812938"/>
    <w:rsid w:val="00815169"/>
    <w:rsid w:val="008170B0"/>
    <w:rsid w:val="00817FFC"/>
    <w:rsid w:val="0082084A"/>
    <w:rsid w:val="0082089D"/>
    <w:rsid w:val="00821726"/>
    <w:rsid w:val="00824FDE"/>
    <w:rsid w:val="008253FA"/>
    <w:rsid w:val="008266F8"/>
    <w:rsid w:val="00826E64"/>
    <w:rsid w:val="00827213"/>
    <w:rsid w:val="00827565"/>
    <w:rsid w:val="008276B4"/>
    <w:rsid w:val="00827AF1"/>
    <w:rsid w:val="00827F46"/>
    <w:rsid w:val="0083059C"/>
    <w:rsid w:val="00831A98"/>
    <w:rsid w:val="0083500F"/>
    <w:rsid w:val="00836A1F"/>
    <w:rsid w:val="00836A83"/>
    <w:rsid w:val="00842CCB"/>
    <w:rsid w:val="008437A5"/>
    <w:rsid w:val="00844822"/>
    <w:rsid w:val="0084566E"/>
    <w:rsid w:val="00847C44"/>
    <w:rsid w:val="00852153"/>
    <w:rsid w:val="00853093"/>
    <w:rsid w:val="00855EC3"/>
    <w:rsid w:val="00861559"/>
    <w:rsid w:val="00864D27"/>
    <w:rsid w:val="0086523D"/>
    <w:rsid w:val="0086578E"/>
    <w:rsid w:val="00865A22"/>
    <w:rsid w:val="008667D3"/>
    <w:rsid w:val="00871622"/>
    <w:rsid w:val="008721D6"/>
    <w:rsid w:val="00873087"/>
    <w:rsid w:val="008730C8"/>
    <w:rsid w:val="008733D4"/>
    <w:rsid w:val="00874DD2"/>
    <w:rsid w:val="00884B02"/>
    <w:rsid w:val="0088622D"/>
    <w:rsid w:val="00886530"/>
    <w:rsid w:val="0088667C"/>
    <w:rsid w:val="00886EAA"/>
    <w:rsid w:val="00887898"/>
    <w:rsid w:val="00890371"/>
    <w:rsid w:val="0089172A"/>
    <w:rsid w:val="00892060"/>
    <w:rsid w:val="00892775"/>
    <w:rsid w:val="008929A7"/>
    <w:rsid w:val="0089384B"/>
    <w:rsid w:val="00896041"/>
    <w:rsid w:val="008A06C3"/>
    <w:rsid w:val="008A2FA6"/>
    <w:rsid w:val="008A35AA"/>
    <w:rsid w:val="008A398A"/>
    <w:rsid w:val="008B197F"/>
    <w:rsid w:val="008B23EF"/>
    <w:rsid w:val="008B2FEF"/>
    <w:rsid w:val="008B3FD5"/>
    <w:rsid w:val="008B4D5A"/>
    <w:rsid w:val="008B4D9A"/>
    <w:rsid w:val="008B6C7F"/>
    <w:rsid w:val="008B7004"/>
    <w:rsid w:val="008B7206"/>
    <w:rsid w:val="008B7336"/>
    <w:rsid w:val="008C3F19"/>
    <w:rsid w:val="008C72FF"/>
    <w:rsid w:val="008C74AB"/>
    <w:rsid w:val="008C7978"/>
    <w:rsid w:val="008D2EA1"/>
    <w:rsid w:val="008D355E"/>
    <w:rsid w:val="008D4429"/>
    <w:rsid w:val="008D62D7"/>
    <w:rsid w:val="008D682A"/>
    <w:rsid w:val="008D696E"/>
    <w:rsid w:val="008D769B"/>
    <w:rsid w:val="008E12EB"/>
    <w:rsid w:val="008E2809"/>
    <w:rsid w:val="008E59EB"/>
    <w:rsid w:val="008F3918"/>
    <w:rsid w:val="008F3EE5"/>
    <w:rsid w:val="008F412E"/>
    <w:rsid w:val="008F6E8B"/>
    <w:rsid w:val="008F7348"/>
    <w:rsid w:val="00900E8E"/>
    <w:rsid w:val="00902224"/>
    <w:rsid w:val="00903CB1"/>
    <w:rsid w:val="00904611"/>
    <w:rsid w:val="009046B4"/>
    <w:rsid w:val="00904EB3"/>
    <w:rsid w:val="0090511D"/>
    <w:rsid w:val="00905381"/>
    <w:rsid w:val="00906588"/>
    <w:rsid w:val="00907531"/>
    <w:rsid w:val="00911C03"/>
    <w:rsid w:val="009127E2"/>
    <w:rsid w:val="00913831"/>
    <w:rsid w:val="00913D49"/>
    <w:rsid w:val="00913EB1"/>
    <w:rsid w:val="00916A1B"/>
    <w:rsid w:val="00917135"/>
    <w:rsid w:val="009202B7"/>
    <w:rsid w:val="00922978"/>
    <w:rsid w:val="009249C5"/>
    <w:rsid w:val="00927495"/>
    <w:rsid w:val="009277AE"/>
    <w:rsid w:val="00932586"/>
    <w:rsid w:val="00933594"/>
    <w:rsid w:val="00942509"/>
    <w:rsid w:val="00943D86"/>
    <w:rsid w:val="00943E94"/>
    <w:rsid w:val="0095094F"/>
    <w:rsid w:val="00953446"/>
    <w:rsid w:val="00955037"/>
    <w:rsid w:val="00955C3E"/>
    <w:rsid w:val="00955E7D"/>
    <w:rsid w:val="00961263"/>
    <w:rsid w:val="00961907"/>
    <w:rsid w:val="00961F52"/>
    <w:rsid w:val="00962830"/>
    <w:rsid w:val="009639D8"/>
    <w:rsid w:val="00965D95"/>
    <w:rsid w:val="00965E53"/>
    <w:rsid w:val="00970058"/>
    <w:rsid w:val="00971061"/>
    <w:rsid w:val="00974E99"/>
    <w:rsid w:val="00975061"/>
    <w:rsid w:val="0097676B"/>
    <w:rsid w:val="00977E6D"/>
    <w:rsid w:val="00980EE0"/>
    <w:rsid w:val="00981EA6"/>
    <w:rsid w:val="0098279D"/>
    <w:rsid w:val="00982F8A"/>
    <w:rsid w:val="00986F18"/>
    <w:rsid w:val="0098753F"/>
    <w:rsid w:val="00990375"/>
    <w:rsid w:val="00990719"/>
    <w:rsid w:val="00992BC7"/>
    <w:rsid w:val="00994C45"/>
    <w:rsid w:val="009974C2"/>
    <w:rsid w:val="00997664"/>
    <w:rsid w:val="00997906"/>
    <w:rsid w:val="009A1160"/>
    <w:rsid w:val="009A4AE9"/>
    <w:rsid w:val="009A5C6A"/>
    <w:rsid w:val="009A6B61"/>
    <w:rsid w:val="009B2161"/>
    <w:rsid w:val="009B33F0"/>
    <w:rsid w:val="009B41BB"/>
    <w:rsid w:val="009B47DE"/>
    <w:rsid w:val="009B5534"/>
    <w:rsid w:val="009C148D"/>
    <w:rsid w:val="009C1ADC"/>
    <w:rsid w:val="009C4CCC"/>
    <w:rsid w:val="009C5CAD"/>
    <w:rsid w:val="009D11EF"/>
    <w:rsid w:val="009D2B1D"/>
    <w:rsid w:val="009D39E5"/>
    <w:rsid w:val="009D6C7B"/>
    <w:rsid w:val="009D7B45"/>
    <w:rsid w:val="009E0008"/>
    <w:rsid w:val="009E0EA7"/>
    <w:rsid w:val="009E19E9"/>
    <w:rsid w:val="009E2D8D"/>
    <w:rsid w:val="009E71B1"/>
    <w:rsid w:val="009F05AC"/>
    <w:rsid w:val="009F2352"/>
    <w:rsid w:val="009F527B"/>
    <w:rsid w:val="00A01319"/>
    <w:rsid w:val="00A0497F"/>
    <w:rsid w:val="00A10026"/>
    <w:rsid w:val="00A105D3"/>
    <w:rsid w:val="00A10B82"/>
    <w:rsid w:val="00A1146D"/>
    <w:rsid w:val="00A13228"/>
    <w:rsid w:val="00A233EB"/>
    <w:rsid w:val="00A24011"/>
    <w:rsid w:val="00A25BD3"/>
    <w:rsid w:val="00A25F53"/>
    <w:rsid w:val="00A268F2"/>
    <w:rsid w:val="00A27A58"/>
    <w:rsid w:val="00A36D05"/>
    <w:rsid w:val="00A406B6"/>
    <w:rsid w:val="00A40719"/>
    <w:rsid w:val="00A41DC4"/>
    <w:rsid w:val="00A4419B"/>
    <w:rsid w:val="00A441D8"/>
    <w:rsid w:val="00A463B4"/>
    <w:rsid w:val="00A50D35"/>
    <w:rsid w:val="00A515EC"/>
    <w:rsid w:val="00A52083"/>
    <w:rsid w:val="00A53EE1"/>
    <w:rsid w:val="00A56D34"/>
    <w:rsid w:val="00A617C7"/>
    <w:rsid w:val="00A64091"/>
    <w:rsid w:val="00A66633"/>
    <w:rsid w:val="00A70800"/>
    <w:rsid w:val="00A70CD3"/>
    <w:rsid w:val="00A71FA7"/>
    <w:rsid w:val="00A737CD"/>
    <w:rsid w:val="00A73B4E"/>
    <w:rsid w:val="00A76477"/>
    <w:rsid w:val="00A8038E"/>
    <w:rsid w:val="00A80A75"/>
    <w:rsid w:val="00A819CE"/>
    <w:rsid w:val="00A8232E"/>
    <w:rsid w:val="00A83C51"/>
    <w:rsid w:val="00A84DEF"/>
    <w:rsid w:val="00A85BF2"/>
    <w:rsid w:val="00A86555"/>
    <w:rsid w:val="00A902FD"/>
    <w:rsid w:val="00A90C15"/>
    <w:rsid w:val="00A90E33"/>
    <w:rsid w:val="00A919E1"/>
    <w:rsid w:val="00A91A75"/>
    <w:rsid w:val="00A94EE3"/>
    <w:rsid w:val="00A96DEC"/>
    <w:rsid w:val="00A9733E"/>
    <w:rsid w:val="00A97F82"/>
    <w:rsid w:val="00AA00C1"/>
    <w:rsid w:val="00AA06B3"/>
    <w:rsid w:val="00AA1B86"/>
    <w:rsid w:val="00AA1D46"/>
    <w:rsid w:val="00AA1DCC"/>
    <w:rsid w:val="00AA23F2"/>
    <w:rsid w:val="00AA3C76"/>
    <w:rsid w:val="00AA6CFE"/>
    <w:rsid w:val="00AB7A62"/>
    <w:rsid w:val="00AC0F33"/>
    <w:rsid w:val="00AC2DC9"/>
    <w:rsid w:val="00AC3A9B"/>
    <w:rsid w:val="00AC48B9"/>
    <w:rsid w:val="00AC4CDA"/>
    <w:rsid w:val="00AC6648"/>
    <w:rsid w:val="00AC6ACB"/>
    <w:rsid w:val="00AC76DE"/>
    <w:rsid w:val="00AC7FFA"/>
    <w:rsid w:val="00AD1B0D"/>
    <w:rsid w:val="00AD2232"/>
    <w:rsid w:val="00AD2515"/>
    <w:rsid w:val="00AD2934"/>
    <w:rsid w:val="00AD33A9"/>
    <w:rsid w:val="00AD352B"/>
    <w:rsid w:val="00AD4A06"/>
    <w:rsid w:val="00AD5119"/>
    <w:rsid w:val="00AD7C5A"/>
    <w:rsid w:val="00AE3BBE"/>
    <w:rsid w:val="00AE58E1"/>
    <w:rsid w:val="00AE760D"/>
    <w:rsid w:val="00AF0459"/>
    <w:rsid w:val="00AF0CC0"/>
    <w:rsid w:val="00AF2EDB"/>
    <w:rsid w:val="00AF46AF"/>
    <w:rsid w:val="00AF666B"/>
    <w:rsid w:val="00AF7806"/>
    <w:rsid w:val="00B00CB2"/>
    <w:rsid w:val="00B00E64"/>
    <w:rsid w:val="00B01097"/>
    <w:rsid w:val="00B013D2"/>
    <w:rsid w:val="00B01668"/>
    <w:rsid w:val="00B05F2B"/>
    <w:rsid w:val="00B06B61"/>
    <w:rsid w:val="00B11BD0"/>
    <w:rsid w:val="00B13847"/>
    <w:rsid w:val="00B17162"/>
    <w:rsid w:val="00B20796"/>
    <w:rsid w:val="00B208BE"/>
    <w:rsid w:val="00B230AC"/>
    <w:rsid w:val="00B2537D"/>
    <w:rsid w:val="00B257F8"/>
    <w:rsid w:val="00B26126"/>
    <w:rsid w:val="00B26AC4"/>
    <w:rsid w:val="00B30835"/>
    <w:rsid w:val="00B3218B"/>
    <w:rsid w:val="00B378E1"/>
    <w:rsid w:val="00B37E5A"/>
    <w:rsid w:val="00B4462D"/>
    <w:rsid w:val="00B45AFD"/>
    <w:rsid w:val="00B462B0"/>
    <w:rsid w:val="00B46DEE"/>
    <w:rsid w:val="00B51CC3"/>
    <w:rsid w:val="00B53466"/>
    <w:rsid w:val="00B550E5"/>
    <w:rsid w:val="00B57A86"/>
    <w:rsid w:val="00B60CAE"/>
    <w:rsid w:val="00B6151A"/>
    <w:rsid w:val="00B6279C"/>
    <w:rsid w:val="00B6572D"/>
    <w:rsid w:val="00B657B2"/>
    <w:rsid w:val="00B66964"/>
    <w:rsid w:val="00B701CC"/>
    <w:rsid w:val="00B713F9"/>
    <w:rsid w:val="00B725B9"/>
    <w:rsid w:val="00B7394E"/>
    <w:rsid w:val="00B75320"/>
    <w:rsid w:val="00B762B2"/>
    <w:rsid w:val="00B76A24"/>
    <w:rsid w:val="00B80A29"/>
    <w:rsid w:val="00B8145F"/>
    <w:rsid w:val="00B8243F"/>
    <w:rsid w:val="00B841A9"/>
    <w:rsid w:val="00B84727"/>
    <w:rsid w:val="00B874F3"/>
    <w:rsid w:val="00B91090"/>
    <w:rsid w:val="00B9537A"/>
    <w:rsid w:val="00BA6526"/>
    <w:rsid w:val="00BA6A61"/>
    <w:rsid w:val="00BB0E10"/>
    <w:rsid w:val="00BB3BBE"/>
    <w:rsid w:val="00BB6706"/>
    <w:rsid w:val="00BC3314"/>
    <w:rsid w:val="00BC5906"/>
    <w:rsid w:val="00BC634A"/>
    <w:rsid w:val="00BD6E6E"/>
    <w:rsid w:val="00BE059D"/>
    <w:rsid w:val="00BE3049"/>
    <w:rsid w:val="00BE31E8"/>
    <w:rsid w:val="00BE52BC"/>
    <w:rsid w:val="00BF1CE5"/>
    <w:rsid w:val="00BF303E"/>
    <w:rsid w:val="00BF5CAD"/>
    <w:rsid w:val="00BF600C"/>
    <w:rsid w:val="00BF7B8F"/>
    <w:rsid w:val="00C01354"/>
    <w:rsid w:val="00C01DB3"/>
    <w:rsid w:val="00C02B65"/>
    <w:rsid w:val="00C03236"/>
    <w:rsid w:val="00C04900"/>
    <w:rsid w:val="00C056B1"/>
    <w:rsid w:val="00C07554"/>
    <w:rsid w:val="00C079CB"/>
    <w:rsid w:val="00C07F89"/>
    <w:rsid w:val="00C126A1"/>
    <w:rsid w:val="00C13C8B"/>
    <w:rsid w:val="00C169CD"/>
    <w:rsid w:val="00C16FCA"/>
    <w:rsid w:val="00C2125F"/>
    <w:rsid w:val="00C3180D"/>
    <w:rsid w:val="00C325B9"/>
    <w:rsid w:val="00C32A46"/>
    <w:rsid w:val="00C33B54"/>
    <w:rsid w:val="00C43018"/>
    <w:rsid w:val="00C43F36"/>
    <w:rsid w:val="00C4420B"/>
    <w:rsid w:val="00C45E81"/>
    <w:rsid w:val="00C4686F"/>
    <w:rsid w:val="00C47192"/>
    <w:rsid w:val="00C47945"/>
    <w:rsid w:val="00C47BA9"/>
    <w:rsid w:val="00C50456"/>
    <w:rsid w:val="00C50BC0"/>
    <w:rsid w:val="00C5449B"/>
    <w:rsid w:val="00C54AFD"/>
    <w:rsid w:val="00C553BF"/>
    <w:rsid w:val="00C5687A"/>
    <w:rsid w:val="00C569CB"/>
    <w:rsid w:val="00C56F56"/>
    <w:rsid w:val="00C60B85"/>
    <w:rsid w:val="00C61360"/>
    <w:rsid w:val="00C61A87"/>
    <w:rsid w:val="00C61EF6"/>
    <w:rsid w:val="00C62978"/>
    <w:rsid w:val="00C63530"/>
    <w:rsid w:val="00C63584"/>
    <w:rsid w:val="00C638B8"/>
    <w:rsid w:val="00C67EDE"/>
    <w:rsid w:val="00C70DA5"/>
    <w:rsid w:val="00C71655"/>
    <w:rsid w:val="00C716C4"/>
    <w:rsid w:val="00C71CCE"/>
    <w:rsid w:val="00C722E3"/>
    <w:rsid w:val="00C735C3"/>
    <w:rsid w:val="00C73B18"/>
    <w:rsid w:val="00C756DC"/>
    <w:rsid w:val="00C76B96"/>
    <w:rsid w:val="00C7780F"/>
    <w:rsid w:val="00C80F66"/>
    <w:rsid w:val="00C8745B"/>
    <w:rsid w:val="00C8789A"/>
    <w:rsid w:val="00C87F34"/>
    <w:rsid w:val="00C91C24"/>
    <w:rsid w:val="00C96251"/>
    <w:rsid w:val="00C97BDA"/>
    <w:rsid w:val="00CA3D1C"/>
    <w:rsid w:val="00CA6AE2"/>
    <w:rsid w:val="00CA7D51"/>
    <w:rsid w:val="00CB483E"/>
    <w:rsid w:val="00CB6322"/>
    <w:rsid w:val="00CB7CC8"/>
    <w:rsid w:val="00CB7FDF"/>
    <w:rsid w:val="00CC016C"/>
    <w:rsid w:val="00CC1524"/>
    <w:rsid w:val="00CC38BC"/>
    <w:rsid w:val="00CC3DEA"/>
    <w:rsid w:val="00CC3FD6"/>
    <w:rsid w:val="00CC4646"/>
    <w:rsid w:val="00CC4BBF"/>
    <w:rsid w:val="00CC65D6"/>
    <w:rsid w:val="00CC6F62"/>
    <w:rsid w:val="00CD0E38"/>
    <w:rsid w:val="00CD37FC"/>
    <w:rsid w:val="00CD3951"/>
    <w:rsid w:val="00CD6407"/>
    <w:rsid w:val="00CE0741"/>
    <w:rsid w:val="00CE087B"/>
    <w:rsid w:val="00CE1FEC"/>
    <w:rsid w:val="00CE33BB"/>
    <w:rsid w:val="00CE433D"/>
    <w:rsid w:val="00CE5C34"/>
    <w:rsid w:val="00CE5E64"/>
    <w:rsid w:val="00CF1BA6"/>
    <w:rsid w:val="00CF1D49"/>
    <w:rsid w:val="00CF2220"/>
    <w:rsid w:val="00CF2CC9"/>
    <w:rsid w:val="00CF48EF"/>
    <w:rsid w:val="00CF5831"/>
    <w:rsid w:val="00D00216"/>
    <w:rsid w:val="00D0390E"/>
    <w:rsid w:val="00D03BF9"/>
    <w:rsid w:val="00D05AD2"/>
    <w:rsid w:val="00D076A0"/>
    <w:rsid w:val="00D12369"/>
    <w:rsid w:val="00D12E4A"/>
    <w:rsid w:val="00D153A1"/>
    <w:rsid w:val="00D15D01"/>
    <w:rsid w:val="00D201F4"/>
    <w:rsid w:val="00D20D5E"/>
    <w:rsid w:val="00D21C3E"/>
    <w:rsid w:val="00D21E92"/>
    <w:rsid w:val="00D22C99"/>
    <w:rsid w:val="00D26BDA"/>
    <w:rsid w:val="00D27438"/>
    <w:rsid w:val="00D31CFA"/>
    <w:rsid w:val="00D32E0A"/>
    <w:rsid w:val="00D3314C"/>
    <w:rsid w:val="00D3588A"/>
    <w:rsid w:val="00D3638A"/>
    <w:rsid w:val="00D37186"/>
    <w:rsid w:val="00D40F56"/>
    <w:rsid w:val="00D42938"/>
    <w:rsid w:val="00D436A2"/>
    <w:rsid w:val="00D4394D"/>
    <w:rsid w:val="00D43FF0"/>
    <w:rsid w:val="00D5008E"/>
    <w:rsid w:val="00D51F1D"/>
    <w:rsid w:val="00D5367C"/>
    <w:rsid w:val="00D54704"/>
    <w:rsid w:val="00D56867"/>
    <w:rsid w:val="00D579D9"/>
    <w:rsid w:val="00D57C11"/>
    <w:rsid w:val="00D60C57"/>
    <w:rsid w:val="00D61184"/>
    <w:rsid w:val="00D62676"/>
    <w:rsid w:val="00D62D7A"/>
    <w:rsid w:val="00D643C0"/>
    <w:rsid w:val="00D646EF"/>
    <w:rsid w:val="00D65943"/>
    <w:rsid w:val="00D678EB"/>
    <w:rsid w:val="00D67A9A"/>
    <w:rsid w:val="00D67B99"/>
    <w:rsid w:val="00D72F9D"/>
    <w:rsid w:val="00D73195"/>
    <w:rsid w:val="00D73D18"/>
    <w:rsid w:val="00D74935"/>
    <w:rsid w:val="00D80476"/>
    <w:rsid w:val="00D80B74"/>
    <w:rsid w:val="00D854C3"/>
    <w:rsid w:val="00D861BB"/>
    <w:rsid w:val="00D879F9"/>
    <w:rsid w:val="00D87E19"/>
    <w:rsid w:val="00D90250"/>
    <w:rsid w:val="00D9048A"/>
    <w:rsid w:val="00D92401"/>
    <w:rsid w:val="00D92D73"/>
    <w:rsid w:val="00D9445F"/>
    <w:rsid w:val="00D9458E"/>
    <w:rsid w:val="00D94904"/>
    <w:rsid w:val="00D963EA"/>
    <w:rsid w:val="00D97EAA"/>
    <w:rsid w:val="00DA019A"/>
    <w:rsid w:val="00DA1D15"/>
    <w:rsid w:val="00DA3702"/>
    <w:rsid w:val="00DA3803"/>
    <w:rsid w:val="00DA3916"/>
    <w:rsid w:val="00DA3E33"/>
    <w:rsid w:val="00DA40AA"/>
    <w:rsid w:val="00DA4881"/>
    <w:rsid w:val="00DA53A0"/>
    <w:rsid w:val="00DA5FBF"/>
    <w:rsid w:val="00DA6765"/>
    <w:rsid w:val="00DA79A0"/>
    <w:rsid w:val="00DB36A1"/>
    <w:rsid w:val="00DB6A8E"/>
    <w:rsid w:val="00DB6D61"/>
    <w:rsid w:val="00DC09FD"/>
    <w:rsid w:val="00DC18B9"/>
    <w:rsid w:val="00DC4E7C"/>
    <w:rsid w:val="00DC7978"/>
    <w:rsid w:val="00DD0A4B"/>
    <w:rsid w:val="00DD0C64"/>
    <w:rsid w:val="00DD1AFB"/>
    <w:rsid w:val="00DD27F1"/>
    <w:rsid w:val="00DD4528"/>
    <w:rsid w:val="00DD53A7"/>
    <w:rsid w:val="00DD56A4"/>
    <w:rsid w:val="00DD5DCA"/>
    <w:rsid w:val="00DD6105"/>
    <w:rsid w:val="00DD72CD"/>
    <w:rsid w:val="00DE3476"/>
    <w:rsid w:val="00DE4379"/>
    <w:rsid w:val="00DE50F1"/>
    <w:rsid w:val="00DE633F"/>
    <w:rsid w:val="00DF0229"/>
    <w:rsid w:val="00DF304F"/>
    <w:rsid w:val="00DF38F8"/>
    <w:rsid w:val="00DF45B1"/>
    <w:rsid w:val="00DF6319"/>
    <w:rsid w:val="00DF6BD8"/>
    <w:rsid w:val="00DF783A"/>
    <w:rsid w:val="00E02857"/>
    <w:rsid w:val="00E05C5C"/>
    <w:rsid w:val="00E106B1"/>
    <w:rsid w:val="00E10CD8"/>
    <w:rsid w:val="00E11B05"/>
    <w:rsid w:val="00E12766"/>
    <w:rsid w:val="00E141FF"/>
    <w:rsid w:val="00E14466"/>
    <w:rsid w:val="00E174CD"/>
    <w:rsid w:val="00E176A7"/>
    <w:rsid w:val="00E240DA"/>
    <w:rsid w:val="00E2460D"/>
    <w:rsid w:val="00E24BAE"/>
    <w:rsid w:val="00E26015"/>
    <w:rsid w:val="00E2653C"/>
    <w:rsid w:val="00E30609"/>
    <w:rsid w:val="00E33B1F"/>
    <w:rsid w:val="00E33E24"/>
    <w:rsid w:val="00E355E6"/>
    <w:rsid w:val="00E365A5"/>
    <w:rsid w:val="00E40F3D"/>
    <w:rsid w:val="00E41248"/>
    <w:rsid w:val="00E420B8"/>
    <w:rsid w:val="00E43134"/>
    <w:rsid w:val="00E441CE"/>
    <w:rsid w:val="00E47675"/>
    <w:rsid w:val="00E51132"/>
    <w:rsid w:val="00E5173A"/>
    <w:rsid w:val="00E52137"/>
    <w:rsid w:val="00E52A7D"/>
    <w:rsid w:val="00E54E26"/>
    <w:rsid w:val="00E55E4E"/>
    <w:rsid w:val="00E57235"/>
    <w:rsid w:val="00E62684"/>
    <w:rsid w:val="00E63ED8"/>
    <w:rsid w:val="00E669D9"/>
    <w:rsid w:val="00E66FED"/>
    <w:rsid w:val="00E674AD"/>
    <w:rsid w:val="00E7018B"/>
    <w:rsid w:val="00E70940"/>
    <w:rsid w:val="00E7129C"/>
    <w:rsid w:val="00E717B9"/>
    <w:rsid w:val="00E748C9"/>
    <w:rsid w:val="00E74B49"/>
    <w:rsid w:val="00E76519"/>
    <w:rsid w:val="00E76E23"/>
    <w:rsid w:val="00E80778"/>
    <w:rsid w:val="00E80F55"/>
    <w:rsid w:val="00E82762"/>
    <w:rsid w:val="00E85501"/>
    <w:rsid w:val="00E86E07"/>
    <w:rsid w:val="00E91FD1"/>
    <w:rsid w:val="00E94FCE"/>
    <w:rsid w:val="00E954C7"/>
    <w:rsid w:val="00E96579"/>
    <w:rsid w:val="00EA303A"/>
    <w:rsid w:val="00EA48DF"/>
    <w:rsid w:val="00EB099E"/>
    <w:rsid w:val="00EB1AAB"/>
    <w:rsid w:val="00EB4E35"/>
    <w:rsid w:val="00EB59F8"/>
    <w:rsid w:val="00EB7354"/>
    <w:rsid w:val="00EB7500"/>
    <w:rsid w:val="00EB7A6E"/>
    <w:rsid w:val="00EC00EA"/>
    <w:rsid w:val="00EC055C"/>
    <w:rsid w:val="00EC1AE2"/>
    <w:rsid w:val="00EC2F9C"/>
    <w:rsid w:val="00EC3E30"/>
    <w:rsid w:val="00EC42CA"/>
    <w:rsid w:val="00EC5578"/>
    <w:rsid w:val="00ED00EB"/>
    <w:rsid w:val="00ED161A"/>
    <w:rsid w:val="00ED215A"/>
    <w:rsid w:val="00ED28A0"/>
    <w:rsid w:val="00ED4018"/>
    <w:rsid w:val="00ED759A"/>
    <w:rsid w:val="00ED7EC6"/>
    <w:rsid w:val="00EE2CAD"/>
    <w:rsid w:val="00EE2DDB"/>
    <w:rsid w:val="00EE3223"/>
    <w:rsid w:val="00EE32AB"/>
    <w:rsid w:val="00EE361C"/>
    <w:rsid w:val="00EE769B"/>
    <w:rsid w:val="00EF005C"/>
    <w:rsid w:val="00EF0BA8"/>
    <w:rsid w:val="00EF23BF"/>
    <w:rsid w:val="00EF388D"/>
    <w:rsid w:val="00EF4FA9"/>
    <w:rsid w:val="00EF666F"/>
    <w:rsid w:val="00EF7526"/>
    <w:rsid w:val="00F00F4C"/>
    <w:rsid w:val="00F0312E"/>
    <w:rsid w:val="00F0478C"/>
    <w:rsid w:val="00F072B6"/>
    <w:rsid w:val="00F07C7F"/>
    <w:rsid w:val="00F1136A"/>
    <w:rsid w:val="00F121FD"/>
    <w:rsid w:val="00F123C7"/>
    <w:rsid w:val="00F13903"/>
    <w:rsid w:val="00F152EA"/>
    <w:rsid w:val="00F16B98"/>
    <w:rsid w:val="00F21671"/>
    <w:rsid w:val="00F225F5"/>
    <w:rsid w:val="00F24306"/>
    <w:rsid w:val="00F31116"/>
    <w:rsid w:val="00F32B8F"/>
    <w:rsid w:val="00F349AC"/>
    <w:rsid w:val="00F36309"/>
    <w:rsid w:val="00F36E5E"/>
    <w:rsid w:val="00F37574"/>
    <w:rsid w:val="00F40B47"/>
    <w:rsid w:val="00F414AC"/>
    <w:rsid w:val="00F46DF6"/>
    <w:rsid w:val="00F4785D"/>
    <w:rsid w:val="00F47904"/>
    <w:rsid w:val="00F52598"/>
    <w:rsid w:val="00F53671"/>
    <w:rsid w:val="00F559B1"/>
    <w:rsid w:val="00F562CC"/>
    <w:rsid w:val="00F5696E"/>
    <w:rsid w:val="00F579C1"/>
    <w:rsid w:val="00F57AF4"/>
    <w:rsid w:val="00F57BAE"/>
    <w:rsid w:val="00F6167C"/>
    <w:rsid w:val="00F6195D"/>
    <w:rsid w:val="00F61F55"/>
    <w:rsid w:val="00F661A9"/>
    <w:rsid w:val="00F77F55"/>
    <w:rsid w:val="00F80437"/>
    <w:rsid w:val="00F8118C"/>
    <w:rsid w:val="00F81A31"/>
    <w:rsid w:val="00F81B60"/>
    <w:rsid w:val="00F82480"/>
    <w:rsid w:val="00F8348C"/>
    <w:rsid w:val="00F84167"/>
    <w:rsid w:val="00F86EA6"/>
    <w:rsid w:val="00F87422"/>
    <w:rsid w:val="00F900F3"/>
    <w:rsid w:val="00F90694"/>
    <w:rsid w:val="00F919AC"/>
    <w:rsid w:val="00F92CCB"/>
    <w:rsid w:val="00F973DC"/>
    <w:rsid w:val="00F974D6"/>
    <w:rsid w:val="00F978F4"/>
    <w:rsid w:val="00FA073A"/>
    <w:rsid w:val="00FA20B1"/>
    <w:rsid w:val="00FA20E0"/>
    <w:rsid w:val="00FA6603"/>
    <w:rsid w:val="00FA6998"/>
    <w:rsid w:val="00FA6BC6"/>
    <w:rsid w:val="00FB3241"/>
    <w:rsid w:val="00FB360B"/>
    <w:rsid w:val="00FB389B"/>
    <w:rsid w:val="00FB5322"/>
    <w:rsid w:val="00FB5917"/>
    <w:rsid w:val="00FC0FC7"/>
    <w:rsid w:val="00FC3827"/>
    <w:rsid w:val="00FC761C"/>
    <w:rsid w:val="00FD13AE"/>
    <w:rsid w:val="00FD172A"/>
    <w:rsid w:val="00FD2447"/>
    <w:rsid w:val="00FD3125"/>
    <w:rsid w:val="00FD40A6"/>
    <w:rsid w:val="00FE09BA"/>
    <w:rsid w:val="00FE0A3A"/>
    <w:rsid w:val="00FE351A"/>
    <w:rsid w:val="00FE6303"/>
    <w:rsid w:val="00FE71D4"/>
    <w:rsid w:val="00FE7430"/>
    <w:rsid w:val="00FF09A4"/>
    <w:rsid w:val="00FF171F"/>
    <w:rsid w:val="00FF1AC9"/>
    <w:rsid w:val="00FF284A"/>
    <w:rsid w:val="00FF2BD7"/>
    <w:rsid w:val="00FF5B67"/>
    <w:rsid w:val="00FF5EAD"/>
    <w:rsid w:val="00FF6F38"/>
    <w:rsid w:val="10B14C22"/>
    <w:rsid w:val="1321493F"/>
    <w:rsid w:val="22C274C9"/>
    <w:rsid w:val="26093577"/>
    <w:rsid w:val="355D284F"/>
    <w:rsid w:val="3A9D031B"/>
    <w:rsid w:val="3B9008D2"/>
    <w:rsid w:val="3E261EFC"/>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F21AC09"/>
  <w15:docId w15:val="{E8D81DA5-44CC-4A2E-B8F8-C7043D8C0F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table" w:customStyle="1" w:styleId="12">
    <w:name w:val="网格型1"/>
    <w:basedOn w:val="a1"/>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5">
    <w:name w:val="修订5"/>
    <w:hidden/>
    <w:uiPriority w:val="99"/>
    <w:unhideWhenUsed/>
    <w:qFormat/>
    <w:rPr>
      <w:rFonts w:asciiTheme="minorHAnsi" w:eastAsiaTheme="minorEastAsia" w:hAnsiTheme="minorHAnsi" w:cstheme="minorBidi"/>
      <w:kern w:val="2"/>
      <w:sz w:val="21"/>
      <w:szCs w:val="22"/>
    </w:rPr>
  </w:style>
  <w:style w:type="paragraph" w:customStyle="1" w:styleId="6">
    <w:name w:val="修订6"/>
    <w:hidden/>
    <w:uiPriority w:val="99"/>
    <w:semiHidden/>
    <w:qFormat/>
    <w:rPr>
      <w:rFonts w:asciiTheme="minorHAnsi" w:eastAsiaTheme="minorEastAsia" w:hAnsiTheme="minorHAnsi" w:cstheme="minorBidi"/>
      <w:kern w:val="2"/>
      <w:sz w:val="21"/>
      <w:szCs w:val="22"/>
    </w:rPr>
  </w:style>
  <w:style w:type="paragraph" w:styleId="aff2">
    <w:name w:val="Revision"/>
    <w:hidden/>
    <w:uiPriority w:val="99"/>
    <w:unhideWhenUsed/>
    <w:rsid w:val="007B1F64"/>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www.jiyufund.com.cn/" TargetMode="External"/><Relationship Id="rId18" Type="http://schemas.openxmlformats.org/officeDocument/2006/relationships/hyperlink" Target="http://www.wacaijijin.com" TargetMode="External"/><Relationship Id="rId26" Type="http://schemas.openxmlformats.org/officeDocument/2006/relationships/footer" Target="footer6.xml"/><Relationship Id="rId39" Type="http://schemas.openxmlformats.org/officeDocument/2006/relationships/footer" Target="footer17.xml"/><Relationship Id="rId21" Type="http://schemas.openxmlformats.org/officeDocument/2006/relationships/hyperlink" Target="http://www.snjijin" TargetMode="External"/><Relationship Id="rId34" Type="http://schemas.openxmlformats.org/officeDocument/2006/relationships/footer" Target="footer12.xml"/><Relationship Id="rId42" Type="http://schemas.openxmlformats.org/officeDocument/2006/relationships/footer" Target="footer20.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jjmmw.com" TargetMode="External"/><Relationship Id="rId20" Type="http://schemas.openxmlformats.org/officeDocument/2006/relationships/hyperlink" Target="http://www.taixincf.com" TargetMode="External"/><Relationship Id="rId29" Type="http://schemas.openxmlformats.org/officeDocument/2006/relationships/image" Target="media/image1.jpeg"/><Relationship Id="rId41"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hyperlink" Target="http://www.licaike.com" TargetMode="External"/><Relationship Id="rId32" Type="http://schemas.openxmlformats.org/officeDocument/2006/relationships/footer" Target="footer10.xml"/><Relationship Id="rId37" Type="http://schemas.openxmlformats.org/officeDocument/2006/relationships/footer" Target="footer15.xml"/><Relationship Id="rId40"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hyperlink" Target="http://www.zlfund.cn" TargetMode="External"/><Relationship Id="rId23" Type="http://schemas.openxmlformats.org/officeDocument/2006/relationships/hyperlink" Target="http://www.txfund.com" TargetMode="External"/><Relationship Id="rId28" Type="http://schemas.openxmlformats.org/officeDocument/2006/relationships/footer" Target="footer8.xml"/><Relationship Id="rId36" Type="http://schemas.openxmlformats.org/officeDocument/2006/relationships/footer" Target="footer14.xml"/><Relationship Id="rId10" Type="http://schemas.openxmlformats.org/officeDocument/2006/relationships/footer" Target="footer2.xml"/><Relationship Id="rId19" Type="http://schemas.openxmlformats.org/officeDocument/2006/relationships/hyperlink" Target="http://www.vstonewealth.com" TargetMode="External"/><Relationship Id="rId31" Type="http://schemas.openxmlformats.org/officeDocument/2006/relationships/footer" Target="footer9.xm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5ifund.com" TargetMode="External"/><Relationship Id="rId22" Type="http://schemas.openxmlformats.org/officeDocument/2006/relationships/hyperlink" Target="http://www.puyifund.com" TargetMode="External"/><Relationship Id="rId27" Type="http://schemas.openxmlformats.org/officeDocument/2006/relationships/footer" Target="footer7.xml"/><Relationship Id="rId30" Type="http://schemas.openxmlformats.org/officeDocument/2006/relationships/image" Target="media/image2.jpeg"/><Relationship Id="rId35" Type="http://schemas.openxmlformats.org/officeDocument/2006/relationships/footer" Target="footer13.xml"/><Relationship Id="rId43" Type="http://schemas.openxmlformats.org/officeDocument/2006/relationships/fontTable" Target="fontTable.xml"/><Relationship Id="rId8" Type="http://schemas.openxmlformats.org/officeDocument/2006/relationships/header" Target="header1.xml"/><Relationship Id="rId3" Type="http://schemas.openxmlformats.org/officeDocument/2006/relationships/styles" Target="styles.xml"/><Relationship Id="rId12" Type="http://schemas.openxmlformats.org/officeDocument/2006/relationships/footer" Target="footer4.xml"/><Relationship Id="rId17" Type="http://schemas.openxmlformats.org/officeDocument/2006/relationships/hyperlink" Target="http://danjuanapp.com/" TargetMode="External"/><Relationship Id="rId25" Type="http://schemas.openxmlformats.org/officeDocument/2006/relationships/footer" Target="footer5.xml"/><Relationship Id="rId33" Type="http://schemas.openxmlformats.org/officeDocument/2006/relationships/footer" Target="footer11.xml"/><Relationship Id="rId38" Type="http://schemas.openxmlformats.org/officeDocument/2006/relationships/footer" Target="footer16.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9A70B3-219F-4AAB-AD92-6DE07970E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124</Pages>
  <Words>13154</Words>
  <Characters>74979</Characters>
  <Application>Microsoft Office Word</Application>
  <DocSecurity>0</DocSecurity>
  <Lines>624</Lines>
  <Paragraphs>175</Paragraphs>
  <ScaleCrop>false</ScaleCrop>
  <Company/>
  <LinksUpToDate>false</LinksUpToDate>
  <CharactersWithSpaces>87958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胡玥</dc:creator>
  <cp:lastModifiedBy>徐铮</cp:lastModifiedBy>
  <cp:revision>12</cp:revision>
  <cp:lastPrinted>2019-11-22T01:50:00Z</cp:lastPrinted>
  <dcterms:created xsi:type="dcterms:W3CDTF">2024-08-28T01:12:00Z</dcterms:created>
  <dcterms:modified xsi:type="dcterms:W3CDTF">2025-02-21T01:15:00Z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3E6C410A2F9D4E3280CEBD2F9AB8137F_13</vt:lpwstr>
  </property>
  <property fmtid="{D5CDD505-2E9C-101B-9397-08002B2CF9AE}" pid="4" name="KSOTemplateDocerSaveRecord">
    <vt:lpwstr>eyJoZGlkIjoiOTJiNGIxMWYyMGQxMGUwNzEzNjg5OWFkODNmZmRmYWEiLCJ1c2VySWQiOiIzNTU5Mzk0MTIifQ==</vt:lpwstr>
  </property>
</Properties>
</file>