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FAA7C" w14:textId="77777777" w:rsidR="009D10D8" w:rsidRDefault="009D10D8">
      <w:pPr>
        <w:tabs>
          <w:tab w:val="left" w:pos="6660"/>
        </w:tabs>
        <w:spacing w:line="360" w:lineRule="auto"/>
        <w:jc w:val="center"/>
        <w:rPr>
          <w:rFonts w:asciiTheme="minorEastAsia" w:hAnsiTheme="minorEastAsia" w:cs="Times New Roman"/>
          <w:bCs/>
          <w:sz w:val="48"/>
          <w:szCs w:val="48"/>
        </w:rPr>
      </w:pPr>
    </w:p>
    <w:p w14:paraId="2AEC3B14" w14:textId="77777777" w:rsidR="009D10D8" w:rsidRDefault="009D10D8">
      <w:pPr>
        <w:spacing w:line="360" w:lineRule="auto"/>
        <w:jc w:val="center"/>
        <w:rPr>
          <w:rFonts w:asciiTheme="minorEastAsia" w:hAnsiTheme="minorEastAsia" w:cs="Times New Roman"/>
          <w:b/>
          <w:sz w:val="48"/>
          <w:szCs w:val="48"/>
        </w:rPr>
      </w:pPr>
    </w:p>
    <w:p w14:paraId="43A3348C" w14:textId="77777777" w:rsidR="009D10D8" w:rsidRDefault="009D10D8">
      <w:pPr>
        <w:adjustRightInd w:val="0"/>
        <w:snapToGrid w:val="0"/>
        <w:spacing w:line="360" w:lineRule="auto"/>
        <w:jc w:val="center"/>
        <w:rPr>
          <w:rFonts w:asciiTheme="minorEastAsia" w:hAnsiTheme="minorEastAsia" w:cs="Arial"/>
          <w:sz w:val="48"/>
          <w:szCs w:val="48"/>
        </w:rPr>
      </w:pPr>
      <w:bookmarkStart w:id="0" w:name="_Toc123701386"/>
      <w:bookmarkStart w:id="1" w:name="_Toc123112227"/>
      <w:bookmarkStart w:id="2" w:name="_Toc139991729"/>
      <w:bookmarkStart w:id="3" w:name="_Toc123112266"/>
    </w:p>
    <w:p w14:paraId="6723C73B" w14:textId="77777777" w:rsidR="009D10D8" w:rsidRDefault="009E4577">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富荣研究优选混合型证券投资基金</w:t>
      </w:r>
    </w:p>
    <w:p w14:paraId="629F239C" w14:textId="5AE24CE0" w:rsidR="009D10D8" w:rsidRDefault="009E4577">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招募说明书</w:t>
      </w:r>
    </w:p>
    <w:p w14:paraId="0E25F735" w14:textId="77777777" w:rsidR="009D10D8" w:rsidRDefault="009D10D8">
      <w:pPr>
        <w:adjustRightInd w:val="0"/>
        <w:snapToGrid w:val="0"/>
        <w:spacing w:line="360" w:lineRule="auto"/>
        <w:jc w:val="center"/>
        <w:rPr>
          <w:rFonts w:asciiTheme="minorEastAsia" w:hAnsiTheme="minorEastAsia" w:cs="Times New Roman"/>
          <w:b/>
          <w:sz w:val="36"/>
          <w:szCs w:val="36"/>
        </w:rPr>
      </w:pPr>
    </w:p>
    <w:p w14:paraId="6189766E" w14:textId="77777777" w:rsidR="009D10D8" w:rsidRDefault="009D10D8">
      <w:pPr>
        <w:adjustRightInd w:val="0"/>
        <w:snapToGrid w:val="0"/>
        <w:spacing w:line="360" w:lineRule="auto"/>
        <w:jc w:val="center"/>
        <w:rPr>
          <w:rFonts w:asciiTheme="minorEastAsia" w:hAnsiTheme="minorEastAsia" w:cs="Arial"/>
          <w:sz w:val="36"/>
          <w:szCs w:val="36"/>
        </w:rPr>
      </w:pPr>
    </w:p>
    <w:p w14:paraId="7191536B" w14:textId="77777777" w:rsidR="009D10D8" w:rsidRDefault="009D10D8">
      <w:pPr>
        <w:adjustRightInd w:val="0"/>
        <w:snapToGrid w:val="0"/>
        <w:spacing w:line="360" w:lineRule="auto"/>
        <w:jc w:val="center"/>
        <w:rPr>
          <w:rFonts w:asciiTheme="minorEastAsia" w:hAnsiTheme="minorEastAsia" w:cs="Arial"/>
          <w:sz w:val="36"/>
          <w:szCs w:val="36"/>
        </w:rPr>
      </w:pPr>
    </w:p>
    <w:p w14:paraId="6F3A1A91" w14:textId="77777777" w:rsidR="009D10D8" w:rsidRDefault="009D10D8">
      <w:pPr>
        <w:adjustRightInd w:val="0"/>
        <w:snapToGrid w:val="0"/>
        <w:spacing w:line="360" w:lineRule="auto"/>
        <w:jc w:val="center"/>
        <w:rPr>
          <w:rFonts w:asciiTheme="minorEastAsia" w:hAnsiTheme="minorEastAsia" w:cs="Arial"/>
          <w:sz w:val="36"/>
          <w:szCs w:val="36"/>
        </w:rPr>
      </w:pPr>
    </w:p>
    <w:p w14:paraId="231A1FB1" w14:textId="77777777" w:rsidR="009D10D8" w:rsidRDefault="009D10D8">
      <w:pPr>
        <w:adjustRightInd w:val="0"/>
        <w:snapToGrid w:val="0"/>
        <w:spacing w:line="360" w:lineRule="auto"/>
        <w:jc w:val="center"/>
        <w:rPr>
          <w:rFonts w:asciiTheme="minorEastAsia" w:hAnsiTheme="minorEastAsia" w:cs="Arial"/>
          <w:sz w:val="36"/>
          <w:szCs w:val="36"/>
        </w:rPr>
      </w:pPr>
    </w:p>
    <w:p w14:paraId="3C3E9C3F" w14:textId="77777777" w:rsidR="009D10D8" w:rsidRDefault="009D10D8">
      <w:pPr>
        <w:adjustRightInd w:val="0"/>
        <w:snapToGrid w:val="0"/>
        <w:spacing w:line="360" w:lineRule="auto"/>
        <w:jc w:val="center"/>
        <w:rPr>
          <w:rFonts w:asciiTheme="minorEastAsia" w:hAnsiTheme="minorEastAsia" w:cs="Arial"/>
          <w:sz w:val="36"/>
          <w:szCs w:val="36"/>
        </w:rPr>
      </w:pPr>
    </w:p>
    <w:p w14:paraId="48FCF9A6" w14:textId="77777777" w:rsidR="009D10D8" w:rsidRDefault="009D10D8">
      <w:pPr>
        <w:adjustRightInd w:val="0"/>
        <w:snapToGrid w:val="0"/>
        <w:spacing w:line="360" w:lineRule="auto"/>
        <w:jc w:val="center"/>
        <w:rPr>
          <w:rFonts w:asciiTheme="minorEastAsia" w:hAnsiTheme="minorEastAsia" w:cs="Arial"/>
          <w:sz w:val="36"/>
          <w:szCs w:val="36"/>
        </w:rPr>
      </w:pPr>
    </w:p>
    <w:p w14:paraId="2C022A33" w14:textId="77777777" w:rsidR="009D10D8" w:rsidRDefault="009E4577">
      <w:pPr>
        <w:snapToGrid w:val="0"/>
        <w:spacing w:line="360" w:lineRule="auto"/>
        <w:jc w:val="center"/>
        <w:rPr>
          <w:rFonts w:ascii="Arial" w:eastAsia="宋体" w:hAnsi="Arial" w:cs="Times New Roman"/>
          <w:b/>
          <w:sz w:val="36"/>
          <w:szCs w:val="36"/>
        </w:rPr>
      </w:pPr>
      <w:bookmarkStart w:id="4" w:name="_Toc139992301"/>
      <w:bookmarkStart w:id="5" w:name="_Toc123701383"/>
      <w:bookmarkStart w:id="6" w:name="_Toc139991726"/>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6A19B8A6" w14:textId="77777777" w:rsidR="009D10D8" w:rsidRDefault="009E4577">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23112225"/>
      <w:bookmarkStart w:id="11" w:name="_Toc123112264"/>
      <w:bookmarkStart w:id="12" w:name="_Toc139992302"/>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浙商银行股份有限公司</w:t>
      </w:r>
    </w:p>
    <w:p w14:paraId="77CD9523" w14:textId="77777777" w:rsidR="009D10D8" w:rsidRDefault="009D10D8">
      <w:pPr>
        <w:autoSpaceDE w:val="0"/>
        <w:autoSpaceDN w:val="0"/>
        <w:adjustRightInd w:val="0"/>
        <w:snapToGrid w:val="0"/>
        <w:spacing w:line="360" w:lineRule="auto"/>
        <w:jc w:val="center"/>
        <w:rPr>
          <w:rFonts w:asciiTheme="minorEastAsia" w:hAnsiTheme="minorEastAsia" w:cs="Arial"/>
          <w:b/>
          <w:bCs/>
          <w:sz w:val="28"/>
          <w:szCs w:val="28"/>
        </w:rPr>
      </w:pPr>
    </w:p>
    <w:p w14:paraId="24DF61F1" w14:textId="77777777" w:rsidR="009D10D8" w:rsidRDefault="009D10D8">
      <w:pPr>
        <w:autoSpaceDE w:val="0"/>
        <w:autoSpaceDN w:val="0"/>
        <w:adjustRightInd w:val="0"/>
        <w:snapToGrid w:val="0"/>
        <w:spacing w:line="360" w:lineRule="auto"/>
        <w:jc w:val="center"/>
        <w:rPr>
          <w:rFonts w:asciiTheme="minorEastAsia" w:hAnsiTheme="minorEastAsia" w:cs="Arial"/>
          <w:b/>
          <w:bCs/>
          <w:sz w:val="28"/>
          <w:szCs w:val="28"/>
        </w:rPr>
      </w:pPr>
    </w:p>
    <w:p w14:paraId="2D567251" w14:textId="77777777" w:rsidR="009D10D8" w:rsidRDefault="009D10D8">
      <w:pPr>
        <w:widowControl/>
        <w:spacing w:line="360" w:lineRule="auto"/>
        <w:jc w:val="center"/>
        <w:rPr>
          <w:rFonts w:ascii="Arial" w:eastAsia="宋体" w:hAnsi="Arial" w:cs="Arial"/>
          <w:b/>
          <w:bCs/>
          <w:kern w:val="0"/>
          <w:sz w:val="28"/>
          <w:szCs w:val="28"/>
        </w:rPr>
        <w:sectPr w:rsidR="009D10D8">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686C6949" w14:textId="77777777" w:rsidR="009D10D8" w:rsidRDefault="009E4577">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21009E3" w14:textId="77777777" w:rsidR="009D10D8" w:rsidRDefault="009D10D8">
      <w:pPr>
        <w:autoSpaceDE w:val="0"/>
        <w:autoSpaceDN w:val="0"/>
        <w:adjustRightInd w:val="0"/>
        <w:snapToGrid w:val="0"/>
        <w:spacing w:line="360" w:lineRule="auto"/>
        <w:jc w:val="center"/>
        <w:rPr>
          <w:rFonts w:ascii="Arial" w:eastAsia="宋体" w:hAnsi="Arial" w:cs="Arial"/>
          <w:b/>
          <w:bCs/>
          <w:szCs w:val="21"/>
        </w:rPr>
      </w:pPr>
    </w:p>
    <w:p w14:paraId="5C580050" w14:textId="2BAB5573"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1、本基金根据</w:t>
      </w:r>
      <w:r w:rsidR="00F4197A">
        <w:rPr>
          <w:rFonts w:asciiTheme="minorEastAsia" w:hAnsiTheme="minorEastAsia" w:cs="Arial"/>
          <w:bCs/>
          <w:color w:val="000000"/>
          <w:sz w:val="24"/>
          <w:szCs w:val="24"/>
        </w:rPr>
        <w:t>2022</w:t>
      </w:r>
      <w:r>
        <w:rPr>
          <w:rFonts w:asciiTheme="minorEastAsia" w:hAnsiTheme="minorEastAsia" w:cs="Arial" w:hint="eastAsia"/>
          <w:bCs/>
          <w:color w:val="000000"/>
          <w:sz w:val="24"/>
          <w:szCs w:val="24"/>
        </w:rPr>
        <w:t>年</w:t>
      </w:r>
      <w:r w:rsidR="00F4197A">
        <w:rPr>
          <w:rFonts w:asciiTheme="minorEastAsia" w:hAnsiTheme="minorEastAsia" w:cs="Arial" w:hint="eastAsia"/>
          <w:bCs/>
          <w:color w:val="000000"/>
          <w:sz w:val="24"/>
          <w:szCs w:val="24"/>
        </w:rPr>
        <w:t>4</w:t>
      </w:r>
      <w:r>
        <w:rPr>
          <w:rFonts w:asciiTheme="minorEastAsia" w:hAnsiTheme="minorEastAsia" w:cs="Arial" w:hint="eastAsia"/>
          <w:bCs/>
          <w:color w:val="000000"/>
          <w:sz w:val="24"/>
          <w:szCs w:val="24"/>
        </w:rPr>
        <w:t>月</w:t>
      </w:r>
      <w:r w:rsidR="00F4197A">
        <w:rPr>
          <w:rFonts w:asciiTheme="minorEastAsia" w:hAnsiTheme="minorEastAsia" w:cs="Arial"/>
          <w:bCs/>
          <w:color w:val="000000"/>
          <w:sz w:val="24"/>
          <w:szCs w:val="24"/>
        </w:rPr>
        <w:t>14</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中国证券监督管理委员会（以下简称“中国证监会”）《关于准予富荣研究优选混合型证券投资基金注册的批复》（</w:t>
      </w:r>
      <w:r>
        <w:rPr>
          <w:rFonts w:asciiTheme="minorEastAsia" w:hAnsiTheme="minorEastAsia" w:cs="Arial" w:hint="eastAsia"/>
          <w:bCs/>
          <w:color w:val="000000"/>
          <w:kern w:val="0"/>
          <w:sz w:val="24"/>
          <w:szCs w:val="24"/>
        </w:rPr>
        <w:t>证监许可</w:t>
      </w:r>
      <w:r w:rsidR="00381810">
        <w:rPr>
          <w:rFonts w:asciiTheme="minorEastAsia" w:hAnsiTheme="minorEastAsia" w:cs="Arial" w:hint="eastAsia"/>
          <w:bCs/>
          <w:color w:val="000000"/>
          <w:kern w:val="0"/>
          <w:sz w:val="24"/>
          <w:szCs w:val="24"/>
        </w:rPr>
        <w:t>【2</w:t>
      </w:r>
      <w:r w:rsidR="00381810">
        <w:rPr>
          <w:rFonts w:asciiTheme="minorEastAsia" w:hAnsiTheme="minorEastAsia" w:cs="Arial"/>
          <w:bCs/>
          <w:color w:val="000000"/>
          <w:kern w:val="0"/>
          <w:sz w:val="24"/>
          <w:szCs w:val="24"/>
        </w:rPr>
        <w:t>022</w:t>
      </w:r>
      <w:r w:rsidR="00381810">
        <w:rPr>
          <w:rFonts w:asciiTheme="minorEastAsia" w:hAnsiTheme="minorEastAsia" w:cs="Arial" w:hint="eastAsia"/>
          <w:bCs/>
          <w:color w:val="000000"/>
          <w:kern w:val="0"/>
          <w:sz w:val="24"/>
          <w:szCs w:val="24"/>
        </w:rPr>
        <w:t>】</w:t>
      </w:r>
      <w:r w:rsidR="0039785F">
        <w:rPr>
          <w:rFonts w:asciiTheme="minorEastAsia" w:hAnsiTheme="minorEastAsia" w:cs="Arial" w:hint="eastAsia"/>
          <w:bCs/>
          <w:color w:val="000000"/>
          <w:sz w:val="24"/>
          <w:szCs w:val="24"/>
        </w:rPr>
        <w:t>7</w:t>
      </w:r>
      <w:r w:rsidR="0039785F">
        <w:rPr>
          <w:rFonts w:asciiTheme="minorEastAsia" w:hAnsiTheme="minorEastAsia" w:cs="Arial"/>
          <w:bCs/>
          <w:color w:val="000000"/>
          <w:sz w:val="24"/>
          <w:szCs w:val="24"/>
        </w:rPr>
        <w:t>62</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w:t>
      </w:r>
      <w:r w:rsidR="00C55A70" w:rsidRPr="00C55A70">
        <w:rPr>
          <w:rFonts w:asciiTheme="minorEastAsia" w:hAnsiTheme="minorEastAsia" w:cs="Arial" w:hint="eastAsia"/>
          <w:bCs/>
          <w:color w:val="000000"/>
          <w:kern w:val="0"/>
          <w:sz w:val="24"/>
          <w:szCs w:val="24"/>
        </w:rPr>
        <w:t>，以及2023年3月8日中国证监会《关于富荣研究优选混合型</w:t>
      </w:r>
      <w:r w:rsidR="00C55A70">
        <w:rPr>
          <w:rFonts w:asciiTheme="minorEastAsia" w:hAnsiTheme="minorEastAsia" w:cs="Arial" w:hint="eastAsia"/>
          <w:bCs/>
          <w:color w:val="000000"/>
          <w:kern w:val="0"/>
          <w:sz w:val="24"/>
          <w:szCs w:val="24"/>
        </w:rPr>
        <w:t>证券投资基金延期募集备案的回函</w:t>
      </w:r>
      <w:r w:rsidR="00C55A70" w:rsidRPr="00C55A70">
        <w:rPr>
          <w:rFonts w:asciiTheme="minorEastAsia" w:hAnsiTheme="minorEastAsia" w:cs="Arial" w:hint="eastAsia"/>
          <w:bCs/>
          <w:color w:val="000000"/>
          <w:kern w:val="0"/>
          <w:sz w:val="24"/>
          <w:szCs w:val="24"/>
        </w:rPr>
        <w:t>》</w:t>
      </w:r>
      <w:r w:rsidR="009816B8">
        <w:rPr>
          <w:rFonts w:asciiTheme="minorEastAsia" w:hAnsiTheme="minorEastAsia" w:cs="Arial" w:hint="eastAsia"/>
          <w:bCs/>
          <w:color w:val="000000"/>
          <w:kern w:val="0"/>
          <w:sz w:val="24"/>
          <w:szCs w:val="24"/>
        </w:rPr>
        <w:t>（机构部函【2</w:t>
      </w:r>
      <w:r w:rsidR="009816B8">
        <w:rPr>
          <w:rFonts w:asciiTheme="minorEastAsia" w:hAnsiTheme="minorEastAsia" w:cs="Arial"/>
          <w:bCs/>
          <w:color w:val="000000"/>
          <w:kern w:val="0"/>
          <w:sz w:val="24"/>
          <w:szCs w:val="24"/>
        </w:rPr>
        <w:t>023</w:t>
      </w:r>
      <w:r w:rsidR="009816B8">
        <w:rPr>
          <w:rFonts w:asciiTheme="minorEastAsia" w:hAnsiTheme="minorEastAsia" w:cs="Arial" w:hint="eastAsia"/>
          <w:bCs/>
          <w:color w:val="000000"/>
          <w:kern w:val="0"/>
          <w:sz w:val="24"/>
          <w:szCs w:val="24"/>
        </w:rPr>
        <w:t>】2</w:t>
      </w:r>
      <w:r w:rsidR="009816B8">
        <w:rPr>
          <w:rFonts w:asciiTheme="minorEastAsia" w:hAnsiTheme="minorEastAsia" w:cs="Arial"/>
          <w:bCs/>
          <w:color w:val="000000"/>
          <w:kern w:val="0"/>
          <w:sz w:val="24"/>
          <w:szCs w:val="24"/>
        </w:rPr>
        <w:t>80</w:t>
      </w:r>
      <w:r w:rsidR="009816B8">
        <w:rPr>
          <w:rFonts w:asciiTheme="minorEastAsia" w:hAnsiTheme="minorEastAsia" w:cs="Arial" w:hint="eastAsia"/>
          <w:bCs/>
          <w:color w:val="000000"/>
          <w:kern w:val="0"/>
          <w:sz w:val="24"/>
          <w:szCs w:val="24"/>
        </w:rPr>
        <w:t>号）</w:t>
      </w:r>
      <w:r>
        <w:rPr>
          <w:rFonts w:asciiTheme="minorEastAsia" w:hAnsiTheme="minorEastAsia" w:cs="Arial" w:hint="eastAsia"/>
          <w:bCs/>
          <w:color w:val="000000"/>
          <w:kern w:val="0"/>
          <w:sz w:val="24"/>
          <w:szCs w:val="24"/>
        </w:rPr>
        <w:t>进行募集。</w:t>
      </w:r>
    </w:p>
    <w:p w14:paraId="3710D567"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1BD7B02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信用风险、管理风险、操作风险、流动性风险、合规风险、投资于本基金的特有风险及其他风险等。本基金为混合型证券投资基金，其预期风险收益水平高于</w:t>
      </w:r>
      <w:r>
        <w:rPr>
          <w:rFonts w:asciiTheme="minorEastAsia" w:hAnsiTheme="minorEastAsia" w:cs="Arial" w:hint="eastAsia"/>
          <w:bCs/>
          <w:sz w:val="24"/>
          <w:szCs w:val="24"/>
        </w:rPr>
        <w:t>债券型基金及货币市场基金，低于股票型基金</w:t>
      </w:r>
      <w:r>
        <w:rPr>
          <w:rFonts w:asciiTheme="minorEastAsia" w:hAnsiTheme="minorEastAsia" w:cs="Arial" w:hint="eastAsia"/>
          <w:sz w:val="24"/>
          <w:szCs w:val="24"/>
        </w:rPr>
        <w:t>。</w:t>
      </w:r>
    </w:p>
    <w:p w14:paraId="3C8E8D6F"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43D4A20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F59DEE8"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本基金的投资范围包括股指期货、国债期货、股票期权，可能面临市场风险、流动性风险、基差风险、保证金风险、信用风险和操作风险等。</w:t>
      </w:r>
    </w:p>
    <w:p w14:paraId="45C952BB" w14:textId="0FE14DE2"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为对冲信用风险，本基金可能投资于信用衍生品。信用衍生品的投资可能面临流动性风险、偿付风险以及价格波动风险等。具体风险烦请查阅本基金招募说明书的“风险揭示”章节的具体内容。</w:t>
      </w:r>
    </w:p>
    <w:p w14:paraId="517585A2" w14:textId="5A7B0532" w:rsidR="0085407A" w:rsidRPr="0085407A" w:rsidRDefault="0085407A">
      <w:pPr>
        <w:autoSpaceDE w:val="0"/>
        <w:autoSpaceDN w:val="0"/>
        <w:adjustRightInd w:val="0"/>
        <w:snapToGrid w:val="0"/>
        <w:spacing w:line="360" w:lineRule="auto"/>
        <w:ind w:firstLineChars="200" w:firstLine="480"/>
        <w:rPr>
          <w:rFonts w:asciiTheme="minorEastAsia" w:hAnsiTheme="minorEastAsia" w:cs="Arial"/>
          <w:sz w:val="24"/>
          <w:szCs w:val="24"/>
        </w:rPr>
      </w:pPr>
      <w:r w:rsidRPr="0085407A">
        <w:rPr>
          <w:rFonts w:asciiTheme="minorEastAsia" w:hAnsiTheme="minorEastAsia" w:cs="Arial" w:hint="eastAsia"/>
          <w:sz w:val="24"/>
          <w:szCs w:val="24"/>
        </w:rPr>
        <w:t>当本基金持有特定资产且存在或潜在大额赎回申请时，基金管理人履行相应程序后，可以启用侧袋机制，具体详见基金合同和本招募说明书的有关章节。侧</w:t>
      </w:r>
      <w:r w:rsidRPr="0085407A">
        <w:rPr>
          <w:rFonts w:asciiTheme="minorEastAsia" w:hAnsiTheme="minorEastAsia" w:cs="Arial" w:hint="eastAsia"/>
          <w:sz w:val="24"/>
          <w:szCs w:val="24"/>
        </w:rPr>
        <w:lastRenderedPageBreak/>
        <w:t>袋机制实施期间，基金管理人将对基金简称进行特殊标识，并不办理侧袋账户的申购赎回。请基金份额持有人仔细阅读相关内容并关注本基金启用侧袋机制时的特定风险。</w:t>
      </w:r>
    </w:p>
    <w:p w14:paraId="5777B1B7"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5E994E5"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有风险，投资人认购（或申购）基金时应认真阅读基金合同、本招募说明书、基金产品资料概要等信息披露文件，自主判断基金的投资价值，自主做出投资决策，自行承担投资风险。基金的过往业绩并不预示其未来表现。基金管理人管理的其他基金的业绩并不构成新基金业绩表现的保证。</w:t>
      </w:r>
    </w:p>
    <w:p w14:paraId="0D01DFC0"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1BF171F7" w14:textId="77777777" w:rsidR="009D10D8" w:rsidRDefault="009D10D8">
      <w:pPr>
        <w:autoSpaceDE w:val="0"/>
        <w:autoSpaceDN w:val="0"/>
        <w:adjustRightInd w:val="0"/>
        <w:snapToGrid w:val="0"/>
        <w:spacing w:line="360" w:lineRule="auto"/>
        <w:ind w:firstLineChars="200" w:firstLine="480"/>
        <w:rPr>
          <w:rFonts w:asciiTheme="minorEastAsia" w:hAnsiTheme="minorEastAsia" w:cs="Arial"/>
          <w:sz w:val="24"/>
          <w:szCs w:val="24"/>
        </w:rPr>
      </w:pPr>
    </w:p>
    <w:bookmarkEnd w:id="0"/>
    <w:bookmarkEnd w:id="1"/>
    <w:bookmarkEnd w:id="2"/>
    <w:bookmarkEnd w:id="3"/>
    <w:p w14:paraId="18ADC076" w14:textId="77777777" w:rsidR="009D10D8" w:rsidRDefault="009D10D8">
      <w:pPr>
        <w:autoSpaceDE w:val="0"/>
        <w:autoSpaceDN w:val="0"/>
        <w:adjustRightInd w:val="0"/>
        <w:snapToGrid w:val="0"/>
        <w:spacing w:line="360" w:lineRule="auto"/>
        <w:jc w:val="center"/>
        <w:rPr>
          <w:rFonts w:ascii="Arial" w:eastAsia="宋体" w:hAnsi="Arial" w:cs="Arial"/>
          <w:b/>
          <w:bCs/>
          <w:sz w:val="28"/>
          <w:szCs w:val="28"/>
        </w:rPr>
      </w:pPr>
    </w:p>
    <w:p w14:paraId="5CBD3D64" w14:textId="77777777" w:rsidR="009D10D8" w:rsidRDefault="009D10D8">
      <w:pPr>
        <w:widowControl/>
        <w:spacing w:line="360" w:lineRule="auto"/>
        <w:jc w:val="left"/>
        <w:rPr>
          <w:rFonts w:ascii="Times New Roman" w:eastAsia="宋体" w:hAnsi="Times New Roman" w:cs="Times New Roman"/>
          <w:b/>
          <w:kern w:val="0"/>
          <w:sz w:val="30"/>
          <w:szCs w:val="30"/>
        </w:rPr>
        <w:sectPr w:rsidR="009D10D8">
          <w:pgSz w:w="11906" w:h="16838"/>
          <w:pgMar w:top="1440" w:right="1800" w:bottom="1440" w:left="1800" w:header="851" w:footer="992" w:gutter="0"/>
          <w:pgNumType w:start="1"/>
          <w:cols w:space="720"/>
          <w:docGrid w:type="lines" w:linePitch="312"/>
        </w:sectPr>
      </w:pPr>
      <w:bookmarkStart w:id="14" w:name="_Toc11660"/>
      <w:bookmarkStart w:id="15" w:name="_Toc4867"/>
      <w:bookmarkStart w:id="16" w:name="_Toc23386"/>
      <w:bookmarkStart w:id="17" w:name="_Toc123112268"/>
      <w:bookmarkStart w:id="18" w:name="_Toc123112229"/>
      <w:bookmarkStart w:id="19" w:name="_Toc123701389"/>
      <w:bookmarkStart w:id="20" w:name="_Toc30935"/>
      <w:bookmarkStart w:id="21" w:name="_Toc8727"/>
      <w:bookmarkStart w:id="22" w:name="_Toc139991730"/>
      <w:bookmarkStart w:id="23" w:name="_Toc6306"/>
      <w:bookmarkStart w:id="24" w:name="_Toc29629"/>
      <w:bookmarkStart w:id="25" w:name="_Toc352229746"/>
      <w:bookmarkStart w:id="26" w:name="_Toc15517"/>
      <w:bookmarkStart w:id="27" w:name="_Toc141703880"/>
      <w:bookmarkStart w:id="28" w:name="_Toc26897"/>
      <w:bookmarkStart w:id="29" w:name="_Toc4966"/>
      <w:bookmarkStart w:id="30" w:name="_Toc32639"/>
      <w:bookmarkStart w:id="31" w:name="_Toc233456271"/>
    </w:p>
    <w:p w14:paraId="62E90CF4" w14:textId="77777777" w:rsidR="009D10D8" w:rsidRDefault="009E4577">
      <w:pPr>
        <w:jc w:val="center"/>
        <w:rPr>
          <w:b/>
          <w:bCs/>
          <w:sz w:val="24"/>
        </w:rPr>
      </w:pPr>
      <w:r>
        <w:rPr>
          <w:b/>
          <w:bCs/>
          <w:sz w:val="24"/>
        </w:rPr>
        <w:lastRenderedPageBreak/>
        <w:t>目</w:t>
      </w:r>
      <w:r>
        <w:rPr>
          <w:b/>
          <w:bCs/>
          <w:sz w:val="24"/>
        </w:rPr>
        <w:t xml:space="preserve">    </w:t>
      </w:r>
      <w:r>
        <w:rPr>
          <w:b/>
          <w:bCs/>
          <w:sz w:val="24"/>
        </w:rPr>
        <w:t>录</w:t>
      </w:r>
    </w:p>
    <w:p w14:paraId="21A2CE80" w14:textId="7E4548C0" w:rsidR="009D10D8" w:rsidRDefault="009E4577">
      <w:pPr>
        <w:pStyle w:val="TOC1"/>
        <w:rPr>
          <w:rFonts w:asciiTheme="minorHAnsi" w:eastAsiaTheme="minorEastAsia" w:hAnsiTheme="minorHAnsi" w:cstheme="minorBidi"/>
          <w:szCs w:val="22"/>
        </w:rPr>
      </w:pPr>
      <w:r>
        <w:rPr>
          <w:bCs/>
        </w:rPr>
        <w:fldChar w:fldCharType="begin"/>
      </w:r>
      <w:r>
        <w:rPr>
          <w:bCs/>
        </w:rPr>
        <w:instrText xml:space="preserve"> TOC \o "1-1" \h \z \u </w:instrText>
      </w:r>
      <w:r>
        <w:rPr>
          <w:bCs/>
        </w:rPr>
        <w:fldChar w:fldCharType="separate"/>
      </w:r>
      <w:hyperlink w:anchor="_Toc68783429" w:history="1">
        <w:r>
          <w:rPr>
            <w:rStyle w:val="afb"/>
          </w:rPr>
          <w:t>第一部分</w:t>
        </w:r>
        <w:r>
          <w:rPr>
            <w:rStyle w:val="afb"/>
          </w:rPr>
          <w:t xml:space="preserve">  </w:t>
        </w:r>
        <w:r>
          <w:rPr>
            <w:rStyle w:val="afb"/>
          </w:rPr>
          <w:t>绪言</w:t>
        </w:r>
        <w:r>
          <w:tab/>
        </w:r>
        <w:r>
          <w:fldChar w:fldCharType="begin"/>
        </w:r>
        <w:r>
          <w:instrText xml:space="preserve"> PAGEREF _Toc68783429 \h </w:instrText>
        </w:r>
        <w:r>
          <w:fldChar w:fldCharType="separate"/>
        </w:r>
        <w:r w:rsidR="00B3614F">
          <w:rPr>
            <w:noProof/>
          </w:rPr>
          <w:t>4</w:t>
        </w:r>
        <w:r>
          <w:fldChar w:fldCharType="end"/>
        </w:r>
      </w:hyperlink>
    </w:p>
    <w:p w14:paraId="7DD8C084" w14:textId="61565C8B" w:rsidR="009D10D8" w:rsidRDefault="00207EFA">
      <w:pPr>
        <w:pStyle w:val="TOC1"/>
        <w:rPr>
          <w:rFonts w:asciiTheme="minorHAnsi" w:eastAsiaTheme="minorEastAsia" w:hAnsiTheme="minorHAnsi" w:cstheme="minorBidi"/>
          <w:szCs w:val="22"/>
        </w:rPr>
      </w:pPr>
      <w:hyperlink w:anchor="_Toc68783430" w:history="1">
        <w:r w:rsidR="009E4577">
          <w:rPr>
            <w:rStyle w:val="afb"/>
          </w:rPr>
          <w:t>第二部分</w:t>
        </w:r>
        <w:r w:rsidR="009E4577">
          <w:rPr>
            <w:rStyle w:val="afb"/>
          </w:rPr>
          <w:t xml:space="preserve">  </w:t>
        </w:r>
        <w:r w:rsidR="009E4577">
          <w:rPr>
            <w:rStyle w:val="afb"/>
          </w:rPr>
          <w:t>释义</w:t>
        </w:r>
        <w:r w:rsidR="009E4577">
          <w:tab/>
        </w:r>
        <w:r w:rsidR="009E4577">
          <w:fldChar w:fldCharType="begin"/>
        </w:r>
        <w:r w:rsidR="009E4577">
          <w:instrText xml:space="preserve"> PAGEREF _Toc68783430 \h </w:instrText>
        </w:r>
        <w:r w:rsidR="009E4577">
          <w:fldChar w:fldCharType="separate"/>
        </w:r>
        <w:r w:rsidR="00B3614F">
          <w:rPr>
            <w:noProof/>
          </w:rPr>
          <w:t>5</w:t>
        </w:r>
        <w:r w:rsidR="009E4577">
          <w:fldChar w:fldCharType="end"/>
        </w:r>
      </w:hyperlink>
    </w:p>
    <w:p w14:paraId="7F5E74BF" w14:textId="4906A55D" w:rsidR="009D10D8" w:rsidRDefault="00207EFA">
      <w:pPr>
        <w:pStyle w:val="TOC1"/>
        <w:rPr>
          <w:rFonts w:asciiTheme="minorHAnsi" w:eastAsiaTheme="minorEastAsia" w:hAnsiTheme="minorHAnsi" w:cstheme="minorBidi"/>
          <w:szCs w:val="22"/>
        </w:rPr>
      </w:pPr>
      <w:hyperlink w:anchor="_Toc68783431" w:history="1">
        <w:r w:rsidR="009E4577">
          <w:rPr>
            <w:rStyle w:val="afb"/>
          </w:rPr>
          <w:t>第三部分</w:t>
        </w:r>
        <w:r w:rsidR="009E4577">
          <w:rPr>
            <w:rStyle w:val="afb"/>
          </w:rPr>
          <w:t xml:space="preserve">  </w:t>
        </w:r>
        <w:r w:rsidR="009E4577">
          <w:rPr>
            <w:rStyle w:val="afb"/>
          </w:rPr>
          <w:t>基金管理人</w:t>
        </w:r>
        <w:r w:rsidR="009E4577">
          <w:tab/>
        </w:r>
        <w:r w:rsidR="009E4577">
          <w:fldChar w:fldCharType="begin"/>
        </w:r>
        <w:r w:rsidR="009E4577">
          <w:instrText xml:space="preserve"> PAGEREF _Toc68783431 \h </w:instrText>
        </w:r>
        <w:r w:rsidR="009E4577">
          <w:fldChar w:fldCharType="separate"/>
        </w:r>
        <w:r w:rsidR="00B3614F">
          <w:rPr>
            <w:noProof/>
          </w:rPr>
          <w:t>11</w:t>
        </w:r>
        <w:r w:rsidR="009E4577">
          <w:fldChar w:fldCharType="end"/>
        </w:r>
      </w:hyperlink>
    </w:p>
    <w:p w14:paraId="65B1B9B2" w14:textId="4503B1B7" w:rsidR="009D10D8" w:rsidRDefault="00207EFA">
      <w:pPr>
        <w:pStyle w:val="TOC1"/>
        <w:rPr>
          <w:rFonts w:asciiTheme="minorHAnsi" w:eastAsiaTheme="minorEastAsia" w:hAnsiTheme="minorHAnsi" w:cstheme="minorBidi"/>
          <w:szCs w:val="22"/>
        </w:rPr>
      </w:pPr>
      <w:hyperlink w:anchor="_Toc68783432" w:history="1">
        <w:r w:rsidR="009E4577">
          <w:rPr>
            <w:rStyle w:val="afb"/>
          </w:rPr>
          <w:t>第四部分</w:t>
        </w:r>
        <w:r w:rsidR="009E4577">
          <w:rPr>
            <w:rStyle w:val="afb"/>
          </w:rPr>
          <w:t xml:space="preserve">  </w:t>
        </w:r>
        <w:r w:rsidR="009E4577">
          <w:rPr>
            <w:rStyle w:val="afb"/>
          </w:rPr>
          <w:t>基金托管人</w:t>
        </w:r>
        <w:r w:rsidR="009E4577">
          <w:tab/>
        </w:r>
        <w:r w:rsidR="009E4577">
          <w:fldChar w:fldCharType="begin"/>
        </w:r>
        <w:r w:rsidR="009E4577">
          <w:instrText xml:space="preserve"> PAGEREF _Toc68783432 \h </w:instrText>
        </w:r>
        <w:r w:rsidR="009E4577">
          <w:fldChar w:fldCharType="separate"/>
        </w:r>
        <w:r w:rsidR="00B3614F">
          <w:rPr>
            <w:noProof/>
          </w:rPr>
          <w:t>21</w:t>
        </w:r>
        <w:r w:rsidR="009E4577">
          <w:fldChar w:fldCharType="end"/>
        </w:r>
      </w:hyperlink>
    </w:p>
    <w:p w14:paraId="6E2DDAAC" w14:textId="68FFA17F" w:rsidR="009D10D8" w:rsidRDefault="00207EFA">
      <w:pPr>
        <w:pStyle w:val="TOC1"/>
        <w:rPr>
          <w:rFonts w:asciiTheme="minorHAnsi" w:eastAsiaTheme="minorEastAsia" w:hAnsiTheme="minorHAnsi" w:cstheme="minorBidi"/>
          <w:szCs w:val="22"/>
        </w:rPr>
      </w:pPr>
      <w:hyperlink w:anchor="_Toc68783433" w:history="1">
        <w:r w:rsidR="009E4577">
          <w:rPr>
            <w:rStyle w:val="afb"/>
          </w:rPr>
          <w:t>第五部分</w:t>
        </w:r>
        <w:r w:rsidR="009E4577">
          <w:rPr>
            <w:rStyle w:val="afb"/>
          </w:rPr>
          <w:t xml:space="preserve">  </w:t>
        </w:r>
        <w:r w:rsidR="009E4577">
          <w:rPr>
            <w:rStyle w:val="afb"/>
          </w:rPr>
          <w:t>相关服务机构</w:t>
        </w:r>
        <w:r w:rsidR="009E4577">
          <w:tab/>
        </w:r>
        <w:r w:rsidR="009E4577">
          <w:fldChar w:fldCharType="begin"/>
        </w:r>
        <w:r w:rsidR="009E4577">
          <w:instrText xml:space="preserve"> PAGEREF _Toc68783433 \h </w:instrText>
        </w:r>
        <w:r w:rsidR="009E4577">
          <w:fldChar w:fldCharType="separate"/>
        </w:r>
        <w:r w:rsidR="00B3614F">
          <w:rPr>
            <w:noProof/>
          </w:rPr>
          <w:t>25</w:t>
        </w:r>
        <w:r w:rsidR="009E4577">
          <w:fldChar w:fldCharType="end"/>
        </w:r>
      </w:hyperlink>
    </w:p>
    <w:p w14:paraId="702ADFBC" w14:textId="7F2BFB89" w:rsidR="009D10D8" w:rsidRDefault="00207EFA">
      <w:pPr>
        <w:pStyle w:val="TOC1"/>
        <w:rPr>
          <w:rFonts w:asciiTheme="minorHAnsi" w:eastAsiaTheme="minorEastAsia" w:hAnsiTheme="minorHAnsi" w:cstheme="minorBidi"/>
          <w:szCs w:val="22"/>
        </w:rPr>
      </w:pPr>
      <w:hyperlink w:anchor="_Toc68783434" w:history="1">
        <w:r w:rsidR="009E4577">
          <w:rPr>
            <w:rStyle w:val="afb"/>
          </w:rPr>
          <w:t>第六部分</w:t>
        </w:r>
        <w:r w:rsidR="009E4577">
          <w:rPr>
            <w:rStyle w:val="afb"/>
          </w:rPr>
          <w:t xml:space="preserve">  </w:t>
        </w:r>
        <w:r w:rsidR="009E4577">
          <w:rPr>
            <w:rStyle w:val="afb"/>
          </w:rPr>
          <w:t>基金份额的发售</w:t>
        </w:r>
        <w:r w:rsidR="009E4577">
          <w:tab/>
        </w:r>
        <w:r w:rsidR="009E4577">
          <w:fldChar w:fldCharType="begin"/>
        </w:r>
        <w:r w:rsidR="009E4577">
          <w:instrText xml:space="preserve"> PAGEREF _Toc68783434 \h </w:instrText>
        </w:r>
        <w:r w:rsidR="009E4577">
          <w:fldChar w:fldCharType="separate"/>
        </w:r>
        <w:r w:rsidR="00B3614F">
          <w:rPr>
            <w:noProof/>
          </w:rPr>
          <w:t>27</w:t>
        </w:r>
        <w:r w:rsidR="009E4577">
          <w:fldChar w:fldCharType="end"/>
        </w:r>
      </w:hyperlink>
    </w:p>
    <w:p w14:paraId="37D614D3" w14:textId="0552D674" w:rsidR="009D10D8" w:rsidRDefault="00207EFA">
      <w:pPr>
        <w:pStyle w:val="TOC1"/>
        <w:rPr>
          <w:rFonts w:asciiTheme="minorHAnsi" w:eastAsiaTheme="minorEastAsia" w:hAnsiTheme="minorHAnsi" w:cstheme="minorBidi"/>
          <w:szCs w:val="22"/>
        </w:rPr>
      </w:pPr>
      <w:hyperlink w:anchor="_Toc68783435" w:history="1">
        <w:r w:rsidR="009E4577">
          <w:rPr>
            <w:rStyle w:val="afb"/>
          </w:rPr>
          <w:t>第七部分</w:t>
        </w:r>
        <w:r w:rsidR="009E4577">
          <w:rPr>
            <w:rStyle w:val="afb"/>
          </w:rPr>
          <w:t xml:space="preserve">  </w:t>
        </w:r>
        <w:r w:rsidR="009E4577">
          <w:rPr>
            <w:rStyle w:val="afb"/>
          </w:rPr>
          <w:t>基金备案</w:t>
        </w:r>
        <w:r w:rsidR="009E4577">
          <w:tab/>
        </w:r>
        <w:r w:rsidR="009E4577">
          <w:fldChar w:fldCharType="begin"/>
        </w:r>
        <w:r w:rsidR="009E4577">
          <w:instrText xml:space="preserve"> PAGEREF _Toc68783435 \h </w:instrText>
        </w:r>
        <w:r w:rsidR="009E4577">
          <w:fldChar w:fldCharType="separate"/>
        </w:r>
        <w:r w:rsidR="00B3614F">
          <w:rPr>
            <w:noProof/>
          </w:rPr>
          <w:t>31</w:t>
        </w:r>
        <w:r w:rsidR="009E4577">
          <w:fldChar w:fldCharType="end"/>
        </w:r>
      </w:hyperlink>
    </w:p>
    <w:p w14:paraId="2AE9C14A" w14:textId="6A2FDD7A" w:rsidR="009D10D8" w:rsidRDefault="00207EFA">
      <w:pPr>
        <w:pStyle w:val="TOC1"/>
        <w:rPr>
          <w:rFonts w:asciiTheme="minorHAnsi" w:eastAsiaTheme="minorEastAsia" w:hAnsiTheme="minorHAnsi" w:cstheme="minorBidi"/>
          <w:szCs w:val="22"/>
        </w:rPr>
      </w:pPr>
      <w:hyperlink w:anchor="_Toc68783436" w:history="1">
        <w:r w:rsidR="009E4577">
          <w:rPr>
            <w:rStyle w:val="afb"/>
          </w:rPr>
          <w:t>第八部分</w:t>
        </w:r>
        <w:r w:rsidR="009E4577">
          <w:rPr>
            <w:rStyle w:val="afb"/>
          </w:rPr>
          <w:t xml:space="preserve">  </w:t>
        </w:r>
        <w:r w:rsidR="009E4577">
          <w:rPr>
            <w:rStyle w:val="afb"/>
          </w:rPr>
          <w:t>基金份额的申购与赎回</w:t>
        </w:r>
        <w:r w:rsidR="009E4577">
          <w:tab/>
        </w:r>
        <w:r w:rsidR="009E4577">
          <w:fldChar w:fldCharType="begin"/>
        </w:r>
        <w:r w:rsidR="009E4577">
          <w:instrText xml:space="preserve"> PAGEREF _Toc68783436 \h </w:instrText>
        </w:r>
        <w:r w:rsidR="009E4577">
          <w:fldChar w:fldCharType="separate"/>
        </w:r>
        <w:r w:rsidR="00B3614F">
          <w:rPr>
            <w:noProof/>
          </w:rPr>
          <w:t>32</w:t>
        </w:r>
        <w:r w:rsidR="009E4577">
          <w:fldChar w:fldCharType="end"/>
        </w:r>
      </w:hyperlink>
    </w:p>
    <w:p w14:paraId="64A8F72B" w14:textId="2FA718FD" w:rsidR="009D10D8" w:rsidRDefault="00207EFA">
      <w:pPr>
        <w:pStyle w:val="TOC1"/>
        <w:rPr>
          <w:rFonts w:asciiTheme="minorHAnsi" w:eastAsiaTheme="minorEastAsia" w:hAnsiTheme="minorHAnsi" w:cstheme="minorBidi"/>
          <w:szCs w:val="22"/>
        </w:rPr>
      </w:pPr>
      <w:hyperlink w:anchor="_Toc68783437" w:history="1">
        <w:r w:rsidR="009E4577">
          <w:rPr>
            <w:rStyle w:val="afb"/>
          </w:rPr>
          <w:t>第九部分</w:t>
        </w:r>
        <w:r w:rsidR="009E4577">
          <w:rPr>
            <w:rStyle w:val="afb"/>
          </w:rPr>
          <w:t xml:space="preserve">  </w:t>
        </w:r>
        <w:r w:rsidR="009E4577">
          <w:rPr>
            <w:rStyle w:val="afb"/>
          </w:rPr>
          <w:t>基金的投资</w:t>
        </w:r>
        <w:r w:rsidR="009E4577">
          <w:tab/>
        </w:r>
        <w:r w:rsidR="009E4577">
          <w:fldChar w:fldCharType="begin"/>
        </w:r>
        <w:r w:rsidR="009E4577">
          <w:instrText xml:space="preserve"> PAGEREF _Toc68783437 \h </w:instrText>
        </w:r>
        <w:r w:rsidR="009E4577">
          <w:fldChar w:fldCharType="separate"/>
        </w:r>
        <w:r w:rsidR="00B3614F">
          <w:rPr>
            <w:noProof/>
          </w:rPr>
          <w:t>43</w:t>
        </w:r>
        <w:r w:rsidR="009E4577">
          <w:fldChar w:fldCharType="end"/>
        </w:r>
      </w:hyperlink>
    </w:p>
    <w:p w14:paraId="411F0ACE" w14:textId="30239837" w:rsidR="009D10D8" w:rsidRDefault="00207EFA">
      <w:pPr>
        <w:pStyle w:val="TOC1"/>
        <w:rPr>
          <w:rFonts w:asciiTheme="minorHAnsi" w:eastAsiaTheme="minorEastAsia" w:hAnsiTheme="minorHAnsi" w:cstheme="minorBidi"/>
          <w:szCs w:val="22"/>
        </w:rPr>
      </w:pPr>
      <w:hyperlink w:anchor="_Toc68783438" w:history="1">
        <w:r w:rsidR="009E4577">
          <w:rPr>
            <w:rStyle w:val="afb"/>
          </w:rPr>
          <w:t>第十部分</w:t>
        </w:r>
        <w:r w:rsidR="009E4577">
          <w:rPr>
            <w:rStyle w:val="afb"/>
          </w:rPr>
          <w:t xml:space="preserve">  </w:t>
        </w:r>
        <w:r w:rsidR="009E4577">
          <w:rPr>
            <w:rStyle w:val="afb"/>
          </w:rPr>
          <w:t>基金的财产</w:t>
        </w:r>
        <w:r w:rsidR="009E4577">
          <w:tab/>
        </w:r>
        <w:r w:rsidR="009E4577">
          <w:fldChar w:fldCharType="begin"/>
        </w:r>
        <w:r w:rsidR="009E4577">
          <w:instrText xml:space="preserve"> PAGEREF _Toc68783438 \h </w:instrText>
        </w:r>
        <w:r w:rsidR="009E4577">
          <w:fldChar w:fldCharType="separate"/>
        </w:r>
        <w:r w:rsidR="00B3614F">
          <w:rPr>
            <w:noProof/>
          </w:rPr>
          <w:t>53</w:t>
        </w:r>
        <w:r w:rsidR="009E4577">
          <w:fldChar w:fldCharType="end"/>
        </w:r>
      </w:hyperlink>
    </w:p>
    <w:p w14:paraId="5EEE6709" w14:textId="0AA7084A" w:rsidR="009D10D8" w:rsidRDefault="00207EFA">
      <w:pPr>
        <w:pStyle w:val="TOC1"/>
        <w:rPr>
          <w:rFonts w:asciiTheme="minorHAnsi" w:eastAsiaTheme="minorEastAsia" w:hAnsiTheme="minorHAnsi" w:cstheme="minorBidi"/>
          <w:szCs w:val="22"/>
        </w:rPr>
      </w:pPr>
      <w:hyperlink w:anchor="_Toc68783439" w:history="1">
        <w:r w:rsidR="009E4577">
          <w:rPr>
            <w:rStyle w:val="afb"/>
          </w:rPr>
          <w:t>第十一部分</w:t>
        </w:r>
        <w:r w:rsidR="009E4577">
          <w:rPr>
            <w:rStyle w:val="afb"/>
          </w:rPr>
          <w:t xml:space="preserve">  </w:t>
        </w:r>
        <w:r w:rsidR="009E4577">
          <w:rPr>
            <w:rStyle w:val="afb"/>
          </w:rPr>
          <w:t>基金资产的估值</w:t>
        </w:r>
        <w:r w:rsidR="009E4577">
          <w:tab/>
        </w:r>
        <w:r w:rsidR="009E4577">
          <w:fldChar w:fldCharType="begin"/>
        </w:r>
        <w:r w:rsidR="009E4577">
          <w:instrText xml:space="preserve"> PAGEREF _Toc68783439 \h </w:instrText>
        </w:r>
        <w:r w:rsidR="009E4577">
          <w:fldChar w:fldCharType="separate"/>
        </w:r>
        <w:r w:rsidR="00B3614F">
          <w:rPr>
            <w:noProof/>
          </w:rPr>
          <w:t>54</w:t>
        </w:r>
        <w:r w:rsidR="009E4577">
          <w:fldChar w:fldCharType="end"/>
        </w:r>
      </w:hyperlink>
    </w:p>
    <w:p w14:paraId="7AF3BB2D" w14:textId="20A2E6C7" w:rsidR="009D10D8" w:rsidRDefault="00207EFA">
      <w:pPr>
        <w:pStyle w:val="TOC1"/>
        <w:rPr>
          <w:rFonts w:asciiTheme="minorHAnsi" w:eastAsiaTheme="minorEastAsia" w:hAnsiTheme="minorHAnsi" w:cstheme="minorBidi"/>
          <w:szCs w:val="22"/>
        </w:rPr>
      </w:pPr>
      <w:hyperlink w:anchor="_Toc68783440" w:history="1">
        <w:r w:rsidR="009E4577">
          <w:rPr>
            <w:rStyle w:val="afb"/>
          </w:rPr>
          <w:t>第十二部分</w:t>
        </w:r>
        <w:r w:rsidR="009E4577">
          <w:rPr>
            <w:rStyle w:val="afb"/>
          </w:rPr>
          <w:t xml:space="preserve">  </w:t>
        </w:r>
        <w:r w:rsidR="009E4577">
          <w:rPr>
            <w:rStyle w:val="afb"/>
          </w:rPr>
          <w:t>基金的收益分配</w:t>
        </w:r>
        <w:r w:rsidR="009E4577">
          <w:tab/>
        </w:r>
        <w:r w:rsidR="009E4577">
          <w:fldChar w:fldCharType="begin"/>
        </w:r>
        <w:r w:rsidR="009E4577">
          <w:instrText xml:space="preserve"> PAGEREF _Toc68783440 \h </w:instrText>
        </w:r>
        <w:r w:rsidR="009E4577">
          <w:fldChar w:fldCharType="separate"/>
        </w:r>
        <w:r w:rsidR="00B3614F">
          <w:rPr>
            <w:noProof/>
          </w:rPr>
          <w:t>60</w:t>
        </w:r>
        <w:r w:rsidR="009E4577">
          <w:fldChar w:fldCharType="end"/>
        </w:r>
      </w:hyperlink>
    </w:p>
    <w:p w14:paraId="7360B7AA" w14:textId="494584C3" w:rsidR="009D10D8" w:rsidRDefault="00207EFA">
      <w:pPr>
        <w:pStyle w:val="TOC1"/>
        <w:rPr>
          <w:rFonts w:asciiTheme="minorHAnsi" w:eastAsiaTheme="minorEastAsia" w:hAnsiTheme="minorHAnsi" w:cstheme="minorBidi"/>
          <w:szCs w:val="22"/>
        </w:rPr>
      </w:pPr>
      <w:hyperlink w:anchor="_Toc68783441" w:history="1">
        <w:r w:rsidR="009E4577">
          <w:rPr>
            <w:rStyle w:val="afb"/>
          </w:rPr>
          <w:t>第十三部分</w:t>
        </w:r>
        <w:r w:rsidR="009E4577">
          <w:rPr>
            <w:rStyle w:val="afb"/>
          </w:rPr>
          <w:t xml:space="preserve">  </w:t>
        </w:r>
        <w:r w:rsidR="009E4577">
          <w:rPr>
            <w:rStyle w:val="afb"/>
          </w:rPr>
          <w:t>基金费用与税收</w:t>
        </w:r>
        <w:r w:rsidR="009E4577">
          <w:tab/>
        </w:r>
        <w:r w:rsidR="009E4577">
          <w:fldChar w:fldCharType="begin"/>
        </w:r>
        <w:r w:rsidR="009E4577">
          <w:instrText xml:space="preserve"> PAGEREF _Toc68783441 \h </w:instrText>
        </w:r>
        <w:r w:rsidR="009E4577">
          <w:fldChar w:fldCharType="separate"/>
        </w:r>
        <w:r w:rsidR="00B3614F">
          <w:rPr>
            <w:noProof/>
          </w:rPr>
          <w:t>62</w:t>
        </w:r>
        <w:r w:rsidR="009E4577">
          <w:fldChar w:fldCharType="end"/>
        </w:r>
      </w:hyperlink>
    </w:p>
    <w:p w14:paraId="6072DA95" w14:textId="0D243E65" w:rsidR="009D10D8" w:rsidRDefault="00207EFA">
      <w:pPr>
        <w:pStyle w:val="TOC1"/>
        <w:rPr>
          <w:rFonts w:asciiTheme="minorHAnsi" w:eastAsiaTheme="minorEastAsia" w:hAnsiTheme="minorHAnsi" w:cstheme="minorBidi"/>
          <w:szCs w:val="22"/>
        </w:rPr>
      </w:pPr>
      <w:hyperlink w:anchor="_Toc68783442" w:history="1">
        <w:r w:rsidR="009E4577">
          <w:rPr>
            <w:rStyle w:val="afb"/>
          </w:rPr>
          <w:t>第十四部分</w:t>
        </w:r>
        <w:r w:rsidR="009E4577">
          <w:rPr>
            <w:rStyle w:val="afb"/>
          </w:rPr>
          <w:t xml:space="preserve">  </w:t>
        </w:r>
        <w:r w:rsidR="009E4577">
          <w:rPr>
            <w:rStyle w:val="afb"/>
          </w:rPr>
          <w:t>基金的会计与审计</w:t>
        </w:r>
        <w:r w:rsidR="009E4577">
          <w:tab/>
        </w:r>
        <w:r w:rsidR="009E4577">
          <w:fldChar w:fldCharType="begin"/>
        </w:r>
        <w:r w:rsidR="009E4577">
          <w:instrText xml:space="preserve"> PAGEREF _Toc68783442 \h </w:instrText>
        </w:r>
        <w:r w:rsidR="009E4577">
          <w:fldChar w:fldCharType="separate"/>
        </w:r>
        <w:r w:rsidR="00B3614F">
          <w:rPr>
            <w:noProof/>
          </w:rPr>
          <w:t>65</w:t>
        </w:r>
        <w:r w:rsidR="009E4577">
          <w:fldChar w:fldCharType="end"/>
        </w:r>
      </w:hyperlink>
    </w:p>
    <w:p w14:paraId="313880A3" w14:textId="6E566AF3" w:rsidR="009D10D8" w:rsidRDefault="00207EFA">
      <w:pPr>
        <w:pStyle w:val="TOC1"/>
        <w:rPr>
          <w:rFonts w:asciiTheme="minorHAnsi" w:eastAsiaTheme="minorEastAsia" w:hAnsiTheme="minorHAnsi" w:cstheme="minorBidi"/>
          <w:szCs w:val="22"/>
        </w:rPr>
      </w:pPr>
      <w:hyperlink w:anchor="_Toc68783443" w:history="1">
        <w:r w:rsidR="009E4577">
          <w:rPr>
            <w:rStyle w:val="afb"/>
          </w:rPr>
          <w:t>第十五部分</w:t>
        </w:r>
        <w:r w:rsidR="009E4577">
          <w:rPr>
            <w:rStyle w:val="afb"/>
          </w:rPr>
          <w:t xml:space="preserve">  </w:t>
        </w:r>
        <w:r w:rsidR="009E4577">
          <w:rPr>
            <w:rStyle w:val="afb"/>
          </w:rPr>
          <w:t>基金的信息披露</w:t>
        </w:r>
        <w:r w:rsidR="009E4577">
          <w:tab/>
        </w:r>
        <w:r w:rsidR="009E4577">
          <w:fldChar w:fldCharType="begin"/>
        </w:r>
        <w:r w:rsidR="009E4577">
          <w:instrText xml:space="preserve"> PAGEREF _Toc68783443 \h </w:instrText>
        </w:r>
        <w:r w:rsidR="009E4577">
          <w:fldChar w:fldCharType="separate"/>
        </w:r>
        <w:r w:rsidR="00B3614F">
          <w:rPr>
            <w:noProof/>
          </w:rPr>
          <w:t>66</w:t>
        </w:r>
        <w:r w:rsidR="009E4577">
          <w:fldChar w:fldCharType="end"/>
        </w:r>
      </w:hyperlink>
    </w:p>
    <w:p w14:paraId="5FABC661" w14:textId="54C7A991" w:rsidR="009D10D8" w:rsidRDefault="00207EFA">
      <w:pPr>
        <w:pStyle w:val="TOC1"/>
        <w:rPr>
          <w:rFonts w:asciiTheme="minorHAnsi" w:eastAsiaTheme="minorEastAsia" w:hAnsiTheme="minorHAnsi" w:cstheme="minorBidi"/>
          <w:szCs w:val="22"/>
        </w:rPr>
      </w:pPr>
      <w:hyperlink w:anchor="_Toc68783444" w:history="1">
        <w:r w:rsidR="009E4577">
          <w:rPr>
            <w:rStyle w:val="afb"/>
          </w:rPr>
          <w:t>第十六部分</w:t>
        </w:r>
        <w:r w:rsidR="009E4577">
          <w:rPr>
            <w:rStyle w:val="afb"/>
          </w:rPr>
          <w:t xml:space="preserve">  </w:t>
        </w:r>
        <w:r w:rsidR="009E4577">
          <w:rPr>
            <w:rStyle w:val="afb"/>
          </w:rPr>
          <w:t>侧袋机制</w:t>
        </w:r>
        <w:r w:rsidR="009E4577">
          <w:tab/>
        </w:r>
        <w:r w:rsidR="009E4577">
          <w:fldChar w:fldCharType="begin"/>
        </w:r>
        <w:r w:rsidR="009E4577">
          <w:instrText xml:space="preserve"> PAGEREF _Toc68783444 \h </w:instrText>
        </w:r>
        <w:r w:rsidR="009E4577">
          <w:fldChar w:fldCharType="separate"/>
        </w:r>
        <w:r w:rsidR="00B3614F">
          <w:rPr>
            <w:noProof/>
          </w:rPr>
          <w:t>74</w:t>
        </w:r>
        <w:r w:rsidR="009E4577">
          <w:fldChar w:fldCharType="end"/>
        </w:r>
      </w:hyperlink>
    </w:p>
    <w:p w14:paraId="5BE656EC" w14:textId="2959214E" w:rsidR="009D10D8" w:rsidRDefault="00207EFA">
      <w:pPr>
        <w:pStyle w:val="TOC1"/>
        <w:rPr>
          <w:rFonts w:asciiTheme="minorHAnsi" w:eastAsiaTheme="minorEastAsia" w:hAnsiTheme="minorHAnsi" w:cstheme="minorBidi"/>
          <w:szCs w:val="22"/>
        </w:rPr>
      </w:pPr>
      <w:hyperlink w:anchor="_Toc68783445" w:history="1">
        <w:r w:rsidR="009E4577">
          <w:rPr>
            <w:rStyle w:val="afb"/>
          </w:rPr>
          <w:t>第十七部分</w:t>
        </w:r>
        <w:r w:rsidR="009E4577">
          <w:rPr>
            <w:rStyle w:val="afb"/>
          </w:rPr>
          <w:t xml:space="preserve">  </w:t>
        </w:r>
        <w:r w:rsidR="009E4577">
          <w:rPr>
            <w:rStyle w:val="afb"/>
          </w:rPr>
          <w:t>风险揭示</w:t>
        </w:r>
        <w:r w:rsidR="009E4577">
          <w:tab/>
        </w:r>
        <w:r w:rsidR="009E4577">
          <w:fldChar w:fldCharType="begin"/>
        </w:r>
        <w:r w:rsidR="009E4577">
          <w:instrText xml:space="preserve"> PAGEREF _Toc68783445 \h </w:instrText>
        </w:r>
        <w:r w:rsidR="009E4577">
          <w:fldChar w:fldCharType="separate"/>
        </w:r>
        <w:r w:rsidR="00B3614F">
          <w:rPr>
            <w:noProof/>
          </w:rPr>
          <w:t>77</w:t>
        </w:r>
        <w:r w:rsidR="009E4577">
          <w:fldChar w:fldCharType="end"/>
        </w:r>
      </w:hyperlink>
    </w:p>
    <w:p w14:paraId="2EA173DA" w14:textId="7A61800F" w:rsidR="009D10D8" w:rsidRDefault="00207EFA">
      <w:pPr>
        <w:pStyle w:val="TOC1"/>
        <w:rPr>
          <w:rFonts w:asciiTheme="minorHAnsi" w:eastAsiaTheme="minorEastAsia" w:hAnsiTheme="minorHAnsi" w:cstheme="minorBidi"/>
          <w:szCs w:val="22"/>
        </w:rPr>
      </w:pPr>
      <w:hyperlink w:anchor="_Toc68783446" w:history="1">
        <w:r w:rsidR="009E4577">
          <w:rPr>
            <w:rStyle w:val="afb"/>
          </w:rPr>
          <w:t>第十八部分</w:t>
        </w:r>
        <w:r w:rsidR="009E4577">
          <w:rPr>
            <w:rStyle w:val="afb"/>
          </w:rPr>
          <w:t xml:space="preserve">  </w:t>
        </w:r>
        <w:r w:rsidR="009E4577">
          <w:rPr>
            <w:rStyle w:val="afb"/>
          </w:rPr>
          <w:t>基金合同的变更、终止与基金财产的清算</w:t>
        </w:r>
        <w:r w:rsidR="009E4577">
          <w:tab/>
        </w:r>
        <w:r w:rsidR="009E4577">
          <w:fldChar w:fldCharType="begin"/>
        </w:r>
        <w:r w:rsidR="009E4577">
          <w:instrText xml:space="preserve"> PAGEREF _Toc68783446 \h </w:instrText>
        </w:r>
        <w:r w:rsidR="009E4577">
          <w:fldChar w:fldCharType="separate"/>
        </w:r>
        <w:r w:rsidR="00B3614F">
          <w:rPr>
            <w:noProof/>
          </w:rPr>
          <w:t>82</w:t>
        </w:r>
        <w:r w:rsidR="009E4577">
          <w:fldChar w:fldCharType="end"/>
        </w:r>
      </w:hyperlink>
    </w:p>
    <w:p w14:paraId="02E63D0D" w14:textId="461CCFB9" w:rsidR="009D10D8" w:rsidRDefault="00207EFA">
      <w:pPr>
        <w:pStyle w:val="TOC1"/>
        <w:rPr>
          <w:rFonts w:asciiTheme="minorHAnsi" w:eastAsiaTheme="minorEastAsia" w:hAnsiTheme="minorHAnsi" w:cstheme="minorBidi"/>
          <w:szCs w:val="22"/>
        </w:rPr>
      </w:pPr>
      <w:hyperlink w:anchor="_Toc68783447" w:history="1">
        <w:r w:rsidR="009E4577">
          <w:rPr>
            <w:rStyle w:val="afb"/>
          </w:rPr>
          <w:t>第十九部分</w:t>
        </w:r>
        <w:r w:rsidR="009E4577">
          <w:rPr>
            <w:rStyle w:val="afb"/>
          </w:rPr>
          <w:t xml:space="preserve">  </w:t>
        </w:r>
        <w:r w:rsidR="009E4577">
          <w:rPr>
            <w:rStyle w:val="afb"/>
          </w:rPr>
          <w:t>基金合同的内容摘要</w:t>
        </w:r>
        <w:r w:rsidR="009E4577">
          <w:tab/>
        </w:r>
        <w:r w:rsidR="009E4577">
          <w:fldChar w:fldCharType="begin"/>
        </w:r>
        <w:r w:rsidR="009E4577">
          <w:instrText xml:space="preserve"> PAGEREF _Toc68783447 \h </w:instrText>
        </w:r>
        <w:r w:rsidR="009E4577">
          <w:fldChar w:fldCharType="separate"/>
        </w:r>
        <w:r w:rsidR="00B3614F">
          <w:rPr>
            <w:noProof/>
          </w:rPr>
          <w:t>84</w:t>
        </w:r>
        <w:r w:rsidR="009E4577">
          <w:fldChar w:fldCharType="end"/>
        </w:r>
      </w:hyperlink>
    </w:p>
    <w:p w14:paraId="55C0E0CE" w14:textId="3E9FC818" w:rsidR="009D10D8" w:rsidRDefault="00207EFA">
      <w:pPr>
        <w:pStyle w:val="TOC1"/>
        <w:rPr>
          <w:rFonts w:asciiTheme="minorHAnsi" w:eastAsiaTheme="minorEastAsia" w:hAnsiTheme="minorHAnsi" w:cstheme="minorBidi"/>
          <w:szCs w:val="22"/>
        </w:rPr>
      </w:pPr>
      <w:hyperlink w:anchor="_Toc68783448" w:history="1">
        <w:r w:rsidR="009E4577">
          <w:rPr>
            <w:rStyle w:val="afb"/>
          </w:rPr>
          <w:t>第二十部分</w:t>
        </w:r>
        <w:r w:rsidR="009E4577">
          <w:rPr>
            <w:rStyle w:val="afb"/>
          </w:rPr>
          <w:t xml:space="preserve">  </w:t>
        </w:r>
        <w:r w:rsidR="009E4577">
          <w:rPr>
            <w:rStyle w:val="afb"/>
          </w:rPr>
          <w:t>基金托管协议的内容摘要</w:t>
        </w:r>
        <w:r w:rsidR="009E4577">
          <w:tab/>
        </w:r>
        <w:r w:rsidR="009E4577">
          <w:fldChar w:fldCharType="begin"/>
        </w:r>
        <w:r w:rsidR="009E4577">
          <w:instrText xml:space="preserve"> PAGEREF _Toc68783448 \h </w:instrText>
        </w:r>
        <w:r w:rsidR="009E4577">
          <w:fldChar w:fldCharType="separate"/>
        </w:r>
        <w:r w:rsidR="00B3614F">
          <w:rPr>
            <w:noProof/>
          </w:rPr>
          <w:t>102</w:t>
        </w:r>
        <w:r w:rsidR="009E4577">
          <w:fldChar w:fldCharType="end"/>
        </w:r>
      </w:hyperlink>
    </w:p>
    <w:p w14:paraId="637D2ACF" w14:textId="3CDB7DD6" w:rsidR="009D10D8" w:rsidRDefault="00207EFA">
      <w:pPr>
        <w:pStyle w:val="TOC1"/>
        <w:rPr>
          <w:rFonts w:asciiTheme="minorHAnsi" w:eastAsiaTheme="minorEastAsia" w:hAnsiTheme="minorHAnsi" w:cstheme="minorBidi"/>
          <w:szCs w:val="22"/>
        </w:rPr>
      </w:pPr>
      <w:hyperlink w:anchor="_Toc68783449" w:history="1">
        <w:r w:rsidR="009E4577">
          <w:rPr>
            <w:rStyle w:val="afb"/>
          </w:rPr>
          <w:t>第二十一部分</w:t>
        </w:r>
        <w:r w:rsidR="009E4577">
          <w:rPr>
            <w:rStyle w:val="afb"/>
          </w:rPr>
          <w:t xml:space="preserve">  </w:t>
        </w:r>
        <w:r w:rsidR="009E4577">
          <w:rPr>
            <w:rStyle w:val="afb"/>
          </w:rPr>
          <w:t>对基金份额持有人的服务</w:t>
        </w:r>
        <w:r w:rsidR="009E4577">
          <w:tab/>
        </w:r>
        <w:r w:rsidR="009E4577">
          <w:fldChar w:fldCharType="begin"/>
        </w:r>
        <w:r w:rsidR="009E4577">
          <w:instrText xml:space="preserve"> PAGEREF _Toc68783449 \h </w:instrText>
        </w:r>
        <w:r w:rsidR="009E4577">
          <w:fldChar w:fldCharType="separate"/>
        </w:r>
        <w:r w:rsidR="00B3614F">
          <w:rPr>
            <w:noProof/>
          </w:rPr>
          <w:t>124</w:t>
        </w:r>
        <w:r w:rsidR="009E4577">
          <w:fldChar w:fldCharType="end"/>
        </w:r>
      </w:hyperlink>
    </w:p>
    <w:p w14:paraId="53E02E3A" w14:textId="3962676B" w:rsidR="009D10D8" w:rsidRDefault="00207EFA">
      <w:pPr>
        <w:pStyle w:val="TOC1"/>
        <w:rPr>
          <w:rFonts w:asciiTheme="minorHAnsi" w:eastAsiaTheme="minorEastAsia" w:hAnsiTheme="minorHAnsi" w:cstheme="minorBidi"/>
          <w:szCs w:val="22"/>
        </w:rPr>
      </w:pPr>
      <w:hyperlink w:anchor="_Toc68783450" w:history="1">
        <w:r w:rsidR="009E4577">
          <w:rPr>
            <w:rStyle w:val="afb"/>
          </w:rPr>
          <w:t>第二十二部分</w:t>
        </w:r>
        <w:r w:rsidR="009E4577">
          <w:rPr>
            <w:rStyle w:val="afb"/>
          </w:rPr>
          <w:t xml:space="preserve">  </w:t>
        </w:r>
        <w:r w:rsidR="009E4577">
          <w:rPr>
            <w:rStyle w:val="afb"/>
          </w:rPr>
          <w:t>招募说明书存放及查阅方式</w:t>
        </w:r>
        <w:r w:rsidR="009E4577">
          <w:tab/>
        </w:r>
        <w:r w:rsidR="009E4577">
          <w:fldChar w:fldCharType="begin"/>
        </w:r>
        <w:r w:rsidR="009E4577">
          <w:instrText xml:space="preserve"> PAGEREF _Toc68783450 \h </w:instrText>
        </w:r>
        <w:r w:rsidR="009E4577">
          <w:fldChar w:fldCharType="separate"/>
        </w:r>
        <w:r w:rsidR="00B3614F">
          <w:rPr>
            <w:noProof/>
          </w:rPr>
          <w:t>126</w:t>
        </w:r>
        <w:r w:rsidR="009E4577">
          <w:fldChar w:fldCharType="end"/>
        </w:r>
      </w:hyperlink>
    </w:p>
    <w:p w14:paraId="5A5A378B" w14:textId="49218C14" w:rsidR="009D10D8" w:rsidRDefault="00207EFA">
      <w:pPr>
        <w:pStyle w:val="TOC1"/>
        <w:rPr>
          <w:rFonts w:asciiTheme="minorHAnsi" w:eastAsiaTheme="minorEastAsia" w:hAnsiTheme="minorHAnsi" w:cstheme="minorBidi"/>
          <w:color w:val="000000" w:themeColor="text1"/>
          <w:szCs w:val="22"/>
        </w:rPr>
      </w:pPr>
      <w:hyperlink w:anchor="_Toc68783451" w:history="1">
        <w:r w:rsidR="009E4577">
          <w:rPr>
            <w:rStyle w:val="afb"/>
            <w:color w:val="000000" w:themeColor="text1"/>
            <w:u w:val="none"/>
          </w:rPr>
          <w:t>第二十三部分</w:t>
        </w:r>
        <w:r w:rsidR="009E4577">
          <w:rPr>
            <w:rStyle w:val="afb"/>
            <w:color w:val="000000" w:themeColor="text1"/>
            <w:u w:val="none"/>
          </w:rPr>
          <w:t xml:space="preserve">  </w:t>
        </w:r>
        <w:r w:rsidR="009E4577">
          <w:rPr>
            <w:rStyle w:val="afb"/>
            <w:color w:val="000000" w:themeColor="text1"/>
            <w:u w:val="none"/>
          </w:rPr>
          <w:t>备查文件</w:t>
        </w:r>
        <w:r w:rsidR="009E4577">
          <w:rPr>
            <w:color w:val="000000" w:themeColor="text1"/>
          </w:rPr>
          <w:tab/>
        </w:r>
        <w:r w:rsidR="009E4577">
          <w:rPr>
            <w:color w:val="000000" w:themeColor="text1"/>
          </w:rPr>
          <w:fldChar w:fldCharType="begin"/>
        </w:r>
        <w:r w:rsidR="009E4577">
          <w:rPr>
            <w:color w:val="000000" w:themeColor="text1"/>
          </w:rPr>
          <w:instrText xml:space="preserve"> PAGEREF _Toc68783451 \h </w:instrText>
        </w:r>
        <w:r w:rsidR="009E4577">
          <w:rPr>
            <w:color w:val="000000" w:themeColor="text1"/>
          </w:rPr>
        </w:r>
        <w:r w:rsidR="009E4577">
          <w:rPr>
            <w:color w:val="000000" w:themeColor="text1"/>
          </w:rPr>
          <w:fldChar w:fldCharType="separate"/>
        </w:r>
        <w:r w:rsidR="00B3614F">
          <w:rPr>
            <w:noProof/>
            <w:color w:val="000000" w:themeColor="text1"/>
          </w:rPr>
          <w:t>1</w:t>
        </w:r>
        <w:r w:rsidR="009E4577">
          <w:rPr>
            <w:color w:val="000000" w:themeColor="text1"/>
          </w:rPr>
          <w:fldChar w:fldCharType="end"/>
        </w:r>
      </w:hyperlink>
      <w:r w:rsidR="009E4577">
        <w:rPr>
          <w:rStyle w:val="afb"/>
          <w:color w:val="000000" w:themeColor="text1"/>
          <w:u w:val="none"/>
        </w:rPr>
        <w:t>26</w:t>
      </w:r>
    </w:p>
    <w:p w14:paraId="5211AC7B" w14:textId="77777777" w:rsidR="009D10D8" w:rsidRDefault="009E4577">
      <w:r>
        <w:fldChar w:fldCharType="end"/>
      </w:r>
      <w:bookmarkStart w:id="32" w:name="_Toc263092309"/>
      <w:bookmarkStart w:id="33" w:name="_Toc416264537"/>
      <w:bookmarkStart w:id="34" w:name="_Toc258829399"/>
      <w:bookmarkStart w:id="35" w:name="_Toc2465"/>
      <w:bookmarkStart w:id="36" w:name="_Toc819"/>
      <w:bookmarkStart w:id="37" w:name="_Toc31551"/>
      <w:bookmarkStart w:id="38" w:name="_Toc24860"/>
      <w:bookmarkStart w:id="39" w:name="_Toc13020"/>
      <w:bookmarkStart w:id="40" w:name="_Toc6617"/>
      <w:bookmarkStart w:id="41" w:name="_Toc22864"/>
      <w:bookmarkStart w:id="42" w:name="_Toc3224"/>
      <w:bookmarkStart w:id="43" w:name="_Toc19592"/>
      <w:bookmarkStart w:id="44" w:name="_Toc15067"/>
      <w:bookmarkStart w:id="45" w:name="_Toc21301"/>
      <w:bookmarkStart w:id="46" w:name="_Toc35222974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0B12D47C" w14:textId="77777777" w:rsidR="009D10D8" w:rsidRDefault="009D10D8"/>
    <w:p w14:paraId="6C6E5ECD" w14:textId="77777777" w:rsidR="009D10D8" w:rsidRDefault="009D10D8"/>
    <w:p w14:paraId="6137E2CB" w14:textId="77777777" w:rsidR="009D10D8" w:rsidRDefault="009D10D8"/>
    <w:p w14:paraId="38047D8F" w14:textId="77777777" w:rsidR="009D10D8" w:rsidRDefault="009E4577">
      <w:pPr>
        <w:tabs>
          <w:tab w:val="left" w:pos="5370"/>
        </w:tabs>
      </w:pPr>
      <w:r>
        <w:tab/>
      </w:r>
    </w:p>
    <w:p w14:paraId="1F519B70" w14:textId="77777777" w:rsidR="009D10D8" w:rsidRDefault="009E4577">
      <w:pPr>
        <w:tabs>
          <w:tab w:val="left" w:pos="5370"/>
        </w:tabs>
        <w:sectPr w:rsidR="009D10D8">
          <w:pgSz w:w="11906" w:h="16838"/>
          <w:pgMar w:top="1440" w:right="1800" w:bottom="1440" w:left="1800" w:header="851" w:footer="992" w:gutter="0"/>
          <w:pgNumType w:chapStyle="1"/>
          <w:cols w:space="720"/>
          <w:docGrid w:type="lines" w:linePitch="312"/>
        </w:sectPr>
      </w:pPr>
      <w:r>
        <w:tab/>
      </w:r>
    </w:p>
    <w:p w14:paraId="18C4CBEA" w14:textId="77777777" w:rsidR="009D10D8" w:rsidRDefault="009E4577">
      <w:pPr>
        <w:pStyle w:val="1"/>
        <w:jc w:val="center"/>
        <w:rPr>
          <w:sz w:val="30"/>
          <w:szCs w:val="30"/>
        </w:rPr>
      </w:pPr>
      <w:bookmarkStart w:id="47" w:name="_Toc68783429"/>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50CF9AA3"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研究优选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》（以下简称“《信息披露办法》”）、《公开募集开放式证券投资基金流动性风险管理规定》（以下简称“《管理规定》”）以及《富荣研究优选</w:t>
      </w:r>
      <w:r>
        <w:rPr>
          <w:rFonts w:asciiTheme="minorEastAsia" w:hAnsiTheme="minorEastAsia" w:cs="Arial" w:hint="eastAsia"/>
          <w:kern w:val="0"/>
          <w:sz w:val="24"/>
          <w:szCs w:val="24"/>
        </w:rPr>
        <w:t>混合型</w:t>
      </w:r>
      <w:r>
        <w:rPr>
          <w:rFonts w:asciiTheme="minorEastAsia" w:hAnsiTheme="minorEastAsia" w:cs="Arial" w:hint="eastAsia"/>
          <w:sz w:val="24"/>
          <w:szCs w:val="24"/>
        </w:rPr>
        <w:t>证券投资基金基金合同》（以下简称“基金合同”）编写。</w:t>
      </w:r>
    </w:p>
    <w:p w14:paraId="476C35C2"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572573"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富荣研究优选</w:t>
      </w:r>
      <w:r>
        <w:rPr>
          <w:rFonts w:asciiTheme="minorEastAsia" w:hAnsiTheme="minorEastAsia" w:cs="Arial" w:hint="eastAsia"/>
          <w:kern w:val="0"/>
          <w:sz w:val="24"/>
          <w:szCs w:val="24"/>
        </w:rPr>
        <w:t>混合型</w:t>
      </w:r>
      <w:r>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3447BAE" w14:textId="77777777" w:rsidR="009D10D8" w:rsidRDefault="009E4577">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3874F3D1" w14:textId="77777777" w:rsidR="009D10D8" w:rsidRDefault="009D10D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D10D8">
          <w:footerReference w:type="default" r:id="rId10"/>
          <w:pgSz w:w="11906" w:h="16838"/>
          <w:pgMar w:top="1440" w:right="1800" w:bottom="1440" w:left="1800" w:header="851" w:footer="992" w:gutter="0"/>
          <w:pgNumType w:chapStyle="1"/>
          <w:cols w:space="720"/>
          <w:docGrid w:type="lines" w:linePitch="312"/>
        </w:sectPr>
      </w:pPr>
      <w:bookmarkStart w:id="48" w:name="_Toc352229748"/>
      <w:bookmarkStart w:id="49" w:name="_Toc733"/>
      <w:bookmarkStart w:id="50" w:name="_Toc20627"/>
      <w:bookmarkStart w:id="51" w:name="_Toc13288"/>
      <w:bookmarkStart w:id="52" w:name="_Toc20318"/>
      <w:bookmarkStart w:id="53" w:name="_Toc24571"/>
      <w:bookmarkStart w:id="54" w:name="_Toc5246"/>
      <w:bookmarkStart w:id="55" w:name="_Toc545"/>
      <w:bookmarkStart w:id="56" w:name="_Toc6683"/>
      <w:bookmarkStart w:id="57" w:name="_Toc18631"/>
      <w:bookmarkStart w:id="58" w:name="_Toc6149"/>
      <w:bookmarkStart w:id="59" w:name="_Toc22708"/>
      <w:bookmarkStart w:id="60" w:name="_Toc258829400"/>
      <w:bookmarkStart w:id="61" w:name="_Toc233456272"/>
    </w:p>
    <w:p w14:paraId="79BA74EF" w14:textId="77777777" w:rsidR="009D10D8" w:rsidRDefault="009E4577">
      <w:pPr>
        <w:pStyle w:val="1"/>
        <w:jc w:val="center"/>
        <w:rPr>
          <w:sz w:val="30"/>
          <w:szCs w:val="30"/>
        </w:rPr>
      </w:pPr>
      <w:bookmarkStart w:id="62" w:name="_Toc68783430"/>
      <w:r>
        <w:rPr>
          <w:rFonts w:hint="eastAsia"/>
          <w:sz w:val="30"/>
          <w:szCs w:val="30"/>
        </w:rPr>
        <w:lastRenderedPageBreak/>
        <w:t>第二部分</w:t>
      </w:r>
      <w:r>
        <w:rPr>
          <w:sz w:val="30"/>
          <w:szCs w:val="30"/>
        </w:rPr>
        <w:t xml:space="preserve">  </w:t>
      </w:r>
      <w:r>
        <w:rPr>
          <w:rFonts w:hint="eastAsia"/>
          <w:sz w:val="30"/>
          <w:szCs w:val="30"/>
        </w:rPr>
        <w:t>释义</w:t>
      </w:r>
      <w:bookmarkEnd w:id="62"/>
    </w:p>
    <w:p w14:paraId="0124F721"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02295BAC"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w:t>
      </w:r>
    </w:p>
    <w:p w14:paraId="07AE8F2F"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4EB7B7CE"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、基金托管人：指浙商银行股份有限公司</w:t>
      </w:r>
    </w:p>
    <w:p w14:paraId="79132E19" w14:textId="2168368C"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w:t>
      </w:r>
      <w:r w:rsidR="00014A4A">
        <w:rPr>
          <w:rFonts w:asciiTheme="minorEastAsia" w:hAnsiTheme="minorEastAsia" w:cs="Times New Roman" w:hint="eastAsia"/>
          <w:sz w:val="24"/>
          <w:szCs w:val="24"/>
        </w:rPr>
        <w:t>或《基金合同》</w:t>
      </w:r>
      <w:r>
        <w:rPr>
          <w:rFonts w:asciiTheme="minorEastAsia" w:hAnsiTheme="minorEastAsia" w:cs="Times New Roman" w:hint="eastAsia"/>
          <w:sz w:val="24"/>
          <w:szCs w:val="24"/>
        </w:rPr>
        <w:t>：指《富荣研究优选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证券投资基金基金合同》及对基金合同的任何有效修订和补充</w:t>
      </w:r>
    </w:p>
    <w:p w14:paraId="6FDC7B20"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证券投资基金托管协议》及对该托管协议的任何有效修订和补充</w:t>
      </w:r>
    </w:p>
    <w:p w14:paraId="786C792D"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证券投资基金招募说明书》及其更新</w:t>
      </w:r>
    </w:p>
    <w:p w14:paraId="7471AB9B"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、基金份额发售公告：指《富荣研究优选</w:t>
      </w:r>
      <w:r>
        <w:rPr>
          <w:rFonts w:asciiTheme="minorEastAsia" w:hAnsiTheme="minorEastAsia" w:cs="Arial" w:hint="eastAsia"/>
          <w:kern w:val="0"/>
          <w:sz w:val="24"/>
          <w:szCs w:val="24"/>
        </w:rPr>
        <w:t>混合型</w:t>
      </w:r>
      <w:r>
        <w:rPr>
          <w:rFonts w:asciiTheme="minorEastAsia" w:hAnsiTheme="minorEastAsia" w:cs="Times New Roman" w:hint="eastAsia"/>
          <w:sz w:val="24"/>
          <w:szCs w:val="24"/>
        </w:rPr>
        <w:t>证券投资基金基金份额发售公告》</w:t>
      </w:r>
    </w:p>
    <w:p w14:paraId="47D147AE"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42B7A71E"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1A92F9A0"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、《销售办法》：指中国证监会2020年8月28日颁布、同年</w:t>
      </w:r>
      <w:r>
        <w:rPr>
          <w:rFonts w:asciiTheme="minorEastAsia" w:hAnsiTheme="minorEastAsia" w:cs="Times New Roman"/>
          <w:sz w:val="24"/>
          <w:szCs w:val="24"/>
        </w:rPr>
        <w:t>10</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日实施的《公开募集证券投资基金销售机构监督管理办法》及颁布机关对其不时做出的修订</w:t>
      </w:r>
    </w:p>
    <w:p w14:paraId="137F2CCB"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日实施的，并经中国证监会</w:t>
      </w:r>
      <w:r>
        <w:rPr>
          <w:rFonts w:hint="eastAsia"/>
          <w:bCs/>
          <w:kern w:val="0"/>
          <w:sz w:val="24"/>
        </w:rPr>
        <w:t>2020</w:t>
      </w:r>
      <w:r>
        <w:rPr>
          <w:rFonts w:hint="eastAsia"/>
          <w:bCs/>
          <w:kern w:val="0"/>
          <w:sz w:val="24"/>
        </w:rPr>
        <w:t>年</w:t>
      </w:r>
      <w:r>
        <w:rPr>
          <w:rFonts w:hint="eastAsia"/>
          <w:bCs/>
          <w:kern w:val="0"/>
          <w:sz w:val="24"/>
        </w:rPr>
        <w:t>3</w:t>
      </w:r>
      <w:r>
        <w:rPr>
          <w:rFonts w:hint="eastAsia"/>
          <w:bCs/>
          <w:kern w:val="0"/>
          <w:sz w:val="24"/>
        </w:rPr>
        <w:t>月</w:t>
      </w:r>
      <w:r>
        <w:rPr>
          <w:rFonts w:hint="eastAsia"/>
          <w:bCs/>
          <w:kern w:val="0"/>
          <w:sz w:val="24"/>
        </w:rPr>
        <w:t>20</w:t>
      </w:r>
      <w:r>
        <w:rPr>
          <w:rFonts w:hint="eastAsia"/>
          <w:bCs/>
          <w:kern w:val="0"/>
          <w:sz w:val="24"/>
        </w:rPr>
        <w:t>日发布的《关于修改部分证券期货规章的决定》修正的《公开募集证券投资基金信息披露管理办法》</w:t>
      </w:r>
      <w:r>
        <w:rPr>
          <w:rFonts w:asciiTheme="minorEastAsia" w:hAnsiTheme="minorEastAsia" w:cs="Times New Roman" w:hint="eastAsia"/>
          <w:sz w:val="24"/>
          <w:szCs w:val="24"/>
        </w:rPr>
        <w:t>及颁布机关对其不时做出的修订</w:t>
      </w:r>
    </w:p>
    <w:p w14:paraId="10E62E08"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6980AAEA"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3</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0829D430"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47BDEE9C"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5C77A0D9"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74629E4A"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、个人投资者：指依据有关法律法规规定可投资于证券投资基金的自然人</w:t>
      </w:r>
    </w:p>
    <w:p w14:paraId="065F6796"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5158BC9"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、合格境外机构投资者：指符合《合格境外机构投资者和人民币合格境外机构投资者境内证券期货投资管理办法》及相关法律法规规定可以投资于在中国境内依法募集的证券投资基金的中国境外的机构投资者</w:t>
      </w:r>
    </w:p>
    <w:p w14:paraId="76A04A86"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7E57F2D5"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、投资人、投资者：指个人投资者、机构投资者、合格境外机构投资者和人民币合格境外机构投资者以及法律法规或中国证监会允许购买证券投资基金的其他投资人的合称</w:t>
      </w:r>
    </w:p>
    <w:p w14:paraId="0F0BD4D6"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53F0C82B"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573BFCD3"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35F1760"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w:t>
      </w:r>
      <w:r>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投资人基金账户的建立和管理、基金份额登记、基金销售业务的确认、清算和结算、代理发放红利、建立并保管基金份额持有人名册和办理非交易过户等</w:t>
      </w:r>
    </w:p>
    <w:p w14:paraId="621086DA"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2F125641"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6D83B528"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70C9AC8D"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3ED8228"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49A6DF6B"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1D5F021"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769D6D1"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2262C594"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42427457"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日），n为自然数</w:t>
      </w:r>
    </w:p>
    <w:p w14:paraId="0A760294"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6C4D9A7D"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82CAC7C"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4E213A5"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501891DC"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59A0747F"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BA2023A"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113C5FF6"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543A21A1"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5528FF58"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0D8B55A"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34B20421"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2C5535F0"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5C030AC2"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、基金资产净值：指基金资产总值减去基金负债后的价值</w:t>
      </w:r>
    </w:p>
    <w:p w14:paraId="7BC094C2"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0</w:t>
      </w:r>
      <w:r>
        <w:rPr>
          <w:rFonts w:asciiTheme="minorEastAsia" w:hAnsiTheme="minorEastAsia" w:cs="Times New Roman" w:hint="eastAsia"/>
          <w:sz w:val="24"/>
          <w:szCs w:val="24"/>
        </w:rPr>
        <w:t>、基金份额净值：指计算日基金资产净值除以计算日基金份额总数</w:t>
      </w:r>
    </w:p>
    <w:p w14:paraId="2617BFFA"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、基金资产估值：指计算评估基金资产和负债的价值，以确定基金资产净值和基金份额净值的过程</w:t>
      </w:r>
    </w:p>
    <w:p w14:paraId="782CAA11"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64853C9E"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、不可抗力：指基金合同当事人不能预见、不能避免且不能克服的客观事件</w:t>
      </w:r>
    </w:p>
    <w:p w14:paraId="66736FB5" w14:textId="77777777" w:rsidR="009D10D8" w:rsidRDefault="009E4577">
      <w:pPr>
        <w:spacing w:line="360" w:lineRule="auto"/>
        <w:ind w:firstLineChars="200" w:firstLine="480"/>
        <w:rPr>
          <w:bCs/>
          <w:sz w:val="24"/>
          <w:szCs w:val="24"/>
        </w:rPr>
      </w:pPr>
      <w:r>
        <w:rPr>
          <w:rFonts w:hint="eastAsia"/>
          <w:bCs/>
          <w:sz w:val="24"/>
          <w:szCs w:val="24"/>
        </w:rPr>
        <w:t>5</w:t>
      </w:r>
      <w:r>
        <w:rPr>
          <w:bCs/>
          <w:sz w:val="24"/>
          <w:szCs w:val="24"/>
        </w:rPr>
        <w:t>4</w:t>
      </w:r>
      <w:r>
        <w:rPr>
          <w:rFonts w:hint="eastAsia"/>
          <w:bCs/>
          <w:sz w:val="24"/>
          <w:szCs w:val="24"/>
        </w:rPr>
        <w:t>、流动性受限资产：指由于法律法规、监管、合同或操作障碍等原因无法以合理价格予以变现的资产，包括但不限于到期日在</w:t>
      </w:r>
      <w:r>
        <w:rPr>
          <w:rFonts w:hint="eastAsia"/>
          <w:bCs/>
          <w:sz w:val="24"/>
          <w:szCs w:val="24"/>
        </w:rPr>
        <w:t xml:space="preserve">10 </w:t>
      </w:r>
      <w:r>
        <w:rPr>
          <w:rFonts w:hint="eastAsia"/>
          <w:bCs/>
          <w:sz w:val="24"/>
          <w:szCs w:val="24"/>
        </w:rPr>
        <w:t>个交易日以上的逆回购与银行定期存款（含协议约定有条件提前支取的银行存款）、停牌股票、流通受</w:t>
      </w:r>
      <w:r>
        <w:rPr>
          <w:rFonts w:hint="eastAsia"/>
          <w:bCs/>
          <w:sz w:val="24"/>
          <w:szCs w:val="24"/>
        </w:rPr>
        <w:lastRenderedPageBreak/>
        <w:t>限的新股及非公开发行股票、资产支持证券、因发行人债务违约无法进行转让或交易的债券等</w:t>
      </w:r>
    </w:p>
    <w:p w14:paraId="75916BAF" w14:textId="77777777" w:rsidR="009D10D8" w:rsidRDefault="009E4577">
      <w:pPr>
        <w:spacing w:line="360" w:lineRule="auto"/>
        <w:ind w:firstLineChars="200" w:firstLine="480"/>
        <w:rPr>
          <w:bCs/>
          <w:sz w:val="24"/>
          <w:szCs w:val="24"/>
        </w:rPr>
      </w:pPr>
      <w:r>
        <w:rPr>
          <w:rFonts w:hint="eastAsia"/>
          <w:bCs/>
          <w:sz w:val="24"/>
          <w:szCs w:val="24"/>
        </w:rPr>
        <w:t>5</w:t>
      </w:r>
      <w:r>
        <w:rPr>
          <w:bCs/>
          <w:sz w:val="24"/>
          <w:szCs w:val="24"/>
        </w:rPr>
        <w:t>5</w:t>
      </w:r>
      <w:r>
        <w:rPr>
          <w:rFonts w:hint="eastAsia"/>
          <w:bCs/>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66DD1F38" w14:textId="02732239" w:rsidR="009D10D8" w:rsidRDefault="009E4577">
      <w:pPr>
        <w:spacing w:line="360" w:lineRule="auto"/>
        <w:ind w:firstLineChars="200" w:firstLine="480"/>
        <w:rPr>
          <w:bCs/>
          <w:sz w:val="24"/>
          <w:szCs w:val="24"/>
        </w:rPr>
      </w:pPr>
      <w:r>
        <w:rPr>
          <w:rFonts w:hint="eastAsia"/>
          <w:bCs/>
          <w:sz w:val="24"/>
          <w:szCs w:val="24"/>
        </w:rPr>
        <w:t>56</w:t>
      </w:r>
      <w:r>
        <w:rPr>
          <w:rFonts w:hint="eastAsia"/>
          <w:bCs/>
          <w:sz w:val="24"/>
          <w:szCs w:val="24"/>
        </w:rPr>
        <w:t>、基金份额类别：指根据认购</w:t>
      </w:r>
      <w:r>
        <w:rPr>
          <w:rFonts w:hint="eastAsia"/>
          <w:bCs/>
          <w:sz w:val="24"/>
          <w:szCs w:val="24"/>
        </w:rPr>
        <w:t>/</w:t>
      </w:r>
      <w:r>
        <w:rPr>
          <w:rFonts w:hint="eastAsia"/>
          <w:bCs/>
          <w:sz w:val="24"/>
          <w:szCs w:val="24"/>
        </w:rPr>
        <w:t>申购费用、销售服务费用收取方式的不同将本基金基金份额分为不同的类别，各基金份额类别分别设置代码，并分别计算和公告基金份额净值</w:t>
      </w:r>
    </w:p>
    <w:p w14:paraId="4C0390EB" w14:textId="15F49A49" w:rsidR="009D10D8" w:rsidRDefault="009E4577">
      <w:pPr>
        <w:spacing w:line="360" w:lineRule="auto"/>
        <w:ind w:firstLineChars="200" w:firstLine="480"/>
        <w:rPr>
          <w:bCs/>
          <w:sz w:val="24"/>
          <w:szCs w:val="24"/>
        </w:rPr>
      </w:pPr>
      <w:r>
        <w:rPr>
          <w:rFonts w:hint="eastAsia"/>
          <w:bCs/>
          <w:sz w:val="24"/>
          <w:szCs w:val="24"/>
        </w:rPr>
        <w:t>57</w:t>
      </w:r>
      <w:r>
        <w:rPr>
          <w:rFonts w:hint="eastAsia"/>
          <w:bCs/>
          <w:sz w:val="24"/>
          <w:szCs w:val="24"/>
        </w:rPr>
        <w:t>、</w:t>
      </w:r>
      <w:r>
        <w:rPr>
          <w:rFonts w:hint="eastAsia"/>
          <w:bCs/>
          <w:sz w:val="24"/>
          <w:szCs w:val="24"/>
        </w:rPr>
        <w:t>A</w:t>
      </w:r>
      <w:r>
        <w:rPr>
          <w:rFonts w:hint="eastAsia"/>
          <w:bCs/>
          <w:sz w:val="24"/>
          <w:szCs w:val="24"/>
        </w:rPr>
        <w:t>类基金份额：指在投资人认购</w:t>
      </w:r>
      <w:r>
        <w:rPr>
          <w:rFonts w:hint="eastAsia"/>
          <w:bCs/>
          <w:sz w:val="24"/>
          <w:szCs w:val="24"/>
        </w:rPr>
        <w:t>/</w:t>
      </w:r>
      <w:r>
        <w:rPr>
          <w:rFonts w:hint="eastAsia"/>
          <w:bCs/>
          <w:sz w:val="24"/>
          <w:szCs w:val="24"/>
        </w:rPr>
        <w:t>申购时收取认购</w:t>
      </w:r>
      <w:r>
        <w:rPr>
          <w:rFonts w:hint="eastAsia"/>
          <w:bCs/>
          <w:sz w:val="24"/>
          <w:szCs w:val="24"/>
        </w:rPr>
        <w:t>/</w:t>
      </w:r>
      <w:r>
        <w:rPr>
          <w:rFonts w:hint="eastAsia"/>
          <w:bCs/>
          <w:sz w:val="24"/>
          <w:szCs w:val="24"/>
        </w:rPr>
        <w:t>申购费用但不从本类别基金资产中计提销售服务费的基金份额类别</w:t>
      </w:r>
    </w:p>
    <w:p w14:paraId="3FDB5E97" w14:textId="63CF9120" w:rsidR="009D10D8" w:rsidRDefault="009E4577">
      <w:pPr>
        <w:spacing w:line="360" w:lineRule="auto"/>
        <w:ind w:firstLineChars="200" w:firstLine="480"/>
        <w:rPr>
          <w:bCs/>
          <w:sz w:val="24"/>
          <w:szCs w:val="24"/>
        </w:rPr>
      </w:pPr>
      <w:r>
        <w:rPr>
          <w:rFonts w:hint="eastAsia"/>
          <w:bCs/>
          <w:sz w:val="24"/>
          <w:szCs w:val="24"/>
        </w:rPr>
        <w:t>58</w:t>
      </w:r>
      <w:r>
        <w:rPr>
          <w:rFonts w:hint="eastAsia"/>
          <w:bCs/>
          <w:sz w:val="24"/>
          <w:szCs w:val="24"/>
        </w:rPr>
        <w:t>、</w:t>
      </w:r>
      <w:r>
        <w:rPr>
          <w:rFonts w:hint="eastAsia"/>
          <w:bCs/>
          <w:sz w:val="24"/>
          <w:szCs w:val="24"/>
        </w:rPr>
        <w:t>C</w:t>
      </w:r>
      <w:r>
        <w:rPr>
          <w:rFonts w:hint="eastAsia"/>
          <w:bCs/>
          <w:sz w:val="24"/>
          <w:szCs w:val="24"/>
        </w:rPr>
        <w:t>类基金份额：指从本类别基金资产中计提销售服务费而不收取认购</w:t>
      </w:r>
      <w:r>
        <w:rPr>
          <w:rFonts w:hint="eastAsia"/>
          <w:bCs/>
          <w:sz w:val="24"/>
          <w:szCs w:val="24"/>
        </w:rPr>
        <w:t>/</w:t>
      </w:r>
      <w:r>
        <w:rPr>
          <w:rFonts w:hint="eastAsia"/>
          <w:bCs/>
          <w:sz w:val="24"/>
          <w:szCs w:val="24"/>
        </w:rPr>
        <w:t>申购费用的基金份额类别</w:t>
      </w:r>
    </w:p>
    <w:p w14:paraId="5DC88AD0" w14:textId="77777777" w:rsidR="009D10D8" w:rsidRDefault="009E4577">
      <w:pPr>
        <w:spacing w:line="360" w:lineRule="auto"/>
        <w:ind w:firstLineChars="200" w:firstLine="480"/>
        <w:rPr>
          <w:bCs/>
          <w:sz w:val="24"/>
          <w:szCs w:val="24"/>
        </w:rPr>
      </w:pPr>
      <w:r>
        <w:rPr>
          <w:rFonts w:hint="eastAsia"/>
          <w:bCs/>
          <w:sz w:val="24"/>
          <w:szCs w:val="24"/>
        </w:rPr>
        <w:t>59</w:t>
      </w:r>
      <w:r>
        <w:rPr>
          <w:rFonts w:hint="eastAsia"/>
          <w:bCs/>
          <w:sz w:val="24"/>
          <w:szCs w:val="24"/>
        </w:rPr>
        <w:t>、销售服务费：指从基金资产中计提的，用于本基金市场推广、销售以及基金份额持有人服务的费用</w:t>
      </w:r>
    </w:p>
    <w:p w14:paraId="71824419" w14:textId="77777777" w:rsidR="009D10D8" w:rsidRDefault="009E4577">
      <w:pPr>
        <w:spacing w:line="360" w:lineRule="auto"/>
        <w:ind w:firstLineChars="200" w:firstLine="480"/>
        <w:rPr>
          <w:bCs/>
          <w:sz w:val="24"/>
          <w:szCs w:val="24"/>
        </w:rPr>
      </w:pPr>
      <w:r>
        <w:rPr>
          <w:rFonts w:hint="eastAsia"/>
          <w:bCs/>
          <w:sz w:val="24"/>
          <w:szCs w:val="24"/>
        </w:rPr>
        <w:t>60</w:t>
      </w:r>
      <w:r>
        <w:rPr>
          <w:rFonts w:hint="eastAsia"/>
          <w:bCs/>
          <w:sz w:val="24"/>
          <w:szCs w:val="24"/>
        </w:rPr>
        <w:t>、基金产品资料概要：指《富荣研究优选混合型证券投资基金基金产品资料概要》及其更新</w:t>
      </w:r>
    </w:p>
    <w:p w14:paraId="2D7B5A8F" w14:textId="77777777" w:rsidR="009D10D8" w:rsidRDefault="009E4577">
      <w:pPr>
        <w:spacing w:line="360" w:lineRule="auto"/>
        <w:ind w:firstLineChars="200" w:firstLine="480"/>
        <w:rPr>
          <w:bCs/>
          <w:sz w:val="24"/>
          <w:szCs w:val="24"/>
        </w:rPr>
      </w:pPr>
      <w:r>
        <w:rPr>
          <w:rFonts w:hint="eastAsia"/>
          <w:bCs/>
          <w:sz w:val="24"/>
          <w:szCs w:val="24"/>
        </w:rPr>
        <w:t>61</w:t>
      </w:r>
      <w:r>
        <w:rPr>
          <w:rFonts w:hint="eastAsia"/>
          <w:bCs/>
          <w:sz w:val="24"/>
          <w:szCs w:val="24"/>
        </w:rPr>
        <w:t>、信用衍生品：指符合证券交易所或银行间市场相关业务规则，专门用于管理信用风险的信用衍生工具</w:t>
      </w:r>
    </w:p>
    <w:p w14:paraId="704DF3F1" w14:textId="77777777" w:rsidR="009D10D8" w:rsidRDefault="009E4577">
      <w:pPr>
        <w:spacing w:line="360" w:lineRule="auto"/>
        <w:ind w:firstLineChars="200" w:firstLine="480"/>
        <w:rPr>
          <w:bCs/>
          <w:sz w:val="24"/>
          <w:szCs w:val="24"/>
        </w:rPr>
      </w:pPr>
      <w:r>
        <w:rPr>
          <w:rFonts w:hint="eastAsia"/>
          <w:bCs/>
          <w:sz w:val="24"/>
          <w:szCs w:val="24"/>
        </w:rPr>
        <w:t>62</w:t>
      </w:r>
      <w:r>
        <w:rPr>
          <w:rFonts w:hint="eastAsia"/>
          <w:bCs/>
          <w:sz w:val="24"/>
          <w:szCs w:val="24"/>
        </w:rPr>
        <w:t>、信用保护买方：亦称信用保护购买方，指接受信用风险保护的一方</w:t>
      </w:r>
    </w:p>
    <w:p w14:paraId="79945624" w14:textId="77777777" w:rsidR="009D10D8" w:rsidRDefault="009E4577">
      <w:pPr>
        <w:spacing w:line="360" w:lineRule="auto"/>
        <w:ind w:firstLineChars="200" w:firstLine="480"/>
        <w:rPr>
          <w:bCs/>
          <w:sz w:val="24"/>
          <w:szCs w:val="24"/>
        </w:rPr>
      </w:pPr>
      <w:r>
        <w:rPr>
          <w:rFonts w:hint="eastAsia"/>
          <w:bCs/>
          <w:sz w:val="24"/>
          <w:szCs w:val="24"/>
        </w:rPr>
        <w:t>63</w:t>
      </w:r>
      <w:r>
        <w:rPr>
          <w:rFonts w:hint="eastAsia"/>
          <w:bCs/>
          <w:sz w:val="24"/>
          <w:szCs w:val="24"/>
        </w:rPr>
        <w:t>、信用保护卖方：亦称信用保护提供方，指提供信用风险保护的一方</w:t>
      </w:r>
    </w:p>
    <w:p w14:paraId="4AB98B01" w14:textId="77777777" w:rsidR="009D10D8" w:rsidRDefault="009E4577">
      <w:pPr>
        <w:spacing w:line="360" w:lineRule="auto"/>
        <w:ind w:firstLineChars="200" w:firstLine="480"/>
        <w:rPr>
          <w:bCs/>
          <w:sz w:val="24"/>
          <w:szCs w:val="24"/>
        </w:rPr>
      </w:pPr>
      <w:r>
        <w:rPr>
          <w:rFonts w:hint="eastAsia"/>
          <w:bCs/>
          <w:sz w:val="24"/>
          <w:szCs w:val="24"/>
        </w:rPr>
        <w:t>64</w:t>
      </w:r>
      <w:r>
        <w:rPr>
          <w:rFonts w:hint="eastAsia"/>
          <w:bCs/>
          <w:sz w:val="24"/>
          <w:szCs w:val="24"/>
        </w:rPr>
        <w:t>、信用衍生品名义本金：亦称交易名义本金，指为信用衍生产品交易提供信用风险保护的金额，各项支付和结算以此金额为计算基准</w:t>
      </w:r>
    </w:p>
    <w:p w14:paraId="4B167CCE" w14:textId="77777777" w:rsidR="009D10D8" w:rsidRDefault="009E4577">
      <w:pPr>
        <w:spacing w:line="360" w:lineRule="auto"/>
        <w:ind w:firstLineChars="200" w:firstLine="480"/>
        <w:rPr>
          <w:bCs/>
          <w:sz w:val="24"/>
          <w:szCs w:val="24"/>
        </w:rPr>
      </w:pPr>
      <w:r>
        <w:rPr>
          <w:rFonts w:hint="eastAsia"/>
          <w:bCs/>
          <w:sz w:val="24"/>
          <w:szCs w:val="24"/>
        </w:rPr>
        <w:t>6</w:t>
      </w:r>
      <w:r>
        <w:rPr>
          <w:bCs/>
          <w:sz w:val="24"/>
          <w:szCs w:val="24"/>
        </w:rPr>
        <w:t>5</w:t>
      </w:r>
      <w:r>
        <w:rPr>
          <w:rFonts w:hint="eastAsia"/>
          <w:bCs/>
          <w:sz w:val="24"/>
          <w:szCs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38BEC3B4" w14:textId="77777777" w:rsidR="009D10D8" w:rsidRDefault="009E4577">
      <w:pPr>
        <w:spacing w:line="360" w:lineRule="auto"/>
        <w:ind w:firstLineChars="200" w:firstLine="480"/>
        <w:rPr>
          <w:bCs/>
          <w:sz w:val="24"/>
          <w:szCs w:val="24"/>
        </w:rPr>
      </w:pPr>
      <w:r>
        <w:rPr>
          <w:rFonts w:hint="eastAsia"/>
          <w:bCs/>
          <w:sz w:val="24"/>
          <w:szCs w:val="24"/>
        </w:rPr>
        <w:t>6</w:t>
      </w:r>
      <w:r>
        <w:rPr>
          <w:bCs/>
          <w:sz w:val="24"/>
          <w:szCs w:val="24"/>
        </w:rPr>
        <w:t>6</w:t>
      </w:r>
      <w:r>
        <w:rPr>
          <w:rFonts w:hint="eastAsia"/>
          <w:bCs/>
          <w:sz w:val="24"/>
          <w:szCs w:val="24"/>
        </w:rPr>
        <w:t>、特定资产：包括：（一）无可参考的活跃市场价格且采用估值技术仍导致公允价值存在重大不确定性的资产；（二）按摊余成本计量且计提资产减值准</w:t>
      </w:r>
      <w:r>
        <w:rPr>
          <w:rFonts w:hint="eastAsia"/>
          <w:bCs/>
          <w:sz w:val="24"/>
          <w:szCs w:val="24"/>
        </w:rPr>
        <w:lastRenderedPageBreak/>
        <w:t>备仍导致资产价值存在重大不确定性的资产；（三）其他资产价值存在重大不确定性的资产</w:t>
      </w:r>
    </w:p>
    <w:bookmarkEnd w:id="48"/>
    <w:bookmarkEnd w:id="49"/>
    <w:bookmarkEnd w:id="50"/>
    <w:bookmarkEnd w:id="51"/>
    <w:bookmarkEnd w:id="52"/>
    <w:bookmarkEnd w:id="53"/>
    <w:bookmarkEnd w:id="54"/>
    <w:bookmarkEnd w:id="55"/>
    <w:bookmarkEnd w:id="56"/>
    <w:bookmarkEnd w:id="57"/>
    <w:bookmarkEnd w:id="58"/>
    <w:bookmarkEnd w:id="59"/>
    <w:p w14:paraId="00140B24" w14:textId="77777777" w:rsidR="009D10D8" w:rsidRDefault="009D10D8">
      <w:pPr>
        <w:spacing w:line="360" w:lineRule="auto"/>
        <w:ind w:firstLineChars="200" w:firstLine="422"/>
        <w:rPr>
          <w:b/>
          <w:bCs/>
        </w:rPr>
        <w:sectPr w:rsidR="009D10D8">
          <w:footerReference w:type="default" r:id="rId11"/>
          <w:pgSz w:w="11906" w:h="16838"/>
          <w:pgMar w:top="1440" w:right="1800" w:bottom="1440" w:left="1800" w:header="851" w:footer="992" w:gutter="0"/>
          <w:pgNumType w:start="5" w:chapStyle="1"/>
          <w:cols w:space="720"/>
          <w:docGrid w:type="lines" w:linePitch="312"/>
        </w:sectPr>
      </w:pPr>
    </w:p>
    <w:p w14:paraId="1BFC01AD" w14:textId="77777777" w:rsidR="009D10D8" w:rsidRDefault="009E4577">
      <w:pPr>
        <w:pStyle w:val="1"/>
        <w:jc w:val="center"/>
        <w:rPr>
          <w:sz w:val="30"/>
          <w:szCs w:val="30"/>
        </w:rPr>
      </w:pPr>
      <w:bookmarkStart w:id="63" w:name="_Toc416264539"/>
      <w:bookmarkStart w:id="64" w:name="_Toc263092311"/>
      <w:bookmarkStart w:id="65" w:name="_Toc68783431"/>
      <w:bookmarkStart w:id="66" w:name="_Toc410197817"/>
      <w:bookmarkStart w:id="67" w:name="_Toc352229749"/>
      <w:bookmarkStart w:id="68" w:name="_Toc24682"/>
      <w:bookmarkStart w:id="69" w:name="_Toc15203"/>
      <w:bookmarkStart w:id="70" w:name="_Toc16265"/>
      <w:bookmarkStart w:id="71" w:name="_Toc3266"/>
      <w:bookmarkStart w:id="72" w:name="_Toc7151"/>
      <w:bookmarkStart w:id="73" w:name="_Toc90742390"/>
      <w:bookmarkStart w:id="74" w:name="_Toc27189"/>
      <w:bookmarkStart w:id="75" w:name="_Toc29784"/>
      <w:bookmarkStart w:id="76" w:name="_Toc90742321"/>
      <w:bookmarkStart w:id="77" w:name="_Toc6714"/>
      <w:bookmarkStart w:id="78" w:name="_Toc29948"/>
      <w:bookmarkStart w:id="79" w:name="_Toc27226"/>
      <w:bookmarkStart w:id="80" w:name="_Toc22074"/>
      <w:bookmarkStart w:id="81" w:name="_Toc90742688"/>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2DD91A06" w14:textId="77777777" w:rsidR="009D10D8" w:rsidRDefault="009E4577">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7CC826ED" w14:textId="77777777" w:rsidR="009D10D8" w:rsidRDefault="009E4577">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258A4EA1" w14:textId="157BC3E1" w:rsidR="009D10D8" w:rsidRDefault="009E4577">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sidR="008E18A6" w:rsidRPr="008E18A6">
        <w:rPr>
          <w:rFonts w:asciiTheme="minorEastAsia" w:hAnsiTheme="minorEastAsia" w:cs="Times New Roman" w:hint="eastAsia"/>
          <w:kern w:val="0"/>
          <w:sz w:val="24"/>
          <w:szCs w:val="24"/>
        </w:rPr>
        <w:t>广东省广州市南沙区横沥镇汇通二街2号3110房</w:t>
      </w:r>
    </w:p>
    <w:p w14:paraId="45F74C22" w14:textId="77777777" w:rsidR="009D10D8" w:rsidRDefault="009E4577">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3B307F6E" w14:textId="4816546C" w:rsidR="009D10D8" w:rsidRDefault="009E4577">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sidR="008E18A6" w:rsidRPr="008E18A6">
        <w:rPr>
          <w:rFonts w:ascii="Arial Unicode MS" w:hAnsi="Arial Unicode MS" w:cs="Arial" w:hint="eastAsia"/>
          <w:kern w:val="0"/>
          <w:sz w:val="24"/>
        </w:rPr>
        <w:t>王亦伟</w:t>
      </w:r>
    </w:p>
    <w:p w14:paraId="4E9578F3" w14:textId="77777777" w:rsidR="009D10D8" w:rsidRDefault="009E4577">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574DE1E2" w14:textId="77777777" w:rsidR="009D10D8" w:rsidRDefault="009E4577">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61DF929C" w14:textId="77777777" w:rsidR="009D10D8" w:rsidRDefault="009E4577">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存续期间：永续经营</w:t>
      </w:r>
    </w:p>
    <w:p w14:paraId="59086002" w14:textId="1BB18A3B" w:rsidR="009D10D8" w:rsidRDefault="009E4577">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w:t>
      </w:r>
      <w:r w:rsidR="008E18A6" w:rsidRPr="008E18A6">
        <w:rPr>
          <w:rFonts w:asciiTheme="minorEastAsia" w:hAnsiTheme="minorEastAsia" w:cs="Times New Roman" w:hint="eastAsia"/>
          <w:kern w:val="0"/>
          <w:sz w:val="24"/>
          <w:szCs w:val="24"/>
        </w:rPr>
        <w:t>罗艳</w:t>
      </w:r>
    </w:p>
    <w:p w14:paraId="315817CD" w14:textId="0510A87E" w:rsidR="009D10D8" w:rsidRDefault="009E4577">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sidR="008E18A6">
        <w:rPr>
          <w:rFonts w:asciiTheme="minorEastAsia" w:hAnsiTheme="minorEastAsia" w:cs="Times New Roman"/>
          <w:kern w:val="0"/>
          <w:sz w:val="24"/>
          <w:szCs w:val="24"/>
        </w:rPr>
        <w:t>7</w:t>
      </w:r>
    </w:p>
    <w:p w14:paraId="1B95DC9B" w14:textId="77777777" w:rsidR="009D10D8" w:rsidRDefault="009E4577">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D10D8" w14:paraId="7AF780F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F3CE493" w14:textId="77777777" w:rsidR="009D10D8" w:rsidRDefault="009E4577">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3E19B312" w14:textId="77777777" w:rsidR="009D10D8" w:rsidRDefault="009E4577">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9D10D8" w14:paraId="01C4D29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41AA1BA" w14:textId="77777777" w:rsidR="009D10D8" w:rsidRDefault="009E4577">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CBB1FEF" w14:textId="77777777" w:rsidR="009D10D8" w:rsidRDefault="009E4577">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9D10D8" w14:paraId="6D33ADC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6D0B31D" w14:textId="77777777" w:rsidR="009D10D8" w:rsidRDefault="009E4577">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F7456D3" w14:textId="77777777" w:rsidR="009D10D8" w:rsidRDefault="009E4577">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9D10D8" w14:paraId="320DA45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29F6072" w14:textId="77777777" w:rsidR="009D10D8" w:rsidRDefault="009E4577">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743E0A2" w14:textId="77777777" w:rsidR="009D10D8" w:rsidRDefault="009E4577">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0671A6A" w14:textId="77777777" w:rsidR="009D10D8" w:rsidRDefault="009D10D8">
      <w:pPr>
        <w:adjustRightInd w:val="0"/>
        <w:snapToGrid w:val="0"/>
        <w:spacing w:line="360" w:lineRule="auto"/>
        <w:ind w:firstLineChars="200" w:firstLine="480"/>
        <w:rPr>
          <w:rFonts w:asciiTheme="minorEastAsia" w:hAnsiTheme="minorEastAsia" w:cs="Arial"/>
          <w:kern w:val="0"/>
          <w:sz w:val="24"/>
          <w:szCs w:val="24"/>
        </w:rPr>
      </w:pPr>
    </w:p>
    <w:p w14:paraId="1E6D28CE" w14:textId="77777777" w:rsidR="009D10D8" w:rsidRDefault="009E4577">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5CC32793" w14:textId="77777777" w:rsidR="009D10D8" w:rsidRDefault="009E457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308B1144" w14:textId="24D89D3F" w:rsidR="00C94615" w:rsidRDefault="00C94615" w:rsidP="001B56E7">
      <w:pPr>
        <w:adjustRightInd w:val="0"/>
        <w:snapToGrid w:val="0"/>
        <w:spacing w:line="360" w:lineRule="auto"/>
        <w:ind w:firstLineChars="200" w:firstLine="480"/>
        <w:rPr>
          <w:rFonts w:asciiTheme="minorEastAsia" w:hAnsiTheme="minorEastAsia" w:cs="Arial"/>
          <w:kern w:val="0"/>
          <w:sz w:val="24"/>
          <w:szCs w:val="24"/>
        </w:rPr>
      </w:pPr>
      <w:r w:rsidRPr="00C94615">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05E20863" w14:textId="4430ED44" w:rsidR="001B56E7" w:rsidRP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w:t>
      </w:r>
      <w:r w:rsidRPr="001B56E7">
        <w:rPr>
          <w:rFonts w:asciiTheme="minorEastAsia" w:hAnsiTheme="minorEastAsia" w:cs="Arial" w:hint="eastAsia"/>
          <w:kern w:val="0"/>
          <w:sz w:val="24"/>
          <w:szCs w:val="24"/>
        </w:rPr>
        <w:lastRenderedPageBreak/>
        <w:t>阳分行行长兼党委书记、广发银行深圳分行行长兼党委书记</w:t>
      </w:r>
      <w:r w:rsidR="008A3BFA" w:rsidRPr="008A3BFA">
        <w:rPr>
          <w:rFonts w:asciiTheme="minorEastAsia" w:hAnsiTheme="minorEastAsia" w:cs="Arial" w:hint="eastAsia"/>
          <w:kern w:val="0"/>
          <w:sz w:val="24"/>
          <w:szCs w:val="24"/>
        </w:rPr>
        <w:t>、富荣基金管理有限公司董事长</w:t>
      </w:r>
      <w:r w:rsidRPr="001B56E7">
        <w:rPr>
          <w:rFonts w:asciiTheme="minorEastAsia" w:hAnsiTheme="minorEastAsia" w:cs="Arial" w:hint="eastAsia"/>
          <w:kern w:val="0"/>
          <w:sz w:val="24"/>
          <w:szCs w:val="24"/>
        </w:rPr>
        <w:t>。</w:t>
      </w:r>
    </w:p>
    <w:p w14:paraId="4B6862AE" w14:textId="77777777" w:rsidR="001B56E7" w:rsidRP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67D238FB" w14:textId="29208D04" w:rsidR="006F3870" w:rsidRPr="001B56E7" w:rsidRDefault="006F3870" w:rsidP="001B56E7">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szCs w:val="24"/>
        </w:rPr>
        <w:t>郭涛先生，董事，上海高级金融学院研究生（在读）。现任盈投控股有限公司董事、总经理；深圳市亿尔德投资有限公司法定代表人、执行董事、总经理；深圳市前海富荣资产管理有限公司法定代表人、董事长、总经理；深圳嘉年实业股份有限公司董事；深圳市嘉年印务有限公司董事；深圳市铭嘉达信息咨询有限公司董事；深圳市益德置业有限公司总经理、董事；深圳市润丰不动产运营服务有限公司董事；深圳安吉尔服务营销有限公司董事；深圳市安吉尔电器有限公司法定代表人、董事长；深圳市银珠塑料制品有限公司董事；乐百氏（广东）饮用水有限公司董事；绍兴安吉尔投资管理有限公司董事；绍兴安吉尔环境科技有限公司董事；深圳安吉尔饮水产业集团有限公司董事；深圳市安吉尔饮水事业发展有限公司董事；深圳市益景德实业有限公司董事；深圳市盈投发展有限公司董事；深圳市盈实发展有限公司董事长；深圳上合高金投资管理有限公司监事；深圳市理得文化发展有限公司董事；富荣基金管理有限公司董事。</w:t>
      </w:r>
    </w:p>
    <w:p w14:paraId="47D83352" w14:textId="76D0AAB3" w:rsidR="006F3870" w:rsidRPr="001B56E7" w:rsidRDefault="006F3870" w:rsidP="001B56E7">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szCs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东银实业（深圳）有限公司董事、深圳金田股份有限公司独立董事、申科滑动轴承股份有限公司独立董事。现任富荣基金管理有限公司独立董事。</w:t>
      </w:r>
    </w:p>
    <w:p w14:paraId="2A4102DD" w14:textId="77777777" w:rsidR="001B56E7" w:rsidRP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B17A743" w14:textId="77777777" w:rsidR="001B56E7" w:rsidRP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w:t>
      </w:r>
      <w:r w:rsidRPr="001B56E7">
        <w:rPr>
          <w:rFonts w:asciiTheme="minorEastAsia" w:hAnsiTheme="minorEastAsia" w:cs="Arial" w:hint="eastAsia"/>
          <w:kern w:val="0"/>
          <w:sz w:val="24"/>
          <w:szCs w:val="24"/>
        </w:rPr>
        <w:lastRenderedPageBreak/>
        <w:t>会负责人、监事长职务。</w:t>
      </w:r>
    </w:p>
    <w:p w14:paraId="75787A0C" w14:textId="77777777" w:rsidR="001B56E7" w:rsidRP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2、监事会成员</w:t>
      </w:r>
    </w:p>
    <w:p w14:paraId="29EF0DDB" w14:textId="77777777" w:rsidR="001B56E7" w:rsidRP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基金管理人不设监事会，设监事两名，其中一名为职工监事。</w:t>
      </w:r>
    </w:p>
    <w:p w14:paraId="52F348D3" w14:textId="77777777" w:rsidR="001B56E7" w:rsidRP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郑廉明先生，监事，硕士。原广发银行副行长（已退休），现任富荣基金管理有限公司监事。</w:t>
      </w:r>
    </w:p>
    <w:p w14:paraId="5A3D9E51" w14:textId="77777777" w:rsidR="001B56E7" w:rsidRP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魏丽红女士，职工监事，大专。现任富荣基金管理有限公司职工监事。</w:t>
      </w:r>
    </w:p>
    <w:p w14:paraId="08EF7733" w14:textId="77777777" w:rsidR="001B56E7" w:rsidRP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3、高级管理人员</w:t>
      </w:r>
    </w:p>
    <w:p w14:paraId="33C8967E" w14:textId="77777777" w:rsidR="006F3870" w:rsidRPr="006F3870" w:rsidRDefault="006F3870" w:rsidP="006F3870">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现任广州产业投资基金管理有限公司党委副书记、总经理、法定代表人、董事，广州市城投投资有限公司董事，中国文化产业投资母基金管理有限公司董事，富荣基金管理有限公司董事长。</w:t>
      </w:r>
    </w:p>
    <w:p w14:paraId="1B0E6C93" w14:textId="72B46044" w:rsidR="00962247" w:rsidRPr="00962247" w:rsidRDefault="006F3870" w:rsidP="001B56E7">
      <w:pPr>
        <w:adjustRightInd w:val="0"/>
        <w:snapToGrid w:val="0"/>
        <w:spacing w:line="360" w:lineRule="auto"/>
        <w:ind w:firstLineChars="200" w:firstLine="480"/>
        <w:rPr>
          <w:rFonts w:asciiTheme="minorEastAsia" w:hAnsiTheme="minorEastAsia" w:cs="Arial"/>
          <w:kern w:val="0"/>
          <w:sz w:val="24"/>
          <w:szCs w:val="24"/>
        </w:rPr>
      </w:pPr>
      <w:r w:rsidRPr="006F3870">
        <w:rPr>
          <w:rFonts w:asciiTheme="minorEastAsia" w:hAnsiTheme="minorEastAsia" w:cs="Arial" w:hint="eastAsia"/>
          <w:kern w:val="0"/>
          <w:sz w:val="24"/>
          <w:szCs w:val="24"/>
        </w:rPr>
        <w:t>杨小舟先生，总经理、</w:t>
      </w:r>
      <w:r w:rsidR="002126B2">
        <w:rPr>
          <w:rFonts w:asciiTheme="minorEastAsia" w:hAnsiTheme="minorEastAsia" w:cs="Arial" w:hint="eastAsia"/>
          <w:kern w:val="0"/>
          <w:sz w:val="24"/>
          <w:szCs w:val="24"/>
        </w:rPr>
        <w:t>兼任</w:t>
      </w:r>
      <w:r w:rsidRPr="006F3870">
        <w:rPr>
          <w:rFonts w:asciiTheme="minorEastAsia" w:hAnsiTheme="minorEastAsia" w:cs="Arial" w:hint="eastAsia"/>
          <w:kern w:val="0"/>
          <w:sz w:val="24"/>
          <w:szCs w:val="24"/>
        </w:rPr>
        <w:t>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p>
    <w:p w14:paraId="1365B64B" w14:textId="65B79D45" w:rsidR="006F3870" w:rsidRPr="001B56E7" w:rsidRDefault="00962247" w:rsidP="006F387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史克新先生，副总经理，</w:t>
      </w:r>
      <w:r w:rsidRPr="00962247">
        <w:rPr>
          <w:rFonts w:asciiTheme="minorEastAsia" w:hAnsiTheme="minorEastAsia" w:cs="Arial" w:hint="eastAsia"/>
          <w:kern w:val="0"/>
          <w:sz w:val="24"/>
          <w:szCs w:val="24"/>
        </w:rPr>
        <w:t>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司互联网创新专项办公室总经理等。现任富荣基金管理有限公司</w:t>
      </w:r>
      <w:r>
        <w:rPr>
          <w:rFonts w:asciiTheme="minorEastAsia" w:hAnsiTheme="minorEastAsia" w:cs="Arial" w:hint="eastAsia"/>
          <w:kern w:val="0"/>
          <w:sz w:val="24"/>
          <w:szCs w:val="24"/>
        </w:rPr>
        <w:t>副</w:t>
      </w:r>
      <w:r w:rsidRPr="00962247">
        <w:rPr>
          <w:rFonts w:asciiTheme="minorEastAsia" w:hAnsiTheme="minorEastAsia" w:cs="Arial" w:hint="eastAsia"/>
          <w:kern w:val="0"/>
          <w:sz w:val="24"/>
          <w:szCs w:val="24"/>
        </w:rPr>
        <w:t>总经理。</w:t>
      </w:r>
    </w:p>
    <w:p w14:paraId="0EF8B82F" w14:textId="77777777" w:rsidR="001B56E7" w:rsidRP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F125F57" w14:textId="3F383B56" w:rsidR="009D10D8" w:rsidRDefault="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4、本基金基金经理</w:t>
      </w:r>
    </w:p>
    <w:p w14:paraId="3EE04F71" w14:textId="0CDE0F2F" w:rsidR="009D10D8" w:rsidRDefault="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lastRenderedPageBreak/>
        <w:t>郎骋成先生，南京大学工业工程硕士。曾任锦泰期货有限公司宏观和化工研究员，弘业期货股份有限公司投资咨询负责人、研究所所长等职。历任摩根士丹利华鑫基金另类投资小组副组长、专户投资经理、专户理财部副总监。现任富荣基金管理有限公司研究部总经理、投资决策委员会委员、投资经理、富荣沪深300指数增强型证券投资基金基金经理（自2020年7月16日起任职）、富荣福康混合型证券投资基金基金经理（自2020年10月15日</w:t>
      </w:r>
      <w:r w:rsidR="00B80137">
        <w:rPr>
          <w:rFonts w:asciiTheme="minorEastAsia" w:hAnsiTheme="minorEastAsia" w:cs="Arial" w:hint="eastAsia"/>
          <w:kern w:val="0"/>
          <w:sz w:val="24"/>
          <w:szCs w:val="24"/>
        </w:rPr>
        <w:t>至</w:t>
      </w:r>
      <w:r w:rsidR="00B80137" w:rsidRPr="00B80137">
        <w:rPr>
          <w:rFonts w:asciiTheme="minorEastAsia" w:hAnsiTheme="minorEastAsia" w:cs="Arial"/>
          <w:kern w:val="0"/>
          <w:sz w:val="24"/>
          <w:szCs w:val="24"/>
        </w:rPr>
        <w:t>2023</w:t>
      </w:r>
      <w:r w:rsidR="00B80137">
        <w:rPr>
          <w:rFonts w:asciiTheme="minorEastAsia" w:hAnsiTheme="minorEastAsia" w:cs="Arial" w:hint="eastAsia"/>
          <w:kern w:val="0"/>
          <w:sz w:val="24"/>
          <w:szCs w:val="24"/>
        </w:rPr>
        <w:t>年</w:t>
      </w:r>
      <w:r w:rsidR="00B80137" w:rsidRPr="00B80137">
        <w:rPr>
          <w:rFonts w:asciiTheme="minorEastAsia" w:hAnsiTheme="minorEastAsia" w:cs="Arial"/>
          <w:kern w:val="0"/>
          <w:sz w:val="24"/>
          <w:szCs w:val="24"/>
        </w:rPr>
        <w:t>3</w:t>
      </w:r>
      <w:r w:rsidR="00B80137">
        <w:rPr>
          <w:rFonts w:asciiTheme="minorEastAsia" w:hAnsiTheme="minorEastAsia" w:cs="Arial" w:hint="eastAsia"/>
          <w:kern w:val="0"/>
          <w:sz w:val="24"/>
          <w:szCs w:val="24"/>
        </w:rPr>
        <w:t>月</w:t>
      </w:r>
      <w:r w:rsidR="00B80137" w:rsidRPr="00B80137">
        <w:rPr>
          <w:rFonts w:asciiTheme="minorEastAsia" w:hAnsiTheme="minorEastAsia" w:cs="Arial"/>
          <w:kern w:val="0"/>
          <w:sz w:val="24"/>
          <w:szCs w:val="24"/>
        </w:rPr>
        <w:t>8</w:t>
      </w:r>
      <w:r w:rsidR="00B80137">
        <w:rPr>
          <w:rFonts w:asciiTheme="minorEastAsia" w:hAnsiTheme="minorEastAsia" w:cs="Arial" w:hint="eastAsia"/>
          <w:kern w:val="0"/>
          <w:sz w:val="24"/>
          <w:szCs w:val="24"/>
        </w:rPr>
        <w:t>日</w:t>
      </w:r>
      <w:r w:rsidRPr="001B56E7">
        <w:rPr>
          <w:rFonts w:asciiTheme="minorEastAsia" w:hAnsiTheme="minorEastAsia" w:cs="Arial" w:hint="eastAsia"/>
          <w:kern w:val="0"/>
          <w:sz w:val="24"/>
          <w:szCs w:val="24"/>
        </w:rPr>
        <w:t>）、富荣价值精选灵活配置混合型发起式证券投资基金基金经理（自2020年10月23日至2021年11月12日）、富荣信息技术混合型证券投资基金基金经理（自2021年10月28日起任职）、富荣中证500指数增强型证券投资基金基金经理（自2022年8月5日起任职）。</w:t>
      </w:r>
    </w:p>
    <w:p w14:paraId="031D897E" w14:textId="77777777" w:rsidR="009D10D8" w:rsidRDefault="009E457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0DC58B9E" w14:textId="00A0D987" w:rsidR="008A6710" w:rsidRDefault="008A6710" w:rsidP="001B56E7">
      <w:pPr>
        <w:adjustRightInd w:val="0"/>
        <w:snapToGrid w:val="0"/>
        <w:spacing w:line="360" w:lineRule="auto"/>
        <w:ind w:firstLineChars="200" w:firstLine="480"/>
        <w:rPr>
          <w:rFonts w:asciiTheme="minorEastAsia" w:hAnsiTheme="minorEastAsia" w:cs="Arial"/>
          <w:kern w:val="0"/>
          <w:sz w:val="24"/>
          <w:szCs w:val="24"/>
        </w:rPr>
      </w:pPr>
      <w:r w:rsidRPr="008A6710">
        <w:rPr>
          <w:rFonts w:asciiTheme="minorEastAsia" w:hAnsiTheme="minorEastAsia" w:cs="Arial" w:hint="eastAsia"/>
          <w:kern w:val="0"/>
          <w:sz w:val="24"/>
          <w:szCs w:val="24"/>
        </w:rPr>
        <w:t>杨小舟</w:t>
      </w:r>
      <w:r>
        <w:rPr>
          <w:rFonts w:asciiTheme="minorEastAsia" w:hAnsiTheme="minorEastAsia" w:cs="Arial" w:hint="eastAsia"/>
          <w:kern w:val="0"/>
          <w:sz w:val="24"/>
          <w:szCs w:val="24"/>
        </w:rPr>
        <w:t>先生，</w:t>
      </w:r>
      <w:r w:rsidRPr="001B56E7">
        <w:rPr>
          <w:rFonts w:asciiTheme="minorEastAsia" w:hAnsiTheme="minorEastAsia" w:cs="Arial" w:hint="eastAsia"/>
          <w:kern w:val="0"/>
          <w:sz w:val="24"/>
          <w:szCs w:val="24"/>
        </w:rPr>
        <w:t>投资决策委员会主任委员、</w:t>
      </w:r>
      <w:r w:rsidR="00917A8E" w:rsidRPr="00917A8E">
        <w:rPr>
          <w:rFonts w:asciiTheme="minorEastAsia" w:hAnsiTheme="minorEastAsia" w:cs="Arial" w:hint="eastAsia"/>
          <w:kern w:val="0"/>
          <w:sz w:val="24"/>
          <w:szCs w:val="24"/>
        </w:rPr>
        <w:t>公司总经理、兼任首席信息官</w:t>
      </w:r>
      <w:r>
        <w:rPr>
          <w:rFonts w:asciiTheme="minorEastAsia" w:hAnsiTheme="minorEastAsia" w:cs="Arial" w:hint="eastAsia"/>
          <w:kern w:val="0"/>
          <w:sz w:val="24"/>
          <w:szCs w:val="24"/>
        </w:rPr>
        <w:t>。</w:t>
      </w:r>
    </w:p>
    <w:p w14:paraId="10990EF5" w14:textId="23C7342A" w:rsidR="00432BFD" w:rsidRDefault="00432BFD" w:rsidP="001B56E7">
      <w:pPr>
        <w:adjustRightInd w:val="0"/>
        <w:snapToGrid w:val="0"/>
        <w:spacing w:line="360" w:lineRule="auto"/>
        <w:ind w:firstLineChars="200" w:firstLine="480"/>
        <w:rPr>
          <w:rFonts w:asciiTheme="minorEastAsia" w:hAnsiTheme="minorEastAsia" w:cs="Arial"/>
          <w:kern w:val="0"/>
          <w:sz w:val="24"/>
          <w:szCs w:val="24"/>
        </w:rPr>
      </w:pPr>
      <w:r w:rsidRPr="00432BFD">
        <w:rPr>
          <w:rFonts w:asciiTheme="minorEastAsia" w:hAnsiTheme="minorEastAsia" w:cs="Arial" w:hint="eastAsia"/>
          <w:kern w:val="0"/>
          <w:sz w:val="24"/>
          <w:szCs w:val="24"/>
        </w:rPr>
        <w:t>史克新</w:t>
      </w:r>
      <w:r w:rsidR="000D2964">
        <w:rPr>
          <w:rFonts w:asciiTheme="minorEastAsia" w:hAnsiTheme="minorEastAsia" w:cs="Arial" w:hint="eastAsia"/>
          <w:kern w:val="0"/>
          <w:sz w:val="24"/>
          <w:szCs w:val="24"/>
        </w:rPr>
        <w:t>先生</w:t>
      </w:r>
      <w:r>
        <w:rPr>
          <w:rFonts w:asciiTheme="minorEastAsia" w:hAnsiTheme="minorEastAsia" w:cs="Arial" w:hint="eastAsia"/>
          <w:kern w:val="0"/>
          <w:sz w:val="24"/>
          <w:szCs w:val="24"/>
        </w:rPr>
        <w:t>，</w:t>
      </w:r>
      <w:r w:rsidRPr="001B56E7">
        <w:rPr>
          <w:rFonts w:asciiTheme="minorEastAsia" w:hAnsiTheme="minorEastAsia" w:cs="Arial" w:hint="eastAsia"/>
          <w:kern w:val="0"/>
          <w:sz w:val="24"/>
          <w:szCs w:val="24"/>
        </w:rPr>
        <w:t>投资决策委员会委员、</w:t>
      </w:r>
      <w:r w:rsidR="000D2964">
        <w:rPr>
          <w:rFonts w:asciiTheme="minorEastAsia" w:hAnsiTheme="minorEastAsia" w:cs="Arial" w:hint="eastAsia"/>
          <w:kern w:val="0"/>
          <w:sz w:val="24"/>
          <w:szCs w:val="24"/>
        </w:rPr>
        <w:t>公司</w:t>
      </w:r>
      <w:r>
        <w:rPr>
          <w:rFonts w:asciiTheme="minorEastAsia" w:hAnsiTheme="minorEastAsia" w:cs="Arial" w:hint="eastAsia"/>
          <w:kern w:val="0"/>
          <w:sz w:val="24"/>
          <w:szCs w:val="24"/>
        </w:rPr>
        <w:t>副总经理。</w:t>
      </w:r>
    </w:p>
    <w:p w14:paraId="60321A50" w14:textId="3DF948EE" w:rsidR="001B56E7" w:rsidRP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邓宇翔先生，</w:t>
      </w:r>
      <w:r w:rsidR="008A6710" w:rsidRPr="001B56E7">
        <w:rPr>
          <w:rFonts w:asciiTheme="minorEastAsia" w:hAnsiTheme="minorEastAsia" w:cs="Arial" w:hint="eastAsia"/>
          <w:kern w:val="0"/>
          <w:sz w:val="24"/>
          <w:szCs w:val="24"/>
        </w:rPr>
        <w:t>投资决策委员会委员、</w:t>
      </w:r>
      <w:r w:rsidRPr="001B56E7">
        <w:rPr>
          <w:rFonts w:asciiTheme="minorEastAsia" w:hAnsiTheme="minorEastAsia" w:cs="Arial" w:hint="eastAsia"/>
          <w:kern w:val="0"/>
          <w:sz w:val="24"/>
          <w:szCs w:val="24"/>
        </w:rPr>
        <w:t>权益投资部总经理、基金经理。</w:t>
      </w:r>
    </w:p>
    <w:p w14:paraId="7D286393" w14:textId="77777777" w:rsid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郎骋成先生，投资决策委员会委员、研究部总经理、基金经理。</w:t>
      </w:r>
    </w:p>
    <w:p w14:paraId="029546FB" w14:textId="1F6F978C" w:rsidR="003B42BB" w:rsidRDefault="003B42BB" w:rsidP="001B56E7">
      <w:pPr>
        <w:adjustRightInd w:val="0"/>
        <w:snapToGrid w:val="0"/>
        <w:spacing w:line="360" w:lineRule="auto"/>
        <w:ind w:firstLineChars="200" w:firstLine="480"/>
        <w:rPr>
          <w:rFonts w:asciiTheme="minorEastAsia" w:hAnsiTheme="minorEastAsia" w:cs="Arial"/>
          <w:kern w:val="0"/>
          <w:sz w:val="24"/>
          <w:szCs w:val="24"/>
        </w:rPr>
      </w:pPr>
      <w:r w:rsidRPr="003B42BB">
        <w:rPr>
          <w:rFonts w:asciiTheme="minorEastAsia" w:hAnsiTheme="minorEastAsia" w:cs="Arial" w:hint="eastAsia"/>
          <w:kern w:val="0"/>
          <w:sz w:val="24"/>
          <w:szCs w:val="24"/>
        </w:rPr>
        <w:t>宋芳女士，投资决策委员会委员、固定收益部总经理、基金经理。</w:t>
      </w:r>
    </w:p>
    <w:p w14:paraId="1EFAED2C" w14:textId="3FAFADC0" w:rsidR="003B42BB" w:rsidRPr="001B56E7" w:rsidRDefault="003B42BB" w:rsidP="001B56E7">
      <w:pPr>
        <w:adjustRightInd w:val="0"/>
        <w:snapToGrid w:val="0"/>
        <w:spacing w:line="360" w:lineRule="auto"/>
        <w:ind w:firstLineChars="200" w:firstLine="480"/>
        <w:rPr>
          <w:rFonts w:asciiTheme="minorEastAsia" w:hAnsiTheme="minorEastAsia" w:cs="Arial"/>
          <w:kern w:val="0"/>
          <w:sz w:val="24"/>
          <w:szCs w:val="24"/>
        </w:rPr>
      </w:pPr>
      <w:r w:rsidRPr="003B42BB">
        <w:rPr>
          <w:rFonts w:asciiTheme="minorEastAsia" w:hAnsiTheme="minorEastAsia" w:cs="Arial" w:hint="eastAsia"/>
          <w:kern w:val="0"/>
          <w:sz w:val="24"/>
          <w:szCs w:val="24"/>
        </w:rPr>
        <w:t>孟飞先生，投资决策委员会委员、固定收益部副总经理、基金经理。</w:t>
      </w:r>
    </w:p>
    <w:p w14:paraId="4175680A" w14:textId="6CBA5DB9" w:rsid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王丹女士，投资决策委员会委员</w:t>
      </w:r>
      <w:r w:rsidR="003B42BB" w:rsidRPr="003B42BB">
        <w:rPr>
          <w:rFonts w:asciiTheme="minorEastAsia" w:hAnsiTheme="minorEastAsia" w:cs="Arial" w:hint="eastAsia"/>
          <w:kern w:val="0"/>
          <w:sz w:val="24"/>
          <w:szCs w:val="24"/>
        </w:rPr>
        <w:t>、固定收益部总经理助理</w:t>
      </w:r>
      <w:r w:rsidRPr="001B56E7">
        <w:rPr>
          <w:rFonts w:asciiTheme="minorEastAsia" w:hAnsiTheme="minorEastAsia" w:cs="Arial" w:hint="eastAsia"/>
          <w:kern w:val="0"/>
          <w:sz w:val="24"/>
          <w:szCs w:val="24"/>
        </w:rPr>
        <w:t>、基金经理。</w:t>
      </w:r>
    </w:p>
    <w:p w14:paraId="3C189D2F" w14:textId="14206FB1" w:rsidR="000D2964" w:rsidRPr="000D2964" w:rsidRDefault="000D2964" w:rsidP="000D2964">
      <w:pPr>
        <w:adjustRightInd w:val="0"/>
        <w:snapToGrid w:val="0"/>
        <w:spacing w:line="360" w:lineRule="auto"/>
        <w:ind w:firstLineChars="200" w:firstLine="480"/>
        <w:rPr>
          <w:rFonts w:asciiTheme="minorEastAsia" w:hAnsiTheme="minorEastAsia" w:cs="Arial"/>
          <w:kern w:val="0"/>
          <w:sz w:val="24"/>
          <w:szCs w:val="24"/>
        </w:rPr>
      </w:pPr>
      <w:r w:rsidRPr="00EA118C">
        <w:rPr>
          <w:rFonts w:asciiTheme="minorEastAsia" w:hAnsiTheme="minorEastAsia" w:cs="Arial" w:hint="eastAsia"/>
          <w:kern w:val="0"/>
          <w:sz w:val="24"/>
          <w:szCs w:val="24"/>
        </w:rPr>
        <w:t>李黄海</w:t>
      </w:r>
      <w:r>
        <w:rPr>
          <w:rFonts w:asciiTheme="minorEastAsia" w:hAnsiTheme="minorEastAsia" w:cs="Arial" w:hint="eastAsia"/>
          <w:kern w:val="0"/>
          <w:sz w:val="24"/>
          <w:szCs w:val="24"/>
        </w:rPr>
        <w:t>先生，</w:t>
      </w:r>
      <w:r w:rsidRPr="001B56E7">
        <w:rPr>
          <w:rFonts w:asciiTheme="minorEastAsia" w:hAnsiTheme="minorEastAsia" w:cs="Arial" w:hint="eastAsia"/>
          <w:kern w:val="0"/>
          <w:sz w:val="24"/>
          <w:szCs w:val="24"/>
        </w:rPr>
        <w:t>投资决策委员会委员、</w:t>
      </w:r>
      <w:r>
        <w:rPr>
          <w:rFonts w:asciiTheme="minorEastAsia" w:hAnsiTheme="minorEastAsia" w:cs="Arial" w:hint="eastAsia"/>
          <w:kern w:val="0"/>
          <w:sz w:val="24"/>
          <w:szCs w:val="24"/>
        </w:rPr>
        <w:t>基金经理。</w:t>
      </w:r>
    </w:p>
    <w:p w14:paraId="4019D57A" w14:textId="724B5B62" w:rsidR="001B56E7" w:rsidRDefault="001B56E7" w:rsidP="001B56E7">
      <w:pPr>
        <w:adjustRightInd w:val="0"/>
        <w:snapToGrid w:val="0"/>
        <w:spacing w:line="360" w:lineRule="auto"/>
        <w:ind w:firstLineChars="200" w:firstLine="480"/>
        <w:rPr>
          <w:rFonts w:asciiTheme="minorEastAsia" w:hAnsiTheme="minorEastAsia" w:cs="Arial"/>
          <w:kern w:val="0"/>
          <w:sz w:val="24"/>
          <w:szCs w:val="24"/>
        </w:rPr>
      </w:pPr>
      <w:r w:rsidRPr="001B56E7">
        <w:rPr>
          <w:rFonts w:asciiTheme="minorEastAsia" w:hAnsiTheme="minorEastAsia" w:cs="Arial" w:hint="eastAsia"/>
          <w:kern w:val="0"/>
          <w:sz w:val="24"/>
          <w:szCs w:val="24"/>
        </w:rPr>
        <w:t>李延峥先生，投资决策委员会委员、投资决策委员会秘书、基金经理。</w:t>
      </w:r>
    </w:p>
    <w:p w14:paraId="738DF9C8" w14:textId="77777777" w:rsidR="009D10D8" w:rsidRDefault="009E4577">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28B45356"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28EDD074"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662AD2F"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529AC302"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163802E3"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7DD38C29"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w:t>
      </w:r>
      <w:r>
        <w:rPr>
          <w:rFonts w:asciiTheme="minorEastAsia" w:hAnsiTheme="minorEastAsia" w:cs="Times New Roman" w:hint="eastAsia"/>
          <w:sz w:val="24"/>
          <w:szCs w:val="24"/>
        </w:rPr>
        <w:lastRenderedPageBreak/>
        <w:t>证所管理的基金财产和基金管理人的财产相互独立，对所管理的不同基金分别管理，分别记账，进行证券投资；</w:t>
      </w:r>
    </w:p>
    <w:p w14:paraId="37B50EF6"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380BB5D4"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344B6447"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4B52BE9A"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4066E65F"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46A0AED7"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1D605044"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12F3F23C"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33A09DBF"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33D079D6"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5FDECB3A" w14:textId="5D612A7E"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w:t>
      </w:r>
      <w:r w:rsidR="00D2224D" w:rsidRPr="00D2224D">
        <w:rPr>
          <w:rFonts w:asciiTheme="minorEastAsia" w:hAnsiTheme="minorEastAsia" w:cs="Times New Roman" w:hint="eastAsia"/>
          <w:sz w:val="24"/>
          <w:szCs w:val="24"/>
        </w:rPr>
        <w:t>不少于法定最低期限</w:t>
      </w:r>
      <w:r>
        <w:rPr>
          <w:rFonts w:asciiTheme="minorEastAsia" w:hAnsiTheme="minorEastAsia" w:cs="Times New Roman" w:hint="eastAsia"/>
          <w:sz w:val="24"/>
          <w:szCs w:val="24"/>
        </w:rPr>
        <w:t>；</w:t>
      </w:r>
    </w:p>
    <w:p w14:paraId="01274AAA"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B680006"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3FD5BCB9"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w:t>
      </w:r>
      <w:r>
        <w:rPr>
          <w:rFonts w:asciiTheme="minorEastAsia" w:hAnsiTheme="minorEastAsia" w:cs="Times New Roman" w:hint="eastAsia"/>
          <w:sz w:val="24"/>
          <w:szCs w:val="24"/>
        </w:rPr>
        <w:lastRenderedPageBreak/>
        <w:t>通知基金托管人；</w:t>
      </w:r>
    </w:p>
    <w:p w14:paraId="05B5E2A6"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2DC49AD3"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6A74640C"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0E2F0092"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3C359D35"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24、基金在募集期间未能达到基金的备案条件，《基金合同》不能生效，基金管理人承担全部募集费用，将已募集资金并加计银行同期活期存款利息在基金募集期结束后30日内退还基金认购人；</w:t>
      </w:r>
    </w:p>
    <w:p w14:paraId="6FDCCE9F"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04EF97D6"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76A099C5"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A382124"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265C1E3F"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7012B42"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42E54AAF"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716EEEE4"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47CFA06E"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034A82B1"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5C8474E6"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60858907"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7DE6AA7B"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（7）玩忽职守，不按照规定履行职责；</w:t>
      </w:r>
    </w:p>
    <w:p w14:paraId="152721D4"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19498049"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33CB21D3"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12DD6310"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522E1442"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4CCC11B3"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BCFE52E"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0197F7CC"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3E09F7AB" w14:textId="77777777" w:rsidR="009D10D8" w:rsidRDefault="009E4577">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1F6F3B8F" w14:textId="77777777" w:rsidR="009D10D8" w:rsidRDefault="009E4577">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bookmarkEnd w:id="66"/>
      <w:bookmarkEnd w:id="67"/>
      <w:bookmarkEnd w:id="68"/>
    </w:p>
    <w:p w14:paraId="094C932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352229750"/>
      <w:bookmarkStart w:id="83" w:name="_Toc416264540"/>
      <w:bookmarkStart w:id="84" w:name="_Toc410197818"/>
      <w:bookmarkStart w:id="85" w:name="_Toc263092312"/>
      <w:r>
        <w:rPr>
          <w:rFonts w:asciiTheme="minorEastAsia" w:hAnsiTheme="minorEastAsia" w:cs="Arial" w:hint="eastAsia"/>
          <w:sz w:val="24"/>
          <w:szCs w:val="24"/>
        </w:rPr>
        <w:t>1、风险控制目标</w:t>
      </w:r>
    </w:p>
    <w:p w14:paraId="59B4F29D"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0DCC4F86"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72137D0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0B05BF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8C51E9F"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7D34986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65C7445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28959BF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0E8C3A54"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34A670D3"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0430CFD"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Pr>
          <w:rFonts w:asciiTheme="minorEastAsia" w:hAnsiTheme="minorEastAsia" w:cs="Arial"/>
          <w:sz w:val="24"/>
          <w:szCs w:val="24"/>
        </w:rPr>
        <w:t>。</w:t>
      </w:r>
    </w:p>
    <w:p w14:paraId="57564AE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2484900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0C955B8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58E4B90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599B5F3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389FBB3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62DEBDD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26DC0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BD374A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A2ECD10" w14:textId="77777777" w:rsidR="009D10D8" w:rsidRDefault="009E4577">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w:t>
      </w:r>
      <w:r>
        <w:rPr>
          <w:rFonts w:asciiTheme="minorEastAsia" w:hAnsiTheme="minorEastAsia" w:cs="Arial" w:hint="eastAsia"/>
          <w:sz w:val="24"/>
          <w:szCs w:val="24"/>
        </w:rPr>
        <w:lastRenderedPageBreak/>
        <w:t>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607DA0A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4E89D9B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97275F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57250DFA"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439609F6"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E08E98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66F48F2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4F23B4C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27DB6E0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w:t>
      </w:r>
      <w:r>
        <w:rPr>
          <w:rFonts w:asciiTheme="minorEastAsia" w:hAnsiTheme="minorEastAsia" w:cs="Arial" w:hint="eastAsia"/>
          <w:sz w:val="24"/>
          <w:szCs w:val="24"/>
        </w:rPr>
        <w:lastRenderedPageBreak/>
        <w:t>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281877FB"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4DBF9A9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A99AA55"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042849D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8A4564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738DBD19"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F9C5ED8"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4CEF5A90"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57214D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w:t>
      </w:r>
      <w:r>
        <w:rPr>
          <w:rFonts w:asciiTheme="minorEastAsia" w:hAnsiTheme="minorEastAsia" w:cs="Arial" w:hint="eastAsia"/>
          <w:sz w:val="24"/>
          <w:szCs w:val="24"/>
        </w:rPr>
        <w:lastRenderedPageBreak/>
        <w:t>作，对违反法律、法规和公司内部控制制度的，追究相关部门和人员的责任。</w:t>
      </w:r>
    </w:p>
    <w:p w14:paraId="54963D5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2BD2102"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4CA805B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4F136D1"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14D0E63E"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D1D84BC"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6079DA37"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DB5597B" w14:textId="77777777" w:rsidR="009D10D8" w:rsidRDefault="009E4577">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13693EE" w14:textId="77777777" w:rsidR="009D10D8" w:rsidRDefault="009E4577">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6" w:name="_Toc238027832"/>
      <w:bookmarkStart w:id="87" w:name="_Toc238013745"/>
      <w:bookmarkEnd w:id="86"/>
      <w:bookmarkEnd w:id="87"/>
    </w:p>
    <w:p w14:paraId="172CF7A6" w14:textId="77777777" w:rsidR="009D10D8" w:rsidRDefault="009D10D8">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9D10D8">
          <w:footerReference w:type="default" r:id="rId12"/>
          <w:pgSz w:w="11906" w:h="16838"/>
          <w:pgMar w:top="1440" w:right="1800" w:bottom="1440" w:left="1800" w:header="851" w:footer="992" w:gutter="0"/>
          <w:pgNumType w:chapStyle="1"/>
          <w:cols w:space="720"/>
          <w:docGrid w:type="lines" w:linePitch="312"/>
        </w:sectPr>
      </w:pPr>
    </w:p>
    <w:p w14:paraId="33255E71" w14:textId="77777777" w:rsidR="009D10D8" w:rsidRDefault="009E4577">
      <w:pPr>
        <w:pStyle w:val="1"/>
        <w:jc w:val="center"/>
        <w:rPr>
          <w:sz w:val="30"/>
          <w:szCs w:val="30"/>
        </w:rPr>
      </w:pPr>
      <w:bookmarkStart w:id="88" w:name="_Toc68783432"/>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3FFD830E" w14:textId="77777777" w:rsidR="009D10D8" w:rsidRDefault="009E4577">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一、基金托管人情况</w:t>
      </w:r>
    </w:p>
    <w:p w14:paraId="7B997FE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1、基本情况</w:t>
      </w:r>
    </w:p>
    <w:p w14:paraId="4ACBEC19" w14:textId="30146865"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名称：浙商银行股份有限公司</w:t>
      </w:r>
      <w:r w:rsidR="004C7982">
        <w:rPr>
          <w:rFonts w:asciiTheme="minorEastAsia" w:hAnsiTheme="minorEastAsia" w:cs="Arial" w:hint="eastAsia"/>
          <w:bCs/>
          <w:sz w:val="24"/>
          <w:szCs w:val="24"/>
        </w:rPr>
        <w:t>（简称“浙商银行”）</w:t>
      </w:r>
    </w:p>
    <w:p w14:paraId="0C2D639C" w14:textId="0528A58B"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住所：浙江省杭州市萧山区鸿宁路1788号</w:t>
      </w:r>
    </w:p>
    <w:p w14:paraId="03638065" w14:textId="3FDBF8F0" w:rsidR="009E4577"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办公地址：</w:t>
      </w:r>
      <w:r w:rsidR="0067571F">
        <w:rPr>
          <w:rFonts w:asciiTheme="minorEastAsia" w:hAnsiTheme="minorEastAsia" w:cs="Arial" w:hint="eastAsia"/>
          <w:bCs/>
          <w:sz w:val="24"/>
          <w:szCs w:val="24"/>
        </w:rPr>
        <w:t>浙江省</w:t>
      </w:r>
      <w:r w:rsidR="0067571F" w:rsidRPr="0067571F">
        <w:rPr>
          <w:rFonts w:asciiTheme="minorEastAsia" w:hAnsiTheme="minorEastAsia" w:cs="Arial" w:hint="eastAsia"/>
          <w:bCs/>
          <w:sz w:val="24"/>
          <w:szCs w:val="24"/>
        </w:rPr>
        <w:t>杭州市</w:t>
      </w:r>
      <w:r w:rsidR="00136502">
        <w:rPr>
          <w:rFonts w:asciiTheme="minorEastAsia" w:hAnsiTheme="minorEastAsia" w:cs="Arial" w:hint="eastAsia"/>
          <w:bCs/>
          <w:sz w:val="24"/>
          <w:szCs w:val="24"/>
        </w:rPr>
        <w:t>拱墅区环城西路</w:t>
      </w:r>
      <w:r w:rsidR="00136502">
        <w:rPr>
          <w:rFonts w:asciiTheme="minorEastAsia" w:hAnsiTheme="minorEastAsia" w:cs="Arial"/>
          <w:bCs/>
          <w:sz w:val="24"/>
          <w:szCs w:val="24"/>
        </w:rPr>
        <w:t>76</w:t>
      </w:r>
      <w:r w:rsidR="0067571F" w:rsidRPr="0067571F">
        <w:rPr>
          <w:rFonts w:asciiTheme="minorEastAsia" w:hAnsiTheme="minorEastAsia" w:cs="Arial" w:hint="eastAsia"/>
          <w:bCs/>
          <w:sz w:val="24"/>
          <w:szCs w:val="24"/>
        </w:rPr>
        <w:t>号</w:t>
      </w:r>
    </w:p>
    <w:p w14:paraId="44531A0F" w14:textId="73A800D5"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法定代表人：张荣森（代为履行法定代表人职责）</w:t>
      </w:r>
    </w:p>
    <w:p w14:paraId="431B88BE" w14:textId="77777777"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联系人：林彬</w:t>
      </w:r>
    </w:p>
    <w:p w14:paraId="1259ABF4" w14:textId="77777777"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电话：0571-88269636</w:t>
      </w:r>
    </w:p>
    <w:p w14:paraId="15267BB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传真：0571-88268688</w:t>
      </w:r>
    </w:p>
    <w:p w14:paraId="00641D28" w14:textId="77777777"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成立时间：1993年04月16日</w:t>
      </w:r>
    </w:p>
    <w:p w14:paraId="1BBF319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组织形式：股份有限公司</w:t>
      </w:r>
    </w:p>
    <w:p w14:paraId="10DD5DB3" w14:textId="77777777"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注册资本：人民币21,268,696,778元</w:t>
      </w:r>
    </w:p>
    <w:p w14:paraId="17604B9C" w14:textId="77777777"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存续期间：持续经营</w:t>
      </w:r>
    </w:p>
    <w:p w14:paraId="6441604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批准设立机关和批准设立文号：中国银行业监督管理委员会银监复〔2004〕91号</w:t>
      </w:r>
    </w:p>
    <w:p w14:paraId="3B16B3D8" w14:textId="77777777"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基金托管资格批文及文号：《关于核准浙商银行股份有限公司证券投资基金托管资格的批复》；证监许可〔2013〕1519号</w:t>
      </w:r>
    </w:p>
    <w:p w14:paraId="70FE4693" w14:textId="0F34DC26" w:rsidR="009D10D8" w:rsidRDefault="009E457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经营范围：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浙商银行经中国人民银行批准，可以经营结汇、售汇业务。</w:t>
      </w:r>
    </w:p>
    <w:p w14:paraId="588227FA"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b/>
          <w:bCs/>
          <w:sz w:val="24"/>
          <w:szCs w:val="24"/>
        </w:rPr>
      </w:pPr>
      <w:r w:rsidRPr="00207EFA">
        <w:rPr>
          <w:rFonts w:asciiTheme="minorEastAsia" w:hAnsiTheme="minorEastAsia" w:cs="Arial"/>
          <w:b/>
          <w:bCs/>
          <w:sz w:val="24"/>
          <w:szCs w:val="24"/>
        </w:rPr>
        <w:t>2.主要人员情况</w:t>
      </w:r>
    </w:p>
    <w:p w14:paraId="144481BB"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陆建强先生，本公司党委书记、董事长（任职资格尚待银保监会批准）。哲学硕士，高级经济师。陆先生曾任浙江省企业档案管理中心副主任，浙江省工商局办公室副主任，浙江省工商局工商信息管理办公室主任，浙江省工商局办公室主任，浙江省工商行政管理局党委委员、办公室主任，浙江省政协办公厅副主任、</w:t>
      </w:r>
      <w:r w:rsidRPr="00136502">
        <w:rPr>
          <w:rFonts w:asciiTheme="minorEastAsia" w:hAnsiTheme="minorEastAsia" w:cs="Arial" w:hint="eastAsia"/>
          <w:bCs/>
          <w:sz w:val="24"/>
          <w:szCs w:val="24"/>
        </w:rPr>
        <w:lastRenderedPageBreak/>
        <w:t>机关党组成员，浙江省政府办公厅副主任、党组成员，浙江省政府副秘书长、办公厅党组成员，财通证券党委书记、董事长。</w:t>
      </w:r>
    </w:p>
    <w:p w14:paraId="2331A998"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张荣森先生，本公司党委副书记、执行董事、行长兼北京分行党委书记。研究生学历、经济学博士学位、高级经济师。张先生曾任广发银行北京航天桥支行行长、广发银行北京分行党委委员、行长助理，江苏银行北京分行筹建负责人、党委书记、行长，江苏银行党委委员、副行长、执行董事，浙商银行党委委员、副行长兼北京分行党委书记、行长。</w:t>
      </w:r>
    </w:p>
    <w:p w14:paraId="4343EAB6"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b/>
          <w:bCs/>
          <w:sz w:val="24"/>
          <w:szCs w:val="24"/>
        </w:rPr>
      </w:pPr>
      <w:r w:rsidRPr="00207EFA">
        <w:rPr>
          <w:rFonts w:asciiTheme="minorEastAsia" w:hAnsiTheme="minorEastAsia" w:cs="Arial" w:hint="eastAsia"/>
          <w:b/>
          <w:bCs/>
          <w:sz w:val="24"/>
          <w:szCs w:val="24"/>
        </w:rPr>
        <w:t>二、发展概况及财务状况</w:t>
      </w:r>
    </w:p>
    <w:p w14:paraId="1F900E54" w14:textId="2E682D25"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浙商银行是十二家全国性股份制商业银行之一，于</w:t>
      </w:r>
      <w:r>
        <w:rPr>
          <w:rFonts w:asciiTheme="minorEastAsia" w:hAnsiTheme="minorEastAsia" w:cs="Arial" w:hint="eastAsia"/>
          <w:bCs/>
          <w:sz w:val="24"/>
          <w:szCs w:val="24"/>
        </w:rPr>
        <w:t>2004</w:t>
      </w:r>
      <w:r w:rsidRPr="00136502">
        <w:rPr>
          <w:rFonts w:asciiTheme="minorEastAsia" w:hAnsiTheme="minorEastAsia" w:cs="Arial" w:hint="eastAsia"/>
          <w:bCs/>
          <w:sz w:val="24"/>
          <w:szCs w:val="24"/>
        </w:rPr>
        <w:t>年8 月18 日正式开业，总部设在浙江杭州，系全国第13 家“A+H”上市银行。开业以来，浙商银行立足浙江，面向全国，稳健发展，已成为一家基础扎实、效益优良、风控完善的优质商业银行。</w:t>
      </w:r>
    </w:p>
    <w:p w14:paraId="7482678E"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浙商银行以“一流的商业银行”愿景为统领，坚持“夯基础、调结构、控风险、创效益”十二字经营方针，以数字化改革为主线，以“深耕浙江”为首要战略，五大板块协同发展，财富管理全新启航，高扬正气、夯实基础、重塑形象，坚持稳字当头，发扬四干精神，全面构建“五字”政治生态，全面提升综合金融服务能力，全面构建风控和大监督体系，全面开启高质量发展新征程。</w:t>
      </w:r>
    </w:p>
    <w:p w14:paraId="49CBB7E2" w14:textId="79F9EB58"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2022</w:t>
      </w:r>
      <w:r w:rsidRPr="00136502">
        <w:rPr>
          <w:rFonts w:asciiTheme="minorEastAsia" w:hAnsiTheme="minorEastAsia" w:cs="Arial" w:hint="eastAsia"/>
          <w:bCs/>
          <w:sz w:val="24"/>
          <w:szCs w:val="24"/>
        </w:rPr>
        <w:t>年，浙商银行营业收入</w:t>
      </w:r>
      <w:r>
        <w:rPr>
          <w:rFonts w:asciiTheme="minorEastAsia" w:hAnsiTheme="minorEastAsia" w:cs="Arial" w:hint="eastAsia"/>
          <w:bCs/>
          <w:sz w:val="24"/>
          <w:szCs w:val="24"/>
        </w:rPr>
        <w:t>610.85</w:t>
      </w:r>
      <w:r w:rsidRPr="00136502">
        <w:rPr>
          <w:rFonts w:asciiTheme="minorEastAsia" w:hAnsiTheme="minorEastAsia" w:cs="Arial" w:hint="eastAsia"/>
          <w:bCs/>
          <w:sz w:val="24"/>
          <w:szCs w:val="24"/>
        </w:rPr>
        <w:t>亿元，比上年增长12.14%；归属于本行股东的净利润</w:t>
      </w:r>
      <w:r>
        <w:rPr>
          <w:rFonts w:asciiTheme="minorEastAsia" w:hAnsiTheme="minorEastAsia" w:cs="Arial" w:hint="eastAsia"/>
          <w:bCs/>
          <w:sz w:val="24"/>
          <w:szCs w:val="24"/>
        </w:rPr>
        <w:t>136.18</w:t>
      </w:r>
      <w:r w:rsidRPr="00136502">
        <w:rPr>
          <w:rFonts w:asciiTheme="minorEastAsia" w:hAnsiTheme="minorEastAsia" w:cs="Arial" w:hint="eastAsia"/>
          <w:bCs/>
          <w:sz w:val="24"/>
          <w:szCs w:val="24"/>
        </w:rPr>
        <w:t>亿元，比上年增长7.67%。截至报告期末，总资产</w:t>
      </w:r>
      <w:r>
        <w:rPr>
          <w:rFonts w:asciiTheme="minorEastAsia" w:hAnsiTheme="minorEastAsia" w:cs="Arial" w:hint="eastAsia"/>
          <w:bCs/>
          <w:sz w:val="24"/>
          <w:szCs w:val="24"/>
        </w:rPr>
        <w:t>2.62</w:t>
      </w:r>
      <w:r w:rsidRPr="00136502">
        <w:rPr>
          <w:rFonts w:asciiTheme="minorEastAsia" w:hAnsiTheme="minorEastAsia" w:cs="Arial" w:hint="eastAsia"/>
          <w:bCs/>
          <w:sz w:val="24"/>
          <w:szCs w:val="24"/>
        </w:rPr>
        <w:t>万亿元，比上年末增长14.66%，其中发放贷款和垫款总额</w:t>
      </w:r>
      <w:r>
        <w:rPr>
          <w:rFonts w:asciiTheme="minorEastAsia" w:hAnsiTheme="minorEastAsia" w:cs="Arial" w:hint="eastAsia"/>
          <w:bCs/>
          <w:sz w:val="24"/>
          <w:szCs w:val="24"/>
        </w:rPr>
        <w:t>1.53</w:t>
      </w:r>
      <w:r w:rsidRPr="00136502">
        <w:rPr>
          <w:rFonts w:asciiTheme="minorEastAsia" w:hAnsiTheme="minorEastAsia" w:cs="Arial" w:hint="eastAsia"/>
          <w:bCs/>
          <w:sz w:val="24"/>
          <w:szCs w:val="24"/>
        </w:rPr>
        <w:t>万亿元，比上年末增长13.20%；总负债2.46万亿元，比上年末增长15.86%，其中吸收存款余额</w:t>
      </w:r>
      <w:r>
        <w:rPr>
          <w:rFonts w:asciiTheme="minorEastAsia" w:hAnsiTheme="minorEastAsia" w:cs="Arial" w:hint="eastAsia"/>
          <w:bCs/>
          <w:sz w:val="24"/>
          <w:szCs w:val="24"/>
        </w:rPr>
        <w:t>1.68</w:t>
      </w:r>
      <w:r w:rsidRPr="00136502">
        <w:rPr>
          <w:rFonts w:asciiTheme="minorEastAsia" w:hAnsiTheme="minorEastAsia" w:cs="Arial" w:hint="eastAsia"/>
          <w:bCs/>
          <w:sz w:val="24"/>
          <w:szCs w:val="24"/>
        </w:rPr>
        <w:t>万亿元，比上年末增长18.77%；不良贷款率1.47%、拨备覆盖率182.19%；资本充足率11.60%、一级资本充足率9.54%、核心一级资本充足率8.05%，均保持合理水平。</w:t>
      </w:r>
    </w:p>
    <w:p w14:paraId="275A3856"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浙商银行在全国22 个省（自治区、直辖市）及香港特别行政区设立了310 家分支机构，实现了对长三角、环渤海、珠三角及海西地区和部分中西部地区的有效覆盖。在英国《银行家》(The Banker)杂志“2022 年全球银行1000 强”榜单中，我行按一级资本计位列79 位，较上年跃升20 位。中诚信国际给予浙商银行金融机构评级中最高等级AAA主体信用评级。</w:t>
      </w:r>
    </w:p>
    <w:p w14:paraId="4B300FE9" w14:textId="433603AD"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b/>
          <w:bCs/>
          <w:sz w:val="24"/>
          <w:szCs w:val="24"/>
        </w:rPr>
      </w:pPr>
      <w:r w:rsidRPr="00207EFA">
        <w:rPr>
          <w:rFonts w:asciiTheme="minorEastAsia" w:hAnsiTheme="minorEastAsia" w:cs="Arial" w:hint="eastAsia"/>
          <w:b/>
          <w:bCs/>
          <w:sz w:val="24"/>
          <w:szCs w:val="24"/>
        </w:rPr>
        <w:t>三、托管业务部的部门设置及员工情况</w:t>
      </w:r>
      <w:r w:rsidRPr="00207EFA">
        <w:rPr>
          <w:rFonts w:asciiTheme="minorEastAsia" w:hAnsiTheme="minorEastAsia" w:cs="Arial"/>
          <w:b/>
          <w:bCs/>
          <w:sz w:val="24"/>
          <w:szCs w:val="24"/>
        </w:rPr>
        <w:t xml:space="preserve"> </w:t>
      </w:r>
    </w:p>
    <w:p w14:paraId="0DDF413A"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lastRenderedPageBreak/>
        <w:t>浙商银行资产托管部是总行独立的一级管理部门，根据业务条线下设业务管理中心、营销中心、运营中心、监督中心，保证了托管业务前、中、后台的完整与独立。截至2022年12月31日，浙商银行资产托管部从业人员共46名，估值清算合作机构派驻人员17人。</w:t>
      </w:r>
    </w:p>
    <w:p w14:paraId="48D610E8"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浙商银行资产托管部遵照法律法规要求，根据业务的发展模式、运营方式以及内部控制、风险防范等各方面发展的需要，制定了一系列完善的内部管理制度，包括业务管理、操作规程、基金会计核算、清算管理、信息披露、内部稽核监控、内控与风险防范、信息系统管理、保密与档案管理、重大可疑情况报告及应急处理等制度，系统性地覆盖了托管业务开展的方方面面，能够有效地控制、防范托管业务的政策风险、操作风险和经营风险。</w:t>
      </w:r>
    </w:p>
    <w:p w14:paraId="57536F05"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b/>
          <w:bCs/>
          <w:sz w:val="24"/>
          <w:szCs w:val="24"/>
        </w:rPr>
      </w:pPr>
      <w:r w:rsidRPr="00207EFA">
        <w:rPr>
          <w:rFonts w:asciiTheme="minorEastAsia" w:hAnsiTheme="minorEastAsia" w:cs="Arial" w:hint="eastAsia"/>
          <w:b/>
          <w:bCs/>
          <w:sz w:val="24"/>
          <w:szCs w:val="24"/>
        </w:rPr>
        <w:t>四、证券投资基金托管业务经营情况</w:t>
      </w:r>
      <w:r w:rsidRPr="00207EFA">
        <w:rPr>
          <w:rFonts w:asciiTheme="minorEastAsia" w:hAnsiTheme="minorEastAsia" w:cs="Arial"/>
          <w:b/>
          <w:bCs/>
          <w:sz w:val="24"/>
          <w:szCs w:val="24"/>
        </w:rPr>
        <w:t xml:space="preserve"> </w:t>
      </w:r>
    </w:p>
    <w:p w14:paraId="36D6EB62"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中国证监会、银监会于2013年11月13日核准浙商银行开办证券投资基金托管业务，批准文号：证监许可〔2013〕1519号。</w:t>
      </w:r>
    </w:p>
    <w:p w14:paraId="6E10DCE6"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截至2022年12月31日，浙商银行托管证券投资基金231只，规模合计3310.26亿元，且目前已经与数十家公募基金管理公司达成托管合作意向。</w:t>
      </w:r>
    </w:p>
    <w:p w14:paraId="17F75CA4" w14:textId="77777777" w:rsidR="00136502" w:rsidRPr="00207EFA" w:rsidRDefault="00136502" w:rsidP="00207EFA">
      <w:pPr>
        <w:tabs>
          <w:tab w:val="left" w:pos="1110"/>
        </w:tabs>
        <w:adjustRightInd w:val="0"/>
        <w:snapToGrid w:val="0"/>
        <w:spacing w:line="360" w:lineRule="auto"/>
        <w:ind w:firstLineChars="200" w:firstLine="482"/>
        <w:rPr>
          <w:rFonts w:asciiTheme="minorEastAsia" w:hAnsiTheme="minorEastAsia" w:cs="Arial"/>
          <w:b/>
          <w:bCs/>
          <w:sz w:val="24"/>
          <w:szCs w:val="24"/>
        </w:rPr>
      </w:pPr>
      <w:r w:rsidRPr="00207EFA">
        <w:rPr>
          <w:rFonts w:asciiTheme="minorEastAsia" w:hAnsiTheme="minorEastAsia" w:cs="Arial" w:hint="eastAsia"/>
          <w:b/>
          <w:bCs/>
          <w:sz w:val="24"/>
          <w:szCs w:val="24"/>
        </w:rPr>
        <w:t>五、基金托管人内部风险控制制度说明</w:t>
      </w:r>
      <w:r w:rsidRPr="00207EFA">
        <w:rPr>
          <w:rFonts w:asciiTheme="minorEastAsia" w:hAnsiTheme="minorEastAsia" w:cs="Arial"/>
          <w:b/>
          <w:bCs/>
          <w:sz w:val="24"/>
          <w:szCs w:val="24"/>
        </w:rPr>
        <w:t xml:space="preserve"> </w:t>
      </w:r>
    </w:p>
    <w:p w14:paraId="07A9C770"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1.内部控制目标</w:t>
      </w:r>
    </w:p>
    <w:p w14:paraId="1754CE95"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严格遵守国家有关托管业务的法律、法规、规章、行政性规定、行业准则和行内有关管理规定，守法经营、规范运作、严格监察，确保业务的稳健运行，保证基金资产的安全完整，确保有关信息的真实、准确、完整、及时，保护基金份额持有人的合法权益。</w:t>
      </w:r>
    </w:p>
    <w:p w14:paraId="2B85FB21"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2.内部控制组织结构</w:t>
      </w:r>
    </w:p>
    <w:p w14:paraId="4DFFE207"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浙商银行股份有限公司总行下设资产托管部，是全行资产托管业务的管理和运营部门，资产托管部专门设置了监督稽核团队，配备了专职内部监察稽核人员负责托管业务的内部控制和风险管理工作，具有独立行使监督稽核工作的职权和能力。</w:t>
      </w:r>
    </w:p>
    <w:p w14:paraId="6C8EF37E"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3.内部风险控制原则</w:t>
      </w:r>
    </w:p>
    <w:p w14:paraId="43201785"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资产托管部建立了托管系统和完善的制度控制体系。制度体系包含管理制度、实施细则、岗位职责、业务操作流程，可以保证托管业务的规范操作、顺利进行；业务人员具备从业资格；业务管理严格实行复核、审核、检查制度，授权工作实</w:t>
      </w:r>
      <w:r w:rsidRPr="00136502">
        <w:rPr>
          <w:rFonts w:asciiTheme="minorEastAsia" w:hAnsiTheme="minorEastAsia" w:cs="Arial" w:hint="eastAsia"/>
          <w:bCs/>
          <w:sz w:val="24"/>
          <w:szCs w:val="24"/>
        </w:rPr>
        <w:lastRenderedPageBreak/>
        <w:t>行集中控制，业务印章按规程保管、存放、使用，账户资料严格保管，制约机制严格有效；业务操作区专门设置，封闭管理，实施音像监控；业务信息由专职信息披露人负责，防止泄密；业务实现自动化操作，防止人为事故的发生，技术系统完整、独立。</w:t>
      </w:r>
    </w:p>
    <w:p w14:paraId="41330EC6"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4.基金托管人对基金管理人运作基金进行监督的方法和程序</w:t>
      </w:r>
    </w:p>
    <w:p w14:paraId="5ECAAA61"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基金托管人负有对基金管理人的投资运作行使监督权的职责。根据《基金法》、《运作办法》、基金合同及其他有关规定，托管人对基金的投资对象和范围、投资组合比例、投资限制、费用的计提和支付方式、基金会计核算、基金资产估值和基金净值的计算、收益分配、申购赎回以及其他有关基金投资和运作的事项，对基金管理人进行业务监督、核查。</w:t>
      </w:r>
    </w:p>
    <w:p w14:paraId="1FF72D06"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 xml:space="preserve">基金托管人发现基金管理人有违反《基金法》、《运作办法》、基金合同和有关法律法规规定的行为，应及时以书面形式通知基金管理人限期纠正，基金管理人收到通知后应及时核对并以书面形式对基金托管人发出回函。在限期内，基金托管人有权随时对通知事项进行复查，督促基金管理人改正。基金管理人对基金托管人通知的违规事项未能在限期内纠正的，基金托管人应报告中国证监会。  </w:t>
      </w:r>
    </w:p>
    <w:p w14:paraId="6886F43A"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基金托管人发现基金管理人有重大违规行为，立即报告中国证监会，同时，通知基金管理人限期纠正，并将纠正结果报告中国证监会。</w:t>
      </w:r>
    </w:p>
    <w:p w14:paraId="1C5445FD" w14:textId="77777777" w:rsidR="00136502" w:rsidRPr="00136502" w:rsidRDefault="00136502" w:rsidP="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基金托管人发现基金管理人的指令违反法律、行政法规和其他有关规定，或者违反基金合同约定的，应当拒绝执行，立即通知基金管理人，并及时向中国证监会报告。</w:t>
      </w:r>
    </w:p>
    <w:p w14:paraId="18866E37" w14:textId="68CC9CC6" w:rsidR="009D10D8" w:rsidRDefault="00136502">
      <w:pPr>
        <w:tabs>
          <w:tab w:val="left" w:pos="1110"/>
        </w:tabs>
        <w:adjustRightInd w:val="0"/>
        <w:snapToGrid w:val="0"/>
        <w:spacing w:line="360" w:lineRule="auto"/>
        <w:ind w:firstLineChars="200" w:firstLine="480"/>
        <w:rPr>
          <w:rFonts w:asciiTheme="minorEastAsia" w:hAnsiTheme="minorEastAsia" w:cs="Arial"/>
          <w:bCs/>
          <w:sz w:val="24"/>
          <w:szCs w:val="24"/>
        </w:rPr>
      </w:pPr>
      <w:r w:rsidRPr="00136502">
        <w:rPr>
          <w:rFonts w:asciiTheme="minorEastAsia" w:hAnsiTheme="minorEastAsia" w:cs="Arial" w:hint="eastAsia"/>
          <w:bCs/>
          <w:sz w:val="24"/>
          <w:szCs w:val="24"/>
        </w:rPr>
        <w:t>基金托管人发现基金管理人依据交易程序已经生效的指令违反法律、行政法规和其他有关规定，或者违反基金合同约定的，应当立即通知基金管理人，并及时向中国证监会报告。</w:t>
      </w:r>
    </w:p>
    <w:p w14:paraId="783F038D" w14:textId="77777777" w:rsidR="009D10D8" w:rsidRDefault="009E4577">
      <w:pPr>
        <w:widowControl/>
        <w:jc w:val="left"/>
        <w:rPr>
          <w:rFonts w:asciiTheme="minorEastAsia" w:hAnsiTheme="minorEastAsia" w:cs="Arial"/>
          <w:bCs/>
          <w:sz w:val="24"/>
          <w:szCs w:val="24"/>
        </w:rPr>
      </w:pPr>
      <w:r>
        <w:rPr>
          <w:rFonts w:asciiTheme="minorEastAsia" w:hAnsiTheme="minorEastAsia" w:cs="Arial"/>
          <w:bCs/>
          <w:sz w:val="24"/>
          <w:szCs w:val="24"/>
        </w:rPr>
        <w:br w:type="page"/>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p>
    <w:p w14:paraId="247834AE" w14:textId="77777777" w:rsidR="009D10D8" w:rsidRDefault="009E4577">
      <w:pPr>
        <w:pStyle w:val="1"/>
        <w:jc w:val="center"/>
        <w:rPr>
          <w:sz w:val="30"/>
          <w:szCs w:val="30"/>
        </w:rPr>
      </w:pPr>
      <w:bookmarkStart w:id="89" w:name="_Toc416264541"/>
      <w:bookmarkStart w:id="90" w:name="_Toc68783433"/>
      <w:bookmarkStart w:id="91" w:name="_Toc263092313"/>
      <w:bookmarkStart w:id="92" w:name="_Toc214873594"/>
      <w:bookmarkStart w:id="93" w:name="_Toc141703886"/>
      <w:bookmarkStart w:id="94" w:name="_Toc123102453"/>
      <w:bookmarkStart w:id="95" w:name="_Toc17244"/>
      <w:bookmarkStart w:id="96" w:name="_Toc79392606"/>
      <w:bookmarkStart w:id="97" w:name="_Toc139991736"/>
      <w:bookmarkStart w:id="98" w:name="_Toc7920"/>
      <w:bookmarkStart w:id="99" w:name="_Toc352229752"/>
      <w:bookmarkStart w:id="100" w:name="_Toc11081"/>
      <w:bookmarkStart w:id="101" w:name="_Toc123112234"/>
      <w:bookmarkStart w:id="102" w:name="_Toc20733"/>
      <w:bookmarkStart w:id="103" w:name="_Toc23822"/>
      <w:bookmarkStart w:id="104" w:name="_Toc4003"/>
      <w:bookmarkStart w:id="105" w:name="_Toc1427"/>
      <w:bookmarkStart w:id="106" w:name="_Toc610"/>
      <w:bookmarkStart w:id="107" w:name="_Toc48649707"/>
      <w:bookmarkStart w:id="108" w:name="_Toc352229751"/>
      <w:bookmarkStart w:id="109" w:name="_Toc123051452"/>
      <w:bookmarkStart w:id="110" w:name="_Toc10463"/>
      <w:bookmarkStart w:id="111" w:name="_Toc1270"/>
      <w:bookmarkStart w:id="112" w:name="_Toc98560352"/>
      <w:bookmarkStart w:id="113" w:name="_Toc23261"/>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3289C5D0" w14:textId="77777777" w:rsidR="009D10D8" w:rsidRDefault="009E4577">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6A7684CB" w14:textId="77777777" w:rsidR="009D10D8" w:rsidRDefault="009E4577">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5B8CCBF9" w14:textId="5D5D6738" w:rsidR="00B54D6B" w:rsidRPr="00B54D6B" w:rsidRDefault="009E4577">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sidR="00B54D6B" w:rsidRPr="00B54D6B">
        <w:rPr>
          <w:rFonts w:asciiTheme="minorEastAsia" w:hAnsiTheme="minorEastAsia" w:cs="Arial" w:hint="eastAsia"/>
          <w:sz w:val="24"/>
          <w:szCs w:val="24"/>
        </w:rPr>
        <w:t>广东省广州市南沙区横沥镇汇通二街2号3110房</w:t>
      </w:r>
    </w:p>
    <w:p w14:paraId="79307A70" w14:textId="77777777" w:rsidR="009D10D8" w:rsidRDefault="009E4577">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53D603F6" w14:textId="634DC8E0" w:rsidR="009D10D8" w:rsidRDefault="009E4577">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sidR="00B54D6B" w:rsidRPr="00B54D6B">
        <w:rPr>
          <w:rFonts w:asciiTheme="minorEastAsia" w:hAnsiTheme="minorEastAsia" w:cs="Arial" w:hint="eastAsia"/>
          <w:sz w:val="24"/>
          <w:szCs w:val="24"/>
        </w:rPr>
        <w:t>王亦伟</w:t>
      </w:r>
    </w:p>
    <w:p w14:paraId="5462D626" w14:textId="77777777" w:rsidR="009D10D8" w:rsidRDefault="009E4577">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6EBE4B37" w14:textId="77777777" w:rsidR="009D10D8" w:rsidRDefault="009E4577">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15586DE6" w14:textId="404ED51C" w:rsidR="009D10D8" w:rsidRDefault="009E4577">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2B525F87" w14:textId="3A202B0B" w:rsidR="00BE5886" w:rsidRDefault="00BE5886">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联系人：</w:t>
      </w:r>
      <w:r w:rsidR="000820F4" w:rsidRPr="000820F4">
        <w:rPr>
          <w:rFonts w:asciiTheme="minorEastAsia" w:hAnsiTheme="minorEastAsia" w:cs="Arial" w:hint="eastAsia"/>
          <w:sz w:val="24"/>
          <w:szCs w:val="24"/>
        </w:rPr>
        <w:t>罗艳</w:t>
      </w:r>
    </w:p>
    <w:p w14:paraId="7C7CE033" w14:textId="77777777" w:rsidR="009D10D8" w:rsidRDefault="009E4577">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5DB207F3" w14:textId="78FE52F7" w:rsidR="009D10D8" w:rsidRDefault="009E4577">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2、其他销售机构：具体名单详见本基金份额发售公告以及基金管理人网站。</w:t>
      </w:r>
    </w:p>
    <w:p w14:paraId="11E7E633" w14:textId="77777777" w:rsidR="009D10D8" w:rsidRDefault="009E4577">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0876DBBE" w14:textId="77777777" w:rsidR="009D10D8" w:rsidRDefault="009E4577">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F0E35A3" w14:textId="002F87DD" w:rsidR="009D10D8" w:rsidRDefault="009E4577" w:rsidP="00207EFA">
      <w:pPr>
        <w:snapToGrid w:val="0"/>
        <w:spacing w:line="360" w:lineRule="auto"/>
        <w:ind w:leftChars="225" w:left="473"/>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sidR="00CF24F4" w:rsidRPr="00CF24F4">
        <w:rPr>
          <w:rFonts w:asciiTheme="minorEastAsia" w:hAnsiTheme="minorEastAsia" w:cs="Arial" w:hint="eastAsia"/>
          <w:color w:val="000000"/>
          <w:kern w:val="0"/>
          <w:sz w:val="24"/>
          <w:szCs w:val="24"/>
        </w:rPr>
        <w:t>广东省广州市南沙区横沥镇汇通二街2号3110房</w:t>
      </w:r>
      <w:r w:rsidR="00CF24F4">
        <w:rPr>
          <w:rFonts w:asciiTheme="minorEastAsia" w:hAnsiTheme="minorEastAsia" w:cs="Arial"/>
          <w:color w:val="000000"/>
          <w:kern w:val="0"/>
          <w:sz w:val="24"/>
          <w:szCs w:val="24"/>
        </w:rPr>
        <w:br/>
      </w: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3F2C95D7" w14:textId="3D5AF04E" w:rsidR="009D10D8" w:rsidRDefault="009E4577">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法定代表人：</w:t>
      </w:r>
      <w:r w:rsidR="00A15FE7" w:rsidRPr="00A15FE7">
        <w:rPr>
          <w:rFonts w:asciiTheme="minorEastAsia" w:hAnsiTheme="minorEastAsia" w:cs="Arial" w:hint="eastAsia"/>
          <w:color w:val="000000"/>
          <w:kern w:val="0"/>
          <w:sz w:val="24"/>
          <w:szCs w:val="24"/>
        </w:rPr>
        <w:t>王亦伟</w:t>
      </w:r>
    </w:p>
    <w:p w14:paraId="2C7D3AF7" w14:textId="77777777" w:rsidR="009D10D8" w:rsidRDefault="009E4577">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5B4BD1BF" w14:textId="77777777" w:rsidR="009D10D8" w:rsidRDefault="009E4577">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6BA7930" w14:textId="77777777" w:rsidR="009D10D8" w:rsidRDefault="009E4577">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3AC7D006" w14:textId="77777777" w:rsidR="009D10D8" w:rsidRDefault="009E4577">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E8448C1"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53E7CE08"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7ED7F267"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3D7B5008"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负责人：韩炯</w:t>
      </w:r>
    </w:p>
    <w:p w14:paraId="3EBA0B10"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02473B95"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01C583A5"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1158137C" w14:textId="77777777" w:rsidR="009D10D8" w:rsidRDefault="009E457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7AF02B8B" w14:textId="77777777" w:rsidR="009D10D8" w:rsidRDefault="009E4577">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lastRenderedPageBreak/>
        <w:t>四、</w:t>
      </w:r>
      <w:r>
        <w:rPr>
          <w:rFonts w:asciiTheme="minorEastAsia" w:hAnsiTheme="minorEastAsia" w:cs="Times New Roman" w:hint="eastAsia"/>
          <w:b/>
          <w:bCs/>
          <w:color w:val="000000"/>
          <w:sz w:val="24"/>
          <w:szCs w:val="24"/>
        </w:rPr>
        <w:t>审计基金财产的会计师事务所</w:t>
      </w:r>
    </w:p>
    <w:p w14:paraId="6AC37237"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6701A662"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4558E7DA"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7EC35F66"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法定代表人：毛鞍宁</w:t>
      </w:r>
    </w:p>
    <w:p w14:paraId="282FB7A7"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49A55536"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66C2E6C2" w14:textId="63CCA7B2"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w:t>
      </w:r>
      <w:r w:rsidR="00A06F1A">
        <w:rPr>
          <w:rFonts w:asciiTheme="minorEastAsia" w:hAnsiTheme="minorEastAsia" w:cs="Arial" w:hint="eastAsia"/>
          <w:kern w:val="0"/>
          <w:sz w:val="24"/>
          <w:szCs w:val="24"/>
        </w:rPr>
        <w:t>、</w:t>
      </w:r>
      <w:r>
        <w:rPr>
          <w:rFonts w:asciiTheme="minorEastAsia" w:hAnsiTheme="minorEastAsia" w:cs="Arial" w:hint="eastAsia"/>
          <w:kern w:val="0"/>
          <w:sz w:val="24"/>
          <w:szCs w:val="24"/>
        </w:rPr>
        <w:t>高鹤</w:t>
      </w:r>
    </w:p>
    <w:p w14:paraId="5E1BA120" w14:textId="77777777" w:rsidR="009D10D8" w:rsidRDefault="009E4577">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联系人：吴翠蓉</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14:paraId="30854DE5" w14:textId="77777777" w:rsidR="009D10D8" w:rsidRDefault="009D10D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D10D8">
          <w:footerReference w:type="default" r:id="rId13"/>
          <w:pgSz w:w="11906" w:h="16838"/>
          <w:pgMar w:top="1440" w:right="1800" w:bottom="1440" w:left="1800" w:header="851" w:footer="992" w:gutter="0"/>
          <w:pgNumType w:chapStyle="1"/>
          <w:cols w:space="720"/>
          <w:docGrid w:type="lines" w:linePitch="312"/>
        </w:sectPr>
      </w:pPr>
      <w:bookmarkStart w:id="114" w:name="_Toc263092314"/>
      <w:bookmarkStart w:id="115" w:name="_Toc416264542"/>
      <w:bookmarkStart w:id="116" w:name="_Toc29251"/>
      <w:bookmarkStart w:id="117" w:name="_Toc31653"/>
      <w:bookmarkStart w:id="118" w:name="_Toc16859"/>
      <w:bookmarkStart w:id="119" w:name="_Toc123112235"/>
      <w:bookmarkStart w:id="120" w:name="_Toc6405"/>
      <w:bookmarkStart w:id="121" w:name="_Toc12245"/>
      <w:bookmarkStart w:id="122" w:name="_Toc26207"/>
      <w:bookmarkStart w:id="123" w:name="_Toc123051453"/>
      <w:bookmarkStart w:id="124" w:name="_Toc31644"/>
      <w:bookmarkStart w:id="125" w:name="_Toc352229753"/>
      <w:bookmarkStart w:id="126" w:name="_Toc123102454"/>
      <w:bookmarkStart w:id="127" w:name="_Toc31235"/>
      <w:bookmarkStart w:id="128" w:name="_Toc14835"/>
      <w:bookmarkStart w:id="129" w:name="_Toc141703887"/>
      <w:bookmarkStart w:id="130" w:name="_Toc3601"/>
      <w:bookmarkStart w:id="131" w:name="_Toc15143"/>
      <w:bookmarkStart w:id="132" w:name="_Toc98560353"/>
      <w:bookmarkStart w:id="133" w:name="_Toc139991737"/>
    </w:p>
    <w:p w14:paraId="050A0564" w14:textId="77777777" w:rsidR="009D10D8" w:rsidRDefault="009E4577">
      <w:pPr>
        <w:pStyle w:val="1"/>
        <w:jc w:val="center"/>
        <w:rPr>
          <w:sz w:val="30"/>
          <w:szCs w:val="30"/>
        </w:rPr>
      </w:pPr>
      <w:bookmarkStart w:id="134" w:name="_Toc68783434"/>
      <w:r>
        <w:rPr>
          <w:rFonts w:hint="eastAsia"/>
          <w:sz w:val="30"/>
          <w:szCs w:val="30"/>
        </w:rPr>
        <w:lastRenderedPageBreak/>
        <w:t>第六部分</w:t>
      </w:r>
      <w:r>
        <w:rPr>
          <w:sz w:val="30"/>
          <w:szCs w:val="30"/>
        </w:rPr>
        <w:t xml:space="preserve">  </w:t>
      </w:r>
      <w:r>
        <w:rPr>
          <w:rFonts w:hint="eastAsia"/>
          <w:sz w:val="30"/>
          <w:szCs w:val="30"/>
        </w:rPr>
        <w:t>基金</w:t>
      </w:r>
      <w:bookmarkEnd w:id="114"/>
      <w:bookmarkEnd w:id="115"/>
      <w:r>
        <w:rPr>
          <w:rFonts w:hint="eastAsia"/>
          <w:sz w:val="30"/>
          <w:szCs w:val="30"/>
        </w:rPr>
        <w:t>份额的发售</w:t>
      </w:r>
      <w:bookmarkEnd w:id="134"/>
    </w:p>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p w14:paraId="6C7D6D78" w14:textId="77777777" w:rsidR="009D10D8" w:rsidRDefault="009D10D8">
      <w:pPr>
        <w:autoSpaceDE w:val="0"/>
        <w:autoSpaceDN w:val="0"/>
        <w:adjustRightInd w:val="0"/>
        <w:snapToGrid w:val="0"/>
        <w:spacing w:line="360" w:lineRule="auto"/>
        <w:ind w:firstLineChars="200" w:firstLine="480"/>
        <w:rPr>
          <w:rFonts w:asciiTheme="minorEastAsia" w:hAnsiTheme="minorEastAsia" w:cs="Arial"/>
          <w:sz w:val="24"/>
          <w:szCs w:val="24"/>
        </w:rPr>
      </w:pPr>
    </w:p>
    <w:p w14:paraId="22DD91E0" w14:textId="64C1C21E" w:rsidR="009D10D8" w:rsidRDefault="009E4577">
      <w:pPr>
        <w:autoSpaceDE w:val="0"/>
        <w:autoSpaceDN w:val="0"/>
        <w:adjustRightInd w:val="0"/>
        <w:snapToGrid w:val="0"/>
        <w:spacing w:line="360" w:lineRule="auto"/>
        <w:ind w:firstLineChars="200" w:firstLine="480"/>
        <w:rPr>
          <w:rFonts w:ascii="宋体" w:eastAsia="宋体" w:hAnsi="宋体" w:cs="Arial"/>
          <w:sz w:val="24"/>
          <w:szCs w:val="24"/>
        </w:rPr>
      </w:pPr>
      <w:bookmarkStart w:id="135" w:name="_Toc263092315"/>
      <w:bookmarkStart w:id="136" w:name="_Toc214873596"/>
      <w:bookmarkStart w:id="137" w:name="_Toc416264543"/>
      <w:bookmarkStart w:id="138" w:name="_Toc123102455"/>
      <w:bookmarkStart w:id="139" w:name="_Toc25783"/>
      <w:bookmarkStart w:id="140" w:name="_Toc18567"/>
      <w:bookmarkStart w:id="141" w:name="_Toc141703888"/>
      <w:bookmarkStart w:id="142" w:name="_Toc3771"/>
      <w:bookmarkStart w:id="143" w:name="_Toc6447"/>
      <w:bookmarkStart w:id="144" w:name="_Toc352229754"/>
      <w:bookmarkStart w:id="145" w:name="_Toc7058"/>
      <w:bookmarkStart w:id="146" w:name="_Toc11030"/>
      <w:bookmarkStart w:id="147" w:name="_Toc123051454"/>
      <w:bookmarkStart w:id="148" w:name="_Toc123112236"/>
      <w:bookmarkStart w:id="149" w:name="_Toc9706"/>
      <w:bookmarkStart w:id="150" w:name="_Toc139991738"/>
      <w:bookmarkStart w:id="151" w:name="_Toc20768"/>
      <w:bookmarkStart w:id="152" w:name="_Toc3321"/>
      <w:bookmarkStart w:id="153" w:name="_Toc4559"/>
      <w:bookmarkStart w:id="154" w:name="_Toc98560354"/>
      <w:bookmarkStart w:id="155" w:name="_Toc10650"/>
      <w:bookmarkStart w:id="156" w:name="_Toc79392583"/>
      <w:r>
        <w:rPr>
          <w:rFonts w:ascii="宋体" w:eastAsia="宋体" w:hAnsi="宋体" w:cs="Arial" w:hint="eastAsia"/>
          <w:sz w:val="24"/>
          <w:szCs w:val="24"/>
        </w:rPr>
        <w:t>基金管理人按照《基金法》、《运作办法》、《销售办法》、基金合同及其他有关规定募集本基金，于</w:t>
      </w:r>
      <w:r w:rsidR="008C709A">
        <w:rPr>
          <w:rFonts w:ascii="宋体" w:eastAsia="宋体" w:hAnsi="宋体" w:cs="Arial" w:hint="eastAsia"/>
          <w:sz w:val="24"/>
          <w:szCs w:val="24"/>
        </w:rPr>
        <w:t>2</w:t>
      </w:r>
      <w:r w:rsidR="008C709A">
        <w:rPr>
          <w:rFonts w:ascii="宋体" w:eastAsia="宋体" w:hAnsi="宋体" w:cs="Arial"/>
          <w:sz w:val="24"/>
          <w:szCs w:val="24"/>
        </w:rPr>
        <w:t>022</w:t>
      </w:r>
      <w:r>
        <w:rPr>
          <w:rFonts w:ascii="宋体" w:eastAsia="宋体" w:hAnsi="宋体" w:cs="Arial" w:hint="eastAsia"/>
          <w:sz w:val="24"/>
          <w:szCs w:val="24"/>
        </w:rPr>
        <w:t>年</w:t>
      </w:r>
      <w:r w:rsidR="008C709A">
        <w:rPr>
          <w:rFonts w:ascii="宋体" w:eastAsia="宋体" w:hAnsi="宋体" w:cs="Arial"/>
          <w:sz w:val="24"/>
          <w:szCs w:val="24"/>
        </w:rPr>
        <w:t>4</w:t>
      </w:r>
      <w:r>
        <w:rPr>
          <w:rFonts w:ascii="宋体" w:eastAsia="宋体" w:hAnsi="宋体" w:cs="Arial" w:hint="eastAsia"/>
          <w:sz w:val="24"/>
          <w:szCs w:val="24"/>
        </w:rPr>
        <w:t>月</w:t>
      </w:r>
      <w:r w:rsidR="008C709A">
        <w:rPr>
          <w:rFonts w:ascii="宋体" w:eastAsia="宋体" w:hAnsi="宋体" w:cs="Arial"/>
          <w:sz w:val="24"/>
          <w:szCs w:val="24"/>
        </w:rPr>
        <w:t>14</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sidR="008C709A">
        <w:rPr>
          <w:rFonts w:ascii="宋体" w:eastAsia="宋体" w:hAnsi="宋体" w:cs="Arial" w:hint="eastAsia"/>
          <w:kern w:val="0"/>
          <w:sz w:val="24"/>
          <w:szCs w:val="24"/>
        </w:rPr>
        <w:t>【2</w:t>
      </w:r>
      <w:r w:rsidR="008C709A">
        <w:rPr>
          <w:rFonts w:ascii="宋体" w:eastAsia="宋体" w:hAnsi="宋体" w:cs="Arial"/>
          <w:kern w:val="0"/>
          <w:sz w:val="24"/>
          <w:szCs w:val="24"/>
        </w:rPr>
        <w:t>022</w:t>
      </w:r>
      <w:r w:rsidR="008C709A">
        <w:rPr>
          <w:rFonts w:ascii="宋体" w:eastAsia="宋体" w:hAnsi="宋体" w:cs="Arial" w:hint="eastAsia"/>
          <w:kern w:val="0"/>
          <w:sz w:val="24"/>
          <w:szCs w:val="24"/>
        </w:rPr>
        <w:t>】7</w:t>
      </w:r>
      <w:r w:rsidR="008C709A">
        <w:rPr>
          <w:rFonts w:ascii="宋体" w:eastAsia="宋体" w:hAnsi="宋体" w:cs="Arial"/>
          <w:kern w:val="0"/>
          <w:sz w:val="24"/>
          <w:szCs w:val="24"/>
        </w:rPr>
        <w:t>62</w:t>
      </w:r>
      <w:r>
        <w:rPr>
          <w:rFonts w:ascii="宋体" w:eastAsia="宋体" w:hAnsi="宋体" w:cs="Arial" w:hint="eastAsia"/>
          <w:kern w:val="0"/>
          <w:sz w:val="24"/>
          <w:szCs w:val="24"/>
        </w:rPr>
        <w:t>号文</w:t>
      </w:r>
      <w:r>
        <w:rPr>
          <w:rFonts w:ascii="宋体" w:eastAsia="宋体" w:hAnsi="宋体" w:cs="Arial" w:hint="eastAsia"/>
          <w:sz w:val="24"/>
          <w:szCs w:val="24"/>
        </w:rPr>
        <w:t>准予注册募集</w:t>
      </w:r>
      <w:r w:rsidR="00F06043">
        <w:rPr>
          <w:rFonts w:ascii="宋体" w:eastAsia="宋体" w:hAnsi="宋体" w:cs="Arial" w:hint="eastAsia"/>
          <w:sz w:val="24"/>
          <w:szCs w:val="24"/>
        </w:rPr>
        <w:t>，并于</w:t>
      </w:r>
      <w:r w:rsidR="00F06043" w:rsidRPr="00F06043">
        <w:rPr>
          <w:rFonts w:ascii="宋体" w:eastAsia="宋体" w:hAnsi="宋体" w:cs="Arial" w:hint="eastAsia"/>
          <w:sz w:val="24"/>
          <w:szCs w:val="24"/>
        </w:rPr>
        <w:t>2023年3月8日</w:t>
      </w:r>
      <w:r w:rsidR="00F06043">
        <w:rPr>
          <w:rFonts w:ascii="宋体" w:eastAsia="宋体" w:hAnsi="宋体" w:cs="Arial" w:hint="eastAsia"/>
          <w:sz w:val="24"/>
          <w:szCs w:val="24"/>
        </w:rPr>
        <w:t>获得</w:t>
      </w:r>
      <w:r w:rsidR="00F06043" w:rsidRPr="00F06043">
        <w:rPr>
          <w:rFonts w:ascii="宋体" w:eastAsia="宋体" w:hAnsi="宋体" w:cs="Arial" w:hint="eastAsia"/>
          <w:sz w:val="24"/>
          <w:szCs w:val="24"/>
        </w:rPr>
        <w:t>中国证监会《关于富荣研究优选混合型证券投资基金延期募集备案的回函》（机构部函【2023】280号）</w:t>
      </w:r>
      <w:r>
        <w:rPr>
          <w:rFonts w:ascii="宋体" w:eastAsia="宋体" w:hAnsi="宋体" w:cs="Arial" w:hint="eastAsia"/>
          <w:sz w:val="24"/>
          <w:szCs w:val="24"/>
        </w:rPr>
        <w:t>。</w:t>
      </w:r>
    </w:p>
    <w:p w14:paraId="29320CD4" w14:textId="77777777" w:rsidR="009D10D8" w:rsidRDefault="009E4577">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一、基金名称</w:t>
      </w:r>
    </w:p>
    <w:p w14:paraId="0022DB50"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富荣研究优选</w:t>
      </w:r>
      <w:r>
        <w:rPr>
          <w:rFonts w:asciiTheme="minorEastAsia" w:hAnsiTheme="minorEastAsia" w:cs="Arial" w:hint="eastAsia"/>
          <w:kern w:val="0"/>
          <w:sz w:val="24"/>
          <w:szCs w:val="24"/>
        </w:rPr>
        <w:t>混合型</w:t>
      </w:r>
      <w:r>
        <w:rPr>
          <w:rFonts w:ascii="宋体" w:eastAsia="宋体" w:hAnsi="宋体" w:cs="Arial" w:hint="eastAsia"/>
          <w:sz w:val="24"/>
          <w:szCs w:val="24"/>
        </w:rPr>
        <w:t>证券投资基金</w:t>
      </w:r>
    </w:p>
    <w:p w14:paraId="54444BAD" w14:textId="77777777" w:rsidR="009D10D8" w:rsidRDefault="009E4577">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二、基金类别</w:t>
      </w:r>
    </w:p>
    <w:p w14:paraId="5B180DDB"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混合型证券投资基金</w:t>
      </w:r>
    </w:p>
    <w:p w14:paraId="44D862E6" w14:textId="77777777" w:rsidR="009D10D8" w:rsidRDefault="009E4577">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三、基金的运作方式</w:t>
      </w:r>
    </w:p>
    <w:p w14:paraId="3C56F150" w14:textId="77777777" w:rsidR="009D10D8" w:rsidRDefault="009E4577">
      <w:pPr>
        <w:adjustRightInd w:val="0"/>
        <w:snapToGrid w:val="0"/>
        <w:spacing w:line="360" w:lineRule="auto"/>
        <w:ind w:firstLineChars="200" w:firstLine="480"/>
        <w:rPr>
          <w:rFonts w:ascii="宋体" w:eastAsia="宋体" w:hAnsi="宋体" w:cs="Arial"/>
          <w:bCs/>
          <w:sz w:val="24"/>
          <w:szCs w:val="24"/>
        </w:rPr>
      </w:pPr>
      <w:r>
        <w:rPr>
          <w:rFonts w:ascii="宋体" w:eastAsia="宋体" w:hAnsi="宋体" w:cs="Arial" w:hint="eastAsia"/>
          <w:bCs/>
          <w:sz w:val="24"/>
          <w:szCs w:val="24"/>
        </w:rPr>
        <w:t>契约型开放式</w:t>
      </w:r>
    </w:p>
    <w:p w14:paraId="6E746925" w14:textId="77777777" w:rsidR="009D10D8" w:rsidRDefault="009E4577">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四、基金存续期限</w:t>
      </w:r>
    </w:p>
    <w:p w14:paraId="02F29D8B"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不定期</w:t>
      </w:r>
    </w:p>
    <w:p w14:paraId="30927C98" w14:textId="77777777" w:rsidR="009D10D8" w:rsidRDefault="009E4577">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五、募集对象与募集期</w:t>
      </w:r>
    </w:p>
    <w:p w14:paraId="7EC2954E" w14:textId="7CD020F1" w:rsidR="009D10D8" w:rsidRDefault="009E4577">
      <w:pPr>
        <w:autoSpaceDE w:val="0"/>
        <w:autoSpaceDN w:val="0"/>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募集对象为符合法律法规规定的可投资于证券投资基金的个人投资者、机构投资者、合格境外机构投资者和人民币合格境外机构投资者以及法律法规或中国证监会允许购买证券投资基金的其他投资者。募集期自基金份额发售之日起不超过3个月，具体发售时间见基金份额发售公告。</w:t>
      </w:r>
    </w:p>
    <w:p w14:paraId="09E6CA20" w14:textId="77777777" w:rsidR="009D10D8" w:rsidRDefault="009E4577">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六、募集场所</w:t>
      </w:r>
    </w:p>
    <w:p w14:paraId="75E4D99B" w14:textId="77777777" w:rsidR="009D10D8" w:rsidRDefault="009E4577">
      <w:pPr>
        <w:snapToGrid w:val="0"/>
        <w:spacing w:line="360" w:lineRule="auto"/>
        <w:ind w:firstLineChars="200" w:firstLine="480"/>
        <w:rPr>
          <w:rFonts w:ascii="宋体" w:eastAsia="宋体" w:hAnsi="宋体" w:cs="Arial"/>
          <w:kern w:val="0"/>
          <w:sz w:val="24"/>
          <w:szCs w:val="24"/>
        </w:rPr>
      </w:pPr>
      <w:r>
        <w:rPr>
          <w:rFonts w:ascii="宋体" w:eastAsia="宋体" w:hAnsi="宋体" w:cs="Arial" w:hint="eastAsia"/>
          <w:kern w:val="0"/>
          <w:sz w:val="24"/>
          <w:szCs w:val="24"/>
        </w:rPr>
        <w:t>投资人应当在基金管理人及其指定的基金销售机构办理基金发售业务的营业场所或按基金销售机构提供的其他方式办理基金的认购。基金销售机构办理基金发售业务的地区、网点的具体情况和联系方法，请参见基金份额发售公告以及当地基金销售机构的公告。</w:t>
      </w:r>
    </w:p>
    <w:p w14:paraId="677D010C" w14:textId="77777777" w:rsidR="009D10D8" w:rsidRDefault="009E4577">
      <w:pPr>
        <w:snapToGrid w:val="0"/>
        <w:spacing w:line="360" w:lineRule="auto"/>
        <w:ind w:firstLineChars="200" w:firstLine="480"/>
        <w:rPr>
          <w:rFonts w:ascii="宋体" w:eastAsia="宋体" w:hAnsi="宋体" w:cs="Arial"/>
          <w:kern w:val="0"/>
          <w:sz w:val="24"/>
          <w:szCs w:val="24"/>
        </w:rPr>
      </w:pPr>
      <w:r>
        <w:rPr>
          <w:rFonts w:ascii="宋体" w:eastAsia="宋体" w:hAnsi="宋体" w:cs="Arial" w:hint="eastAsia"/>
          <w:kern w:val="0"/>
          <w:sz w:val="24"/>
          <w:szCs w:val="24"/>
        </w:rPr>
        <w:t>基金管理人可以根据情况增减或变更基金销售机构，并在基金管理人网站公示。</w:t>
      </w:r>
    </w:p>
    <w:p w14:paraId="419E1F5F" w14:textId="77777777" w:rsidR="009D10D8" w:rsidRDefault="009E4577">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七、基金募集规模上限</w:t>
      </w:r>
    </w:p>
    <w:p w14:paraId="6A265C92" w14:textId="77777777" w:rsidR="009D10D8" w:rsidRDefault="009E4577">
      <w:pPr>
        <w:autoSpaceDE w:val="0"/>
        <w:autoSpaceDN w:val="0"/>
        <w:adjustRightInd w:val="0"/>
        <w:snapToGrid w:val="0"/>
        <w:spacing w:line="360" w:lineRule="auto"/>
        <w:ind w:firstLine="454"/>
        <w:rPr>
          <w:rFonts w:ascii="宋体" w:eastAsia="宋体" w:hAnsi="宋体" w:cs="Arial"/>
          <w:sz w:val="24"/>
          <w:szCs w:val="24"/>
        </w:rPr>
      </w:pPr>
      <w:r>
        <w:rPr>
          <w:rFonts w:ascii="宋体" w:eastAsia="宋体" w:hAnsi="宋体" w:cs="Arial" w:hint="eastAsia"/>
          <w:sz w:val="24"/>
          <w:szCs w:val="24"/>
        </w:rPr>
        <w:t>本基金可以设募集规模上限，具体详见基金份额发售公告。</w:t>
      </w:r>
    </w:p>
    <w:p w14:paraId="5CBA3DCE" w14:textId="77777777" w:rsidR="009D10D8" w:rsidRDefault="009E4577">
      <w:pPr>
        <w:adjustRightInd w:val="0"/>
        <w:snapToGrid w:val="0"/>
        <w:spacing w:line="360" w:lineRule="auto"/>
        <w:ind w:firstLineChars="200" w:firstLine="482"/>
        <w:rPr>
          <w:rFonts w:ascii="宋体" w:eastAsia="宋体" w:hAnsi="宋体" w:cs="Arial"/>
          <w:b/>
          <w:bCs/>
          <w:sz w:val="24"/>
          <w:szCs w:val="24"/>
        </w:rPr>
      </w:pPr>
      <w:r>
        <w:rPr>
          <w:rFonts w:ascii="宋体" w:eastAsia="宋体" w:hAnsi="宋体" w:cs="Arial" w:hint="eastAsia"/>
          <w:b/>
          <w:bCs/>
          <w:sz w:val="24"/>
          <w:szCs w:val="24"/>
        </w:rPr>
        <w:t xml:space="preserve">八、基金份额的类别 </w:t>
      </w:r>
    </w:p>
    <w:p w14:paraId="6FE1EFD5" w14:textId="43DF70AB"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lastRenderedPageBreak/>
        <w:t>本基金根据认购/申购费用、销售服务费收取方式的不同，将基金份额分为不同的类别。在投资人认购/申购时收取认购/申购费用但不从本类别基金资产中计提销售服务费的，称为A类基金份额；从本类别基金资产中计提销售服务费而不收取认购/申购费用的，称为C类基金份额。</w:t>
      </w:r>
    </w:p>
    <w:p w14:paraId="49BAC314"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A类和C类基金份额分别设置代码。由于基金费用的不同，本基金A类和C类基金份额将分别计算基金份额净值，计算公式为：计算日某类别基金份额净值＝该计算日该类别基金份额的基金资产净值/该计算日发售在外的该类别基金份额总数。</w:t>
      </w:r>
    </w:p>
    <w:p w14:paraId="1CDAA41E"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投资人可自行选择认购/申购的基金份额类别。</w:t>
      </w:r>
    </w:p>
    <w:p w14:paraId="0AD6E22D" w14:textId="6DF22FA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根据基金销售情况，在符合法律法规及中国证监会规定且对基金份额持有人利益无实质性不利影响的情况下，基金管理人在履行适当程序后可以增加新的基金份额类别、调整现有基金份额类别的费率或者停止现有基金份额类别的销售等，或对基金份额分类办法及规则进行调整，而无需召开基金份额持有人大会，但调整实施前基金管理人需及时公告。</w:t>
      </w:r>
    </w:p>
    <w:p w14:paraId="70AF9290" w14:textId="77777777" w:rsidR="009D10D8" w:rsidRDefault="009E4577">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八、基金的发售面值、认购价格和认购费用</w:t>
      </w:r>
    </w:p>
    <w:p w14:paraId="1A96A3B0"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1、发售面值：人民币1.00元</w:t>
      </w:r>
    </w:p>
    <w:p w14:paraId="201256B4"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2、认购费用：</w:t>
      </w:r>
    </w:p>
    <w:p w14:paraId="7A9500F8" w14:textId="77777777" w:rsidR="009D10D8" w:rsidRDefault="009E4577">
      <w:pPr>
        <w:autoSpaceDE w:val="0"/>
        <w:autoSpaceDN w:val="0"/>
        <w:adjustRightInd w:val="0"/>
        <w:snapToGrid w:val="0"/>
        <w:spacing w:line="360" w:lineRule="auto"/>
        <w:ind w:firstLineChars="200" w:firstLine="480"/>
        <w:rPr>
          <w:rFonts w:ascii="宋体" w:eastAsia="宋体" w:hAnsi="宋体" w:cs="Arial"/>
          <w:color w:val="000000"/>
          <w:sz w:val="24"/>
          <w:szCs w:val="24"/>
        </w:rPr>
      </w:pPr>
      <w:r>
        <w:rPr>
          <w:rFonts w:ascii="宋体" w:eastAsia="宋体" w:hAnsi="宋体" w:cs="Arial" w:hint="eastAsia"/>
          <w:sz w:val="24"/>
          <w:szCs w:val="24"/>
        </w:rPr>
        <w:t>本基金基金份额采用前端收费模式收取基金认购费用。投资人在一天之内如果有多笔认购，适用费率按单笔分别计算。</w:t>
      </w:r>
    </w:p>
    <w:p w14:paraId="4153122B" w14:textId="77777777" w:rsidR="009D10D8" w:rsidRDefault="009E4577">
      <w:pPr>
        <w:snapToGrid w:val="0"/>
        <w:spacing w:line="360" w:lineRule="auto"/>
        <w:jc w:val="center"/>
        <w:rPr>
          <w:rFonts w:ascii="宋体" w:eastAsia="宋体" w:hAnsi="宋体" w:cs="Arial"/>
          <w:sz w:val="24"/>
          <w:szCs w:val="24"/>
        </w:rPr>
      </w:pPr>
      <w:r>
        <w:rPr>
          <w:rFonts w:ascii="宋体" w:eastAsia="宋体" w:hAnsi="宋体" w:cs="Arial" w:hint="eastAsia"/>
          <w:sz w:val="24"/>
          <w:szCs w:val="24"/>
        </w:rPr>
        <w:t>表1：本基金的认购费率结构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1"/>
        <w:gridCol w:w="2915"/>
      </w:tblGrid>
      <w:tr w:rsidR="009D10D8" w14:paraId="4AC5F7AF" w14:textId="77777777">
        <w:trPr>
          <w:trHeight w:val="190"/>
          <w:jc w:val="center"/>
        </w:trPr>
        <w:tc>
          <w:tcPr>
            <w:tcW w:w="2691" w:type="dxa"/>
            <w:tcBorders>
              <w:top w:val="single" w:sz="4" w:space="0" w:color="auto"/>
              <w:left w:val="single" w:sz="4" w:space="0" w:color="auto"/>
              <w:bottom w:val="single" w:sz="4" w:space="0" w:color="auto"/>
              <w:right w:val="single" w:sz="4" w:space="0" w:color="auto"/>
            </w:tcBorders>
          </w:tcPr>
          <w:p w14:paraId="2AECE100" w14:textId="77777777" w:rsidR="009D10D8" w:rsidRDefault="009E4577">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认购金额（M）</w:t>
            </w:r>
          </w:p>
        </w:tc>
        <w:tc>
          <w:tcPr>
            <w:tcW w:w="2915" w:type="dxa"/>
            <w:tcBorders>
              <w:top w:val="single" w:sz="4" w:space="0" w:color="auto"/>
              <w:left w:val="single" w:sz="4" w:space="0" w:color="auto"/>
              <w:bottom w:val="single" w:sz="4" w:space="0" w:color="auto"/>
              <w:right w:val="single" w:sz="4" w:space="0" w:color="auto"/>
            </w:tcBorders>
          </w:tcPr>
          <w:p w14:paraId="5C808D9F" w14:textId="77777777" w:rsidR="009D10D8" w:rsidRDefault="009E4577">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认购费率</w:t>
            </w:r>
          </w:p>
        </w:tc>
      </w:tr>
      <w:tr w:rsidR="009D10D8" w14:paraId="21187AD7" w14:textId="77777777">
        <w:trPr>
          <w:trHeight w:val="190"/>
          <w:jc w:val="center"/>
        </w:trPr>
        <w:tc>
          <w:tcPr>
            <w:tcW w:w="2691" w:type="dxa"/>
            <w:tcBorders>
              <w:top w:val="single" w:sz="4" w:space="0" w:color="auto"/>
              <w:left w:val="single" w:sz="4" w:space="0" w:color="auto"/>
              <w:bottom w:val="single" w:sz="4" w:space="0" w:color="auto"/>
              <w:right w:val="single" w:sz="4" w:space="0" w:color="auto"/>
            </w:tcBorders>
          </w:tcPr>
          <w:p w14:paraId="27BBD622" w14:textId="77777777" w:rsidR="009D10D8" w:rsidRDefault="009E4577">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M＜100万元</w:t>
            </w:r>
          </w:p>
        </w:tc>
        <w:tc>
          <w:tcPr>
            <w:tcW w:w="2915" w:type="dxa"/>
            <w:tcBorders>
              <w:top w:val="single" w:sz="4" w:space="0" w:color="auto"/>
              <w:left w:val="single" w:sz="4" w:space="0" w:color="auto"/>
              <w:bottom w:val="single" w:sz="4" w:space="0" w:color="auto"/>
              <w:right w:val="single" w:sz="4" w:space="0" w:color="auto"/>
            </w:tcBorders>
          </w:tcPr>
          <w:p w14:paraId="6C129CDB" w14:textId="77777777" w:rsidR="009D10D8" w:rsidRDefault="009E4577">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1.20%</w:t>
            </w:r>
          </w:p>
        </w:tc>
      </w:tr>
      <w:tr w:rsidR="009D10D8" w14:paraId="6900D080" w14:textId="77777777">
        <w:trPr>
          <w:trHeight w:val="190"/>
          <w:jc w:val="center"/>
        </w:trPr>
        <w:tc>
          <w:tcPr>
            <w:tcW w:w="2691" w:type="dxa"/>
            <w:tcBorders>
              <w:top w:val="single" w:sz="4" w:space="0" w:color="auto"/>
              <w:left w:val="single" w:sz="4" w:space="0" w:color="auto"/>
              <w:bottom w:val="single" w:sz="4" w:space="0" w:color="auto"/>
              <w:right w:val="single" w:sz="4" w:space="0" w:color="auto"/>
            </w:tcBorders>
          </w:tcPr>
          <w:p w14:paraId="432D588E" w14:textId="77777777" w:rsidR="009D10D8" w:rsidRDefault="009E4577">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100万元≤M＜</w:t>
            </w:r>
            <w:r>
              <w:rPr>
                <w:rFonts w:ascii="宋体" w:eastAsia="宋体" w:hAnsi="宋体" w:cs="Times New Roman"/>
                <w:bCs/>
                <w:kern w:val="0"/>
                <w:sz w:val="24"/>
                <w:szCs w:val="24"/>
              </w:rPr>
              <w:t>3</w:t>
            </w:r>
            <w:r>
              <w:rPr>
                <w:rFonts w:ascii="宋体" w:eastAsia="宋体" w:hAnsi="宋体" w:cs="Times New Roman" w:hint="eastAsia"/>
                <w:bCs/>
                <w:kern w:val="0"/>
                <w:sz w:val="24"/>
                <w:szCs w:val="24"/>
              </w:rPr>
              <w:t>00万元</w:t>
            </w:r>
          </w:p>
        </w:tc>
        <w:tc>
          <w:tcPr>
            <w:tcW w:w="2915" w:type="dxa"/>
            <w:tcBorders>
              <w:top w:val="single" w:sz="4" w:space="0" w:color="auto"/>
              <w:left w:val="single" w:sz="4" w:space="0" w:color="auto"/>
              <w:bottom w:val="single" w:sz="4" w:space="0" w:color="auto"/>
              <w:right w:val="single" w:sz="4" w:space="0" w:color="auto"/>
            </w:tcBorders>
          </w:tcPr>
          <w:p w14:paraId="3DAB203E" w14:textId="77777777" w:rsidR="009D10D8" w:rsidRDefault="009E4577">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0.80%</w:t>
            </w:r>
          </w:p>
        </w:tc>
      </w:tr>
      <w:tr w:rsidR="009D10D8" w14:paraId="478B7A44" w14:textId="77777777">
        <w:trPr>
          <w:trHeight w:val="190"/>
          <w:jc w:val="center"/>
        </w:trPr>
        <w:tc>
          <w:tcPr>
            <w:tcW w:w="2691" w:type="dxa"/>
            <w:tcBorders>
              <w:top w:val="single" w:sz="4" w:space="0" w:color="auto"/>
              <w:left w:val="single" w:sz="4" w:space="0" w:color="auto"/>
              <w:bottom w:val="single" w:sz="4" w:space="0" w:color="auto"/>
              <w:right w:val="single" w:sz="4" w:space="0" w:color="auto"/>
            </w:tcBorders>
          </w:tcPr>
          <w:p w14:paraId="5F4BA081" w14:textId="77777777" w:rsidR="009D10D8" w:rsidRDefault="009E4577">
            <w:pPr>
              <w:widowControl/>
              <w:spacing w:line="360" w:lineRule="auto"/>
              <w:jc w:val="center"/>
              <w:rPr>
                <w:rFonts w:ascii="宋体" w:eastAsia="宋体" w:hAnsi="宋体" w:cs="Times New Roman"/>
                <w:bCs/>
                <w:kern w:val="0"/>
                <w:sz w:val="24"/>
                <w:szCs w:val="24"/>
              </w:rPr>
            </w:pPr>
            <w:r>
              <w:rPr>
                <w:rFonts w:ascii="宋体" w:eastAsia="宋体" w:hAnsi="宋体" w:cs="Times New Roman"/>
                <w:bCs/>
                <w:kern w:val="0"/>
                <w:sz w:val="24"/>
                <w:szCs w:val="24"/>
              </w:rPr>
              <w:t>3</w:t>
            </w:r>
            <w:r>
              <w:rPr>
                <w:rFonts w:ascii="宋体" w:eastAsia="宋体" w:hAnsi="宋体" w:cs="Times New Roman" w:hint="eastAsia"/>
                <w:bCs/>
                <w:kern w:val="0"/>
                <w:sz w:val="24"/>
                <w:szCs w:val="24"/>
              </w:rPr>
              <w:t>00万元≤M＜500万元</w:t>
            </w:r>
          </w:p>
        </w:tc>
        <w:tc>
          <w:tcPr>
            <w:tcW w:w="2915" w:type="dxa"/>
            <w:tcBorders>
              <w:top w:val="single" w:sz="4" w:space="0" w:color="auto"/>
              <w:left w:val="single" w:sz="4" w:space="0" w:color="auto"/>
              <w:bottom w:val="single" w:sz="4" w:space="0" w:color="auto"/>
              <w:right w:val="single" w:sz="4" w:space="0" w:color="auto"/>
            </w:tcBorders>
          </w:tcPr>
          <w:p w14:paraId="7359652E" w14:textId="77777777" w:rsidR="009D10D8" w:rsidRDefault="009E4577">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0.40%</w:t>
            </w:r>
          </w:p>
        </w:tc>
      </w:tr>
      <w:tr w:rsidR="009D10D8" w14:paraId="6C713221" w14:textId="77777777">
        <w:trPr>
          <w:trHeight w:val="190"/>
          <w:jc w:val="center"/>
        </w:trPr>
        <w:tc>
          <w:tcPr>
            <w:tcW w:w="2691" w:type="dxa"/>
            <w:tcBorders>
              <w:top w:val="single" w:sz="4" w:space="0" w:color="auto"/>
              <w:left w:val="single" w:sz="4" w:space="0" w:color="auto"/>
              <w:bottom w:val="single" w:sz="4" w:space="0" w:color="auto"/>
              <w:right w:val="single" w:sz="4" w:space="0" w:color="auto"/>
            </w:tcBorders>
          </w:tcPr>
          <w:p w14:paraId="4CDE538D" w14:textId="77777777" w:rsidR="009D10D8" w:rsidRDefault="009E4577">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M≥500万元</w:t>
            </w:r>
          </w:p>
        </w:tc>
        <w:tc>
          <w:tcPr>
            <w:tcW w:w="2915" w:type="dxa"/>
            <w:tcBorders>
              <w:top w:val="single" w:sz="4" w:space="0" w:color="auto"/>
              <w:left w:val="single" w:sz="4" w:space="0" w:color="auto"/>
              <w:bottom w:val="single" w:sz="4" w:space="0" w:color="auto"/>
              <w:right w:val="single" w:sz="4" w:space="0" w:color="auto"/>
            </w:tcBorders>
          </w:tcPr>
          <w:p w14:paraId="083821B1" w14:textId="77777777" w:rsidR="009D10D8" w:rsidRDefault="009E4577">
            <w:pPr>
              <w:widowControl/>
              <w:spacing w:line="360" w:lineRule="auto"/>
              <w:jc w:val="center"/>
              <w:rPr>
                <w:rFonts w:ascii="宋体" w:eastAsia="宋体" w:hAnsi="宋体" w:cs="Times New Roman"/>
                <w:bCs/>
                <w:kern w:val="0"/>
                <w:sz w:val="24"/>
                <w:szCs w:val="24"/>
              </w:rPr>
            </w:pPr>
            <w:r>
              <w:rPr>
                <w:rFonts w:ascii="宋体" w:eastAsia="宋体" w:hAnsi="宋体" w:cs="Times New Roman" w:hint="eastAsia"/>
                <w:bCs/>
                <w:kern w:val="0"/>
                <w:sz w:val="24"/>
                <w:szCs w:val="24"/>
              </w:rPr>
              <w:t>每笔1000元</w:t>
            </w:r>
          </w:p>
        </w:tc>
      </w:tr>
    </w:tbl>
    <w:p w14:paraId="4D9D09FC" w14:textId="77777777" w:rsidR="009D10D8" w:rsidRDefault="009E4577">
      <w:pPr>
        <w:adjustRightInd w:val="0"/>
        <w:snapToGrid w:val="0"/>
        <w:spacing w:line="360" w:lineRule="auto"/>
        <w:ind w:firstLineChars="200" w:firstLine="480"/>
        <w:rPr>
          <w:rFonts w:ascii="宋体" w:eastAsia="宋体" w:hAnsi="宋体" w:cs="Arial"/>
          <w:color w:val="000000"/>
          <w:sz w:val="24"/>
          <w:szCs w:val="24"/>
        </w:rPr>
      </w:pPr>
      <w:r>
        <w:rPr>
          <w:rFonts w:ascii="宋体" w:eastAsia="宋体" w:hAnsi="宋体" w:cs="Arial" w:hint="eastAsia"/>
          <w:color w:val="000000"/>
          <w:sz w:val="24"/>
          <w:szCs w:val="24"/>
        </w:rPr>
        <w:t>本基金A类基金份额的认购费用由认购A类基金份额的投资人承担，主要用于本基金募集期间发生的市场推广、销售、登记等各项费用。C类基金份额不收取认购费。</w:t>
      </w:r>
    </w:p>
    <w:p w14:paraId="1C94D4E7" w14:textId="77777777" w:rsidR="009D10D8" w:rsidRDefault="009E4577">
      <w:pPr>
        <w:adjustRightInd w:val="0"/>
        <w:snapToGrid w:val="0"/>
        <w:spacing w:line="360" w:lineRule="auto"/>
        <w:ind w:firstLineChars="200" w:firstLine="480"/>
        <w:rPr>
          <w:rFonts w:ascii="宋体" w:eastAsia="宋体" w:hAnsi="宋体" w:cs="Arial"/>
          <w:color w:val="000000"/>
          <w:sz w:val="24"/>
          <w:szCs w:val="24"/>
        </w:rPr>
      </w:pPr>
      <w:r>
        <w:rPr>
          <w:rFonts w:ascii="宋体" w:eastAsia="宋体" w:hAnsi="宋体" w:cs="Arial" w:hint="eastAsia"/>
          <w:color w:val="000000"/>
          <w:sz w:val="24"/>
          <w:szCs w:val="24"/>
        </w:rPr>
        <w:t>3、认购份额的计算</w:t>
      </w:r>
    </w:p>
    <w:p w14:paraId="14B858EB" w14:textId="77777777" w:rsidR="009D10D8" w:rsidRDefault="009E4577">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Pr>
          <w:rFonts w:ascii="宋体" w:eastAsia="宋体" w:hAnsi="宋体" w:cs="Times New Roman" w:hint="eastAsia"/>
          <w:spacing w:val="8"/>
          <w:sz w:val="24"/>
          <w:szCs w:val="24"/>
        </w:rPr>
        <w:t>本基金的认购份额计算公式为：</w:t>
      </w:r>
    </w:p>
    <w:p w14:paraId="7F37EF48" w14:textId="77777777" w:rsidR="009D10D8" w:rsidRDefault="009E4577">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Pr>
          <w:rFonts w:ascii="宋体" w:eastAsia="宋体" w:hAnsi="宋体" w:cs="Times New Roman" w:hint="eastAsia"/>
          <w:spacing w:val="8"/>
          <w:sz w:val="24"/>
          <w:szCs w:val="24"/>
        </w:rPr>
        <w:lastRenderedPageBreak/>
        <w:t>（1）认购费用适用比例费率的情形下：</w:t>
      </w:r>
    </w:p>
    <w:p w14:paraId="1FE39B0A" w14:textId="77777777" w:rsidR="009D10D8" w:rsidRDefault="009E4577">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Pr>
          <w:rFonts w:ascii="宋体" w:eastAsia="宋体" w:hAnsi="宋体" w:cs="Times New Roman" w:hint="eastAsia"/>
          <w:spacing w:val="8"/>
          <w:sz w:val="24"/>
          <w:szCs w:val="24"/>
        </w:rPr>
        <w:t>净认购金额＝认购金额/（1＋认购费率）</w:t>
      </w:r>
    </w:p>
    <w:p w14:paraId="79BF881A" w14:textId="77777777" w:rsidR="009D10D8" w:rsidRDefault="009E4577">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Pr>
          <w:rFonts w:ascii="宋体" w:eastAsia="宋体" w:hAnsi="宋体" w:cs="Times New Roman" w:hint="eastAsia"/>
          <w:spacing w:val="8"/>
          <w:sz w:val="24"/>
          <w:szCs w:val="24"/>
        </w:rPr>
        <w:t>认购费用＝认购金额－净认购金额</w:t>
      </w:r>
    </w:p>
    <w:p w14:paraId="43D5337F" w14:textId="77777777" w:rsidR="009D10D8" w:rsidRDefault="009E4577">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Pr>
          <w:rFonts w:ascii="宋体" w:eastAsia="宋体" w:hAnsi="宋体" w:cs="Times New Roman" w:hint="eastAsia"/>
          <w:spacing w:val="8"/>
          <w:sz w:val="24"/>
          <w:szCs w:val="24"/>
        </w:rPr>
        <w:t>认购份额＝（净认购金额＋认购期间利息）/基金份额发售面值</w:t>
      </w:r>
    </w:p>
    <w:p w14:paraId="65257842" w14:textId="77777777" w:rsidR="009D10D8" w:rsidRDefault="009E4577">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Pr>
          <w:rFonts w:ascii="宋体" w:eastAsia="宋体" w:hAnsi="宋体" w:cs="Times New Roman" w:hint="eastAsia"/>
          <w:spacing w:val="8"/>
          <w:sz w:val="24"/>
          <w:szCs w:val="24"/>
        </w:rPr>
        <w:t>（2）认购费用适用固定金额的情形下：</w:t>
      </w:r>
    </w:p>
    <w:p w14:paraId="6983761C" w14:textId="77777777" w:rsidR="009D10D8" w:rsidRDefault="009E4577">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Pr>
          <w:rFonts w:ascii="宋体" w:eastAsia="宋体" w:hAnsi="宋体" w:cs="Times New Roman" w:hint="eastAsia"/>
          <w:spacing w:val="8"/>
          <w:sz w:val="24"/>
          <w:szCs w:val="24"/>
        </w:rPr>
        <w:t>认购费用＝固定金额</w:t>
      </w:r>
    </w:p>
    <w:p w14:paraId="7356ECDB" w14:textId="77777777" w:rsidR="009D10D8" w:rsidRDefault="009E4577">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Pr>
          <w:rFonts w:ascii="宋体" w:eastAsia="宋体" w:hAnsi="宋体" w:cs="Times New Roman" w:hint="eastAsia"/>
          <w:spacing w:val="8"/>
          <w:sz w:val="24"/>
          <w:szCs w:val="24"/>
        </w:rPr>
        <w:t>净认购金额＝认购金额-认购费用</w:t>
      </w:r>
    </w:p>
    <w:p w14:paraId="68C981D8" w14:textId="77777777" w:rsidR="009D10D8" w:rsidRDefault="009E4577">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Pr>
          <w:rFonts w:ascii="宋体" w:eastAsia="宋体" w:hAnsi="宋体" w:cs="Times New Roman" w:hint="eastAsia"/>
          <w:spacing w:val="8"/>
          <w:sz w:val="24"/>
          <w:szCs w:val="24"/>
        </w:rPr>
        <w:t>认购份额＝（净认购金额＋认购期间利息）/基金份额发售面值</w:t>
      </w:r>
    </w:p>
    <w:p w14:paraId="15873814" w14:textId="77777777" w:rsidR="009D10D8" w:rsidRDefault="009E4577">
      <w:pPr>
        <w:autoSpaceDE w:val="0"/>
        <w:autoSpaceDN w:val="0"/>
        <w:adjustRightInd w:val="0"/>
        <w:snapToGrid w:val="0"/>
        <w:spacing w:line="360" w:lineRule="auto"/>
        <w:ind w:firstLineChars="200" w:firstLine="512"/>
        <w:rPr>
          <w:rFonts w:ascii="宋体" w:eastAsia="宋体" w:hAnsi="宋体" w:cs="Times New Roman"/>
          <w:spacing w:val="8"/>
          <w:sz w:val="24"/>
          <w:szCs w:val="24"/>
        </w:rPr>
      </w:pPr>
      <w:r>
        <w:rPr>
          <w:rFonts w:ascii="宋体" w:eastAsia="宋体" w:hAnsi="宋体" w:cs="Times New Roman" w:hint="eastAsia"/>
          <w:spacing w:val="8"/>
          <w:sz w:val="24"/>
          <w:szCs w:val="24"/>
        </w:rPr>
        <w:t>4、计算举例</w:t>
      </w:r>
    </w:p>
    <w:p w14:paraId="7F7F0D5C"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例1：某投资人投资30万元认购本基金A类基金份额，假设其认购资金的利息为30元，其对应的认购费率为</w:t>
      </w:r>
      <w:r>
        <w:rPr>
          <w:rFonts w:ascii="宋体" w:eastAsia="宋体" w:hAnsi="宋体" w:cs="Arial"/>
          <w:sz w:val="24"/>
          <w:szCs w:val="24"/>
        </w:rPr>
        <w:t>1.20</w:t>
      </w:r>
      <w:r>
        <w:rPr>
          <w:rFonts w:ascii="宋体" w:eastAsia="宋体" w:hAnsi="宋体" w:cs="Arial" w:hint="eastAsia"/>
          <w:sz w:val="24"/>
          <w:szCs w:val="24"/>
        </w:rPr>
        <w:t>%，则其可得到的认购份额为：</w:t>
      </w:r>
    </w:p>
    <w:p w14:paraId="4830882B"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净认购金额＝</w:t>
      </w:r>
      <w:r>
        <w:rPr>
          <w:rFonts w:ascii="宋体" w:eastAsia="宋体" w:hAnsi="宋体" w:cs="Arial" w:hint="eastAsia"/>
          <w:bCs/>
          <w:sz w:val="24"/>
          <w:szCs w:val="24"/>
        </w:rPr>
        <w:t>300,000.00/</w:t>
      </w:r>
      <w:r>
        <w:rPr>
          <w:rFonts w:ascii="宋体" w:eastAsia="宋体" w:hAnsi="宋体" w:cs="Arial" w:hint="eastAsia"/>
          <w:sz w:val="24"/>
          <w:szCs w:val="24"/>
        </w:rPr>
        <w:t>（</w:t>
      </w:r>
      <w:r>
        <w:rPr>
          <w:rFonts w:ascii="宋体" w:eastAsia="宋体" w:hAnsi="宋体" w:cs="Arial" w:hint="eastAsia"/>
          <w:bCs/>
          <w:sz w:val="24"/>
          <w:szCs w:val="24"/>
        </w:rPr>
        <w:t>1+</w:t>
      </w:r>
      <w:r>
        <w:rPr>
          <w:rFonts w:ascii="宋体" w:eastAsia="宋体" w:hAnsi="宋体" w:cs="Arial"/>
          <w:bCs/>
          <w:sz w:val="24"/>
          <w:szCs w:val="24"/>
        </w:rPr>
        <w:t>1.20</w:t>
      </w:r>
      <w:r>
        <w:rPr>
          <w:rFonts w:ascii="宋体" w:eastAsia="宋体" w:hAnsi="宋体" w:cs="Arial" w:hint="eastAsia"/>
          <w:bCs/>
          <w:sz w:val="24"/>
          <w:szCs w:val="24"/>
        </w:rPr>
        <w:t>%</w:t>
      </w:r>
      <w:r>
        <w:rPr>
          <w:rFonts w:ascii="宋体" w:eastAsia="宋体" w:hAnsi="宋体" w:cs="Arial" w:hint="eastAsia"/>
          <w:sz w:val="24"/>
          <w:szCs w:val="24"/>
        </w:rPr>
        <w:t>）＝29</w:t>
      </w:r>
      <w:r>
        <w:rPr>
          <w:rFonts w:ascii="宋体" w:eastAsia="宋体" w:hAnsi="宋体" w:cs="Arial"/>
          <w:sz w:val="24"/>
          <w:szCs w:val="24"/>
        </w:rPr>
        <w:t>6</w:t>
      </w:r>
      <w:r>
        <w:rPr>
          <w:rFonts w:ascii="宋体" w:eastAsia="宋体" w:hAnsi="宋体" w:cs="Arial" w:hint="eastAsia"/>
          <w:sz w:val="24"/>
          <w:szCs w:val="24"/>
        </w:rPr>
        <w:t>,</w:t>
      </w:r>
      <w:r>
        <w:rPr>
          <w:rFonts w:ascii="宋体" w:eastAsia="宋体" w:hAnsi="宋体" w:cs="Arial"/>
          <w:sz w:val="24"/>
          <w:szCs w:val="24"/>
        </w:rPr>
        <w:t>442</w:t>
      </w:r>
      <w:r>
        <w:rPr>
          <w:rFonts w:ascii="宋体" w:eastAsia="宋体" w:hAnsi="宋体" w:cs="Arial" w:hint="eastAsia"/>
          <w:sz w:val="24"/>
          <w:szCs w:val="24"/>
        </w:rPr>
        <w:t>.</w:t>
      </w:r>
      <w:r>
        <w:rPr>
          <w:rFonts w:ascii="宋体" w:eastAsia="宋体" w:hAnsi="宋体" w:cs="Arial"/>
          <w:sz w:val="24"/>
          <w:szCs w:val="24"/>
        </w:rPr>
        <w:t>69</w:t>
      </w:r>
      <w:r>
        <w:rPr>
          <w:rFonts w:ascii="宋体" w:eastAsia="宋体" w:hAnsi="宋体" w:cs="Arial" w:hint="eastAsia"/>
          <w:sz w:val="24"/>
          <w:szCs w:val="24"/>
        </w:rPr>
        <w:t>元</w:t>
      </w:r>
    </w:p>
    <w:p w14:paraId="08E4BC4E"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认购费用＝</w:t>
      </w:r>
      <w:r>
        <w:rPr>
          <w:rFonts w:ascii="宋体" w:eastAsia="宋体" w:hAnsi="宋体" w:cs="Arial" w:hint="eastAsia"/>
          <w:bCs/>
          <w:sz w:val="24"/>
          <w:szCs w:val="24"/>
        </w:rPr>
        <w:t>300,000.00</w:t>
      </w:r>
      <w:r>
        <w:rPr>
          <w:rFonts w:ascii="宋体" w:eastAsia="宋体" w:hAnsi="宋体" w:cs="Arial" w:hint="eastAsia"/>
          <w:sz w:val="24"/>
          <w:szCs w:val="24"/>
        </w:rPr>
        <w:t>－29</w:t>
      </w:r>
      <w:r>
        <w:rPr>
          <w:rFonts w:ascii="宋体" w:eastAsia="宋体" w:hAnsi="宋体" w:cs="Arial"/>
          <w:sz w:val="24"/>
          <w:szCs w:val="24"/>
        </w:rPr>
        <w:t>6</w:t>
      </w:r>
      <w:r>
        <w:rPr>
          <w:rFonts w:ascii="宋体" w:eastAsia="宋体" w:hAnsi="宋体" w:cs="Arial" w:hint="eastAsia"/>
          <w:sz w:val="24"/>
          <w:szCs w:val="24"/>
        </w:rPr>
        <w:t>,</w:t>
      </w:r>
      <w:r>
        <w:rPr>
          <w:rFonts w:ascii="宋体" w:eastAsia="宋体" w:hAnsi="宋体" w:cs="Arial"/>
          <w:sz w:val="24"/>
          <w:szCs w:val="24"/>
        </w:rPr>
        <w:t>442</w:t>
      </w:r>
      <w:r>
        <w:rPr>
          <w:rFonts w:ascii="宋体" w:eastAsia="宋体" w:hAnsi="宋体" w:cs="Arial" w:hint="eastAsia"/>
          <w:sz w:val="24"/>
          <w:szCs w:val="24"/>
        </w:rPr>
        <w:t>.</w:t>
      </w:r>
      <w:r>
        <w:rPr>
          <w:rFonts w:ascii="宋体" w:eastAsia="宋体" w:hAnsi="宋体" w:cs="Arial"/>
          <w:sz w:val="24"/>
          <w:szCs w:val="24"/>
        </w:rPr>
        <w:t>69</w:t>
      </w:r>
      <w:r>
        <w:rPr>
          <w:rFonts w:ascii="宋体" w:eastAsia="宋体" w:hAnsi="宋体" w:cs="Arial" w:hint="eastAsia"/>
          <w:sz w:val="24"/>
          <w:szCs w:val="24"/>
        </w:rPr>
        <w:t>＝</w:t>
      </w:r>
      <w:r>
        <w:rPr>
          <w:rFonts w:ascii="宋体" w:eastAsia="宋体" w:hAnsi="宋体" w:cs="Arial" w:hint="eastAsia"/>
          <w:bCs/>
          <w:sz w:val="24"/>
          <w:szCs w:val="24"/>
        </w:rPr>
        <w:t>3</w:t>
      </w:r>
      <w:r>
        <w:rPr>
          <w:rFonts w:ascii="宋体" w:eastAsia="宋体" w:hAnsi="宋体" w:cs="Arial" w:hint="eastAsia"/>
          <w:sz w:val="24"/>
          <w:szCs w:val="24"/>
        </w:rPr>
        <w:t>,</w:t>
      </w:r>
      <w:r>
        <w:rPr>
          <w:rFonts w:ascii="宋体" w:eastAsia="宋体" w:hAnsi="宋体" w:cs="Arial"/>
          <w:sz w:val="24"/>
          <w:szCs w:val="24"/>
        </w:rPr>
        <w:t>557</w:t>
      </w:r>
      <w:r>
        <w:rPr>
          <w:rFonts w:ascii="宋体" w:eastAsia="宋体" w:hAnsi="宋体" w:cs="Arial" w:hint="eastAsia"/>
          <w:sz w:val="24"/>
          <w:szCs w:val="24"/>
        </w:rPr>
        <w:t>.</w:t>
      </w:r>
      <w:r>
        <w:rPr>
          <w:rFonts w:ascii="宋体" w:eastAsia="宋体" w:hAnsi="宋体" w:cs="Arial"/>
          <w:sz w:val="24"/>
          <w:szCs w:val="24"/>
        </w:rPr>
        <w:t>31</w:t>
      </w:r>
      <w:r>
        <w:rPr>
          <w:rFonts w:ascii="宋体" w:eastAsia="宋体" w:hAnsi="宋体" w:cs="Arial" w:hint="eastAsia"/>
          <w:sz w:val="24"/>
          <w:szCs w:val="24"/>
        </w:rPr>
        <w:t>元</w:t>
      </w:r>
    </w:p>
    <w:p w14:paraId="4A18B847"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认购份额＝（29</w:t>
      </w:r>
      <w:r>
        <w:rPr>
          <w:rFonts w:ascii="宋体" w:eastAsia="宋体" w:hAnsi="宋体" w:cs="Arial"/>
          <w:sz w:val="24"/>
          <w:szCs w:val="24"/>
        </w:rPr>
        <w:t>6</w:t>
      </w:r>
      <w:r>
        <w:rPr>
          <w:rFonts w:ascii="宋体" w:eastAsia="宋体" w:hAnsi="宋体" w:cs="Arial" w:hint="eastAsia"/>
          <w:sz w:val="24"/>
          <w:szCs w:val="24"/>
        </w:rPr>
        <w:t>,</w:t>
      </w:r>
      <w:r>
        <w:rPr>
          <w:rFonts w:ascii="宋体" w:eastAsia="宋体" w:hAnsi="宋体" w:cs="Arial"/>
          <w:sz w:val="24"/>
          <w:szCs w:val="24"/>
        </w:rPr>
        <w:t>442</w:t>
      </w:r>
      <w:r>
        <w:rPr>
          <w:rFonts w:ascii="宋体" w:eastAsia="宋体" w:hAnsi="宋体" w:cs="Arial" w:hint="eastAsia"/>
          <w:sz w:val="24"/>
          <w:szCs w:val="24"/>
        </w:rPr>
        <w:t>.</w:t>
      </w:r>
      <w:r>
        <w:rPr>
          <w:rFonts w:ascii="宋体" w:eastAsia="宋体" w:hAnsi="宋体" w:cs="Arial"/>
          <w:sz w:val="24"/>
          <w:szCs w:val="24"/>
        </w:rPr>
        <w:t>69</w:t>
      </w:r>
      <w:r>
        <w:rPr>
          <w:rFonts w:ascii="宋体" w:eastAsia="宋体" w:hAnsi="宋体" w:cs="Arial" w:hint="eastAsia"/>
          <w:bCs/>
          <w:sz w:val="24"/>
          <w:szCs w:val="24"/>
        </w:rPr>
        <w:t>+30）</w:t>
      </w:r>
      <w:r>
        <w:rPr>
          <w:rFonts w:ascii="宋体" w:eastAsia="宋体" w:hAnsi="宋体" w:cs="Arial" w:hint="eastAsia"/>
          <w:sz w:val="24"/>
          <w:szCs w:val="24"/>
        </w:rPr>
        <w:t>/</w:t>
      </w:r>
      <w:r>
        <w:rPr>
          <w:rFonts w:ascii="宋体" w:eastAsia="宋体" w:hAnsi="宋体" w:cs="Arial" w:hint="eastAsia"/>
          <w:bCs/>
          <w:sz w:val="24"/>
          <w:szCs w:val="24"/>
        </w:rPr>
        <w:t>1.00</w:t>
      </w:r>
      <w:r>
        <w:rPr>
          <w:rFonts w:ascii="宋体" w:eastAsia="宋体" w:hAnsi="宋体" w:cs="Arial" w:hint="eastAsia"/>
          <w:sz w:val="24"/>
          <w:szCs w:val="24"/>
        </w:rPr>
        <w:t>＝29</w:t>
      </w:r>
      <w:r>
        <w:rPr>
          <w:rFonts w:ascii="宋体" w:eastAsia="宋体" w:hAnsi="宋体" w:cs="Arial"/>
          <w:sz w:val="24"/>
          <w:szCs w:val="24"/>
        </w:rPr>
        <w:t>6</w:t>
      </w:r>
      <w:r>
        <w:rPr>
          <w:rFonts w:ascii="宋体" w:eastAsia="宋体" w:hAnsi="宋体" w:cs="Arial" w:hint="eastAsia"/>
          <w:sz w:val="24"/>
          <w:szCs w:val="24"/>
        </w:rPr>
        <w:t>,</w:t>
      </w:r>
      <w:r>
        <w:rPr>
          <w:rFonts w:ascii="宋体" w:eastAsia="宋体" w:hAnsi="宋体" w:cs="Arial"/>
          <w:sz w:val="24"/>
          <w:szCs w:val="24"/>
        </w:rPr>
        <w:t>472</w:t>
      </w:r>
      <w:r>
        <w:rPr>
          <w:rFonts w:ascii="宋体" w:eastAsia="宋体" w:hAnsi="宋体" w:cs="Arial" w:hint="eastAsia"/>
          <w:sz w:val="24"/>
          <w:szCs w:val="24"/>
        </w:rPr>
        <w:t>.</w:t>
      </w:r>
      <w:r>
        <w:rPr>
          <w:rFonts w:ascii="宋体" w:eastAsia="宋体" w:hAnsi="宋体" w:cs="Arial"/>
          <w:sz w:val="24"/>
          <w:szCs w:val="24"/>
        </w:rPr>
        <w:t>69</w:t>
      </w:r>
      <w:r>
        <w:rPr>
          <w:rFonts w:ascii="宋体" w:eastAsia="宋体" w:hAnsi="宋体" w:cs="Arial" w:hint="eastAsia"/>
          <w:sz w:val="24"/>
          <w:szCs w:val="24"/>
        </w:rPr>
        <w:t>份</w:t>
      </w:r>
    </w:p>
    <w:p w14:paraId="3162619F"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即：投资人投资30万元认购本基金A类基金份额，假设其认购资金的利息为30元，则其可得到29</w:t>
      </w:r>
      <w:r>
        <w:rPr>
          <w:rFonts w:ascii="宋体" w:eastAsia="宋体" w:hAnsi="宋体" w:cs="Arial"/>
          <w:sz w:val="24"/>
          <w:szCs w:val="24"/>
        </w:rPr>
        <w:t>6</w:t>
      </w:r>
      <w:r>
        <w:rPr>
          <w:rFonts w:ascii="宋体" w:eastAsia="宋体" w:hAnsi="宋体" w:cs="Arial" w:hint="eastAsia"/>
          <w:sz w:val="24"/>
          <w:szCs w:val="24"/>
        </w:rPr>
        <w:t>,</w:t>
      </w:r>
      <w:r>
        <w:rPr>
          <w:rFonts w:ascii="宋体" w:eastAsia="宋体" w:hAnsi="宋体" w:cs="Arial"/>
          <w:sz w:val="24"/>
          <w:szCs w:val="24"/>
        </w:rPr>
        <w:t>472</w:t>
      </w:r>
      <w:r>
        <w:rPr>
          <w:rFonts w:ascii="宋体" w:eastAsia="宋体" w:hAnsi="宋体" w:cs="Arial" w:hint="eastAsia"/>
          <w:sz w:val="24"/>
          <w:szCs w:val="24"/>
        </w:rPr>
        <w:t>.</w:t>
      </w:r>
      <w:r>
        <w:rPr>
          <w:rFonts w:ascii="宋体" w:eastAsia="宋体" w:hAnsi="宋体" w:cs="Arial"/>
          <w:sz w:val="24"/>
          <w:szCs w:val="24"/>
        </w:rPr>
        <w:t>69</w:t>
      </w:r>
      <w:r>
        <w:rPr>
          <w:rFonts w:ascii="宋体" w:eastAsia="宋体" w:hAnsi="宋体" w:cs="Arial" w:hint="eastAsia"/>
          <w:sz w:val="24"/>
          <w:szCs w:val="24"/>
        </w:rPr>
        <w:t>份A类基金份额。</w:t>
      </w:r>
    </w:p>
    <w:p w14:paraId="2647E4D5" w14:textId="77777777" w:rsidR="009D10D8" w:rsidRDefault="009E4577">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例2：某投资人投资550万元认购本基金A类基金份额，假设其认购资金的利息为550元，其对应的认购费用为1000元，则其可得到的认购份额为：</w:t>
      </w:r>
    </w:p>
    <w:p w14:paraId="2F229194" w14:textId="77777777" w:rsidR="009D10D8" w:rsidRDefault="009E4577">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认购费用＝1000.00元</w:t>
      </w:r>
    </w:p>
    <w:p w14:paraId="5C379835" w14:textId="77777777" w:rsidR="009D10D8" w:rsidRDefault="009E4577">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净认购金额＝5,500,000.00－1000.00＝5,499,000.00元</w:t>
      </w:r>
    </w:p>
    <w:p w14:paraId="5BD700FE" w14:textId="77777777" w:rsidR="009D10D8" w:rsidRDefault="009E4577">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认购份额＝（5,499,000.00+550.00）/1.00＝5,499,550.00份</w:t>
      </w:r>
    </w:p>
    <w:p w14:paraId="624E0503" w14:textId="77777777" w:rsidR="009D10D8" w:rsidRDefault="009E4577">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即：投资人投资550万元认购本基金A类基金份额，假设其认购资金的利息为550元，则其可得到5,499,550.00份A类基金份额。</w:t>
      </w:r>
    </w:p>
    <w:p w14:paraId="66231DC7"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5、募集期利息的处理方式</w:t>
      </w:r>
    </w:p>
    <w:p w14:paraId="6C3A4564" w14:textId="77777777" w:rsidR="009D10D8" w:rsidRDefault="009E4577">
      <w:pPr>
        <w:adjustRightInd w:val="0"/>
        <w:snapToGrid w:val="0"/>
        <w:spacing w:line="360" w:lineRule="auto"/>
        <w:ind w:firstLineChars="200" w:firstLine="480"/>
        <w:rPr>
          <w:rFonts w:ascii="宋体" w:eastAsia="宋体" w:hAnsi="宋体" w:cs="Arial"/>
          <w:color w:val="000000"/>
          <w:kern w:val="0"/>
          <w:sz w:val="24"/>
          <w:szCs w:val="24"/>
          <w:lang w:val="zh-CN"/>
        </w:rPr>
      </w:pPr>
      <w:r>
        <w:rPr>
          <w:rFonts w:ascii="宋体" w:eastAsia="宋体" w:hAnsi="宋体" w:cs="Arial" w:hint="eastAsia"/>
          <w:color w:val="000000"/>
          <w:kern w:val="0"/>
          <w:sz w:val="24"/>
          <w:szCs w:val="24"/>
          <w:lang w:val="zh-CN"/>
        </w:rPr>
        <w:t>有效认购款项在募集期间产生的利息将折算为基金份额归基金份额持有人所有，其中利息转份额以登记机构的记录为准。</w:t>
      </w:r>
    </w:p>
    <w:p w14:paraId="1284EEF6" w14:textId="77777777" w:rsidR="009D10D8" w:rsidRDefault="009E4577">
      <w:pPr>
        <w:adjustRightInd w:val="0"/>
        <w:snapToGrid w:val="0"/>
        <w:spacing w:line="360" w:lineRule="auto"/>
        <w:ind w:firstLineChars="200" w:firstLine="480"/>
        <w:rPr>
          <w:rFonts w:ascii="宋体" w:eastAsia="宋体" w:hAnsi="宋体" w:cs="Arial"/>
          <w:bCs/>
          <w:color w:val="000000"/>
          <w:kern w:val="0"/>
          <w:sz w:val="24"/>
          <w:szCs w:val="24"/>
          <w:lang w:val="zh-CN"/>
        </w:rPr>
      </w:pPr>
      <w:r>
        <w:rPr>
          <w:rFonts w:ascii="宋体" w:eastAsia="宋体" w:hAnsi="宋体" w:cs="Arial" w:hint="eastAsia"/>
          <w:bCs/>
          <w:color w:val="000000"/>
          <w:kern w:val="0"/>
          <w:sz w:val="24"/>
          <w:szCs w:val="24"/>
          <w:lang w:val="zh-CN"/>
        </w:rPr>
        <w:t>6、认购份额余额的处理方式</w:t>
      </w:r>
    </w:p>
    <w:p w14:paraId="10D020EC" w14:textId="77777777" w:rsidR="009D10D8" w:rsidRDefault="009E4577">
      <w:pPr>
        <w:adjustRightInd w:val="0"/>
        <w:snapToGrid w:val="0"/>
        <w:spacing w:line="360" w:lineRule="auto"/>
        <w:ind w:firstLineChars="200" w:firstLine="480"/>
        <w:rPr>
          <w:rFonts w:ascii="宋体" w:eastAsia="宋体" w:hAnsi="宋体" w:cs="Arial"/>
          <w:bCs/>
          <w:color w:val="000000"/>
          <w:kern w:val="0"/>
          <w:sz w:val="24"/>
          <w:szCs w:val="24"/>
          <w:lang w:val="zh-CN"/>
        </w:rPr>
      </w:pPr>
      <w:r>
        <w:rPr>
          <w:rFonts w:ascii="宋体" w:eastAsia="宋体" w:hAnsi="宋体" w:cs="Arial" w:hint="eastAsia"/>
          <w:color w:val="000000"/>
          <w:kern w:val="0"/>
          <w:sz w:val="24"/>
          <w:szCs w:val="24"/>
          <w:lang w:val="zh-CN"/>
        </w:rPr>
        <w:t>认购份额的计算保留到小数点后两位，小数点两位以后的部分四舍五入，由此误差产生的收益或损失由基金财产承担。</w:t>
      </w:r>
    </w:p>
    <w:p w14:paraId="1B8BB123" w14:textId="77777777" w:rsidR="009D10D8" w:rsidRDefault="009E4577">
      <w:pPr>
        <w:adjustRightInd w:val="0"/>
        <w:snapToGrid w:val="0"/>
        <w:spacing w:line="360" w:lineRule="auto"/>
        <w:ind w:firstLineChars="200" w:firstLine="482"/>
        <w:rPr>
          <w:rFonts w:ascii="宋体" w:eastAsia="宋体" w:hAnsi="宋体" w:cs="Arial"/>
          <w:color w:val="000000"/>
          <w:sz w:val="24"/>
          <w:szCs w:val="24"/>
        </w:rPr>
      </w:pPr>
      <w:r>
        <w:rPr>
          <w:rFonts w:ascii="宋体" w:eastAsia="宋体" w:hAnsi="宋体" w:cs="Arial" w:hint="eastAsia"/>
          <w:b/>
          <w:bCs/>
          <w:color w:val="000000"/>
          <w:sz w:val="24"/>
          <w:szCs w:val="24"/>
        </w:rPr>
        <w:t>九、投资者对基金份额的认购</w:t>
      </w:r>
    </w:p>
    <w:p w14:paraId="5917566B"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lastRenderedPageBreak/>
        <w:t>1、本基金的认购时间安排、投资者认购应提交的文件和办理的手续届时将依据有关规定进行公告。</w:t>
      </w:r>
    </w:p>
    <w:p w14:paraId="6F5B2461"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2、认购方式</w:t>
      </w:r>
    </w:p>
    <w:p w14:paraId="168F9174"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本基金认购采取金额认购的方式。</w:t>
      </w:r>
    </w:p>
    <w:p w14:paraId="1CCBDE7E"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（1）投资者认购时，需按销售机构规定的方式全额缴款。</w:t>
      </w:r>
    </w:p>
    <w:p w14:paraId="542348F6"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（2）募集期内，投资者可多次认购基金份额，但已受理的认购申请不允许撤销。认购费用按照单笔认购金额分别计算。</w:t>
      </w:r>
    </w:p>
    <w:p w14:paraId="68B2E041" w14:textId="77777777" w:rsidR="009D10D8" w:rsidRDefault="009E4577">
      <w:pPr>
        <w:adjustRightInd w:val="0"/>
        <w:snapToGrid w:val="0"/>
        <w:spacing w:line="360" w:lineRule="auto"/>
        <w:ind w:firstLineChars="200" w:firstLine="480"/>
        <w:rPr>
          <w:rFonts w:ascii="宋体" w:eastAsia="宋体" w:hAnsi="宋体" w:cs="Times New Roman"/>
          <w:sz w:val="24"/>
          <w:szCs w:val="24"/>
        </w:rPr>
      </w:pPr>
      <w:r>
        <w:rPr>
          <w:rFonts w:ascii="宋体" w:eastAsia="宋体" w:hAnsi="宋体" w:cs="Arial" w:hint="eastAsia"/>
          <w:sz w:val="24"/>
          <w:szCs w:val="24"/>
        </w:rPr>
        <w:t>3、认购确认</w:t>
      </w:r>
    </w:p>
    <w:p w14:paraId="3152041E" w14:textId="77777777" w:rsidR="009D10D8" w:rsidRDefault="009E4577">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销售机构对认购申请的受理并不代表申请一定成功，而仅代表销售机构确实接收到认购申请。认购的确认以基金份额登记机构的确认结果为准。对于认购申请及认购份额的确认情况，投资人应及时查询并妥善行使合法权利，否则，由此产生的投资人任何损失由投资人自行承担。</w:t>
      </w:r>
    </w:p>
    <w:p w14:paraId="3274B8F5" w14:textId="77777777" w:rsidR="009D10D8" w:rsidRDefault="009E4577">
      <w:pPr>
        <w:adjustRightInd w:val="0"/>
        <w:snapToGrid w:val="0"/>
        <w:spacing w:line="360" w:lineRule="auto"/>
        <w:ind w:firstLineChars="200" w:firstLine="480"/>
        <w:rPr>
          <w:rFonts w:ascii="宋体" w:eastAsia="宋体" w:hAnsi="宋体" w:cs="Arial"/>
          <w:color w:val="000000"/>
          <w:sz w:val="24"/>
          <w:szCs w:val="24"/>
        </w:rPr>
      </w:pPr>
      <w:r>
        <w:rPr>
          <w:rFonts w:ascii="宋体" w:eastAsia="宋体" w:hAnsi="宋体" w:cs="Arial" w:hint="eastAsia"/>
          <w:color w:val="000000"/>
          <w:sz w:val="24"/>
          <w:szCs w:val="24"/>
        </w:rPr>
        <w:t>4、认购限制</w:t>
      </w:r>
    </w:p>
    <w:p w14:paraId="42E86279" w14:textId="4678FF61" w:rsidR="009D10D8" w:rsidRDefault="009E4577">
      <w:pPr>
        <w:tabs>
          <w:tab w:val="left" w:pos="1134"/>
        </w:tabs>
        <w:adjustRightInd w:val="0"/>
        <w:snapToGrid w:val="0"/>
        <w:spacing w:line="360" w:lineRule="auto"/>
        <w:ind w:firstLineChars="200" w:firstLine="480"/>
        <w:rPr>
          <w:rFonts w:ascii="宋体" w:eastAsia="宋体" w:hAnsi="宋体" w:cs="Arial"/>
          <w:color w:val="000000"/>
          <w:sz w:val="24"/>
          <w:szCs w:val="24"/>
        </w:rPr>
      </w:pPr>
      <w:r>
        <w:rPr>
          <w:rFonts w:ascii="宋体" w:eastAsia="宋体" w:hAnsi="宋体" w:cs="Arial" w:hint="eastAsia"/>
          <w:color w:val="000000"/>
          <w:sz w:val="24"/>
          <w:szCs w:val="24"/>
        </w:rPr>
        <w:t>首次认购最低金额不低于1.00元，追加认购每笔最低金额为1.00元，详情请见当地销售机构公告。募集期间的单个投资人的累计认购金额不受限制，但法律法规或监管机构另有规定或基金合同另有约定的除外。</w:t>
      </w:r>
    </w:p>
    <w:p w14:paraId="2AEA0268" w14:textId="6907536D" w:rsidR="00071C0B" w:rsidRDefault="00071C0B">
      <w:pPr>
        <w:tabs>
          <w:tab w:val="left" w:pos="1134"/>
        </w:tabs>
        <w:adjustRightInd w:val="0"/>
        <w:snapToGrid w:val="0"/>
        <w:spacing w:line="360" w:lineRule="auto"/>
        <w:ind w:firstLineChars="200" w:firstLine="480"/>
        <w:rPr>
          <w:rFonts w:ascii="宋体" w:eastAsia="宋体" w:hAnsi="宋体" w:cs="Arial"/>
          <w:color w:val="000000"/>
          <w:sz w:val="24"/>
          <w:szCs w:val="24"/>
        </w:rPr>
      </w:pPr>
      <w:r w:rsidRPr="00071C0B">
        <w:rPr>
          <w:rFonts w:ascii="宋体" w:eastAsia="宋体" w:hAnsi="宋体" w:cs="Arial" w:hint="eastAsia"/>
          <w:color w:val="000000"/>
          <w:sz w:val="24"/>
          <w:szCs w:val="24"/>
        </w:rPr>
        <w:t>如本基金单个投资人累计认购的基金份额数达到或者超过基金总份额的50%，基金管理人可以采取比例确认等方式对该投资人的认购申请进行限制。基金管理人接受某笔或者某些认购申请有可能导致投资者变相规避前述50%比例要求的，基金管理人有权拒绝该等全部或者部分认购申请。投资人认购的基金份额数以基金合同生效后登记机构的确认为准。</w:t>
      </w:r>
    </w:p>
    <w:p w14:paraId="6816A322" w14:textId="77777777" w:rsidR="009D10D8" w:rsidRDefault="009E4577">
      <w:pPr>
        <w:snapToGrid w:val="0"/>
        <w:spacing w:line="360" w:lineRule="auto"/>
        <w:ind w:firstLineChars="200" w:firstLine="482"/>
        <w:rPr>
          <w:rFonts w:ascii="宋体" w:eastAsia="宋体" w:hAnsi="宋体" w:cs="Arial"/>
          <w:b/>
          <w:sz w:val="24"/>
          <w:szCs w:val="24"/>
        </w:rPr>
      </w:pPr>
      <w:r>
        <w:rPr>
          <w:rFonts w:ascii="宋体" w:eastAsia="宋体" w:hAnsi="宋体" w:cs="Arial" w:hint="eastAsia"/>
          <w:b/>
          <w:bCs/>
          <w:color w:val="000000"/>
          <w:kern w:val="0"/>
          <w:sz w:val="24"/>
          <w:szCs w:val="24"/>
        </w:rPr>
        <w:t>十、基金募集期间募集的资金存入专门账户，在基金募集行为结束前，任何人不得动用。</w:t>
      </w:r>
    </w:p>
    <w:p w14:paraId="0C5F6DEE" w14:textId="77777777" w:rsidR="009D10D8" w:rsidRDefault="009D10D8">
      <w:pPr>
        <w:keepNext/>
        <w:keepLines/>
        <w:spacing w:line="360" w:lineRule="auto"/>
        <w:jc w:val="center"/>
        <w:outlineLvl w:val="0"/>
        <w:rPr>
          <w:rFonts w:ascii="Times New Roman" w:eastAsia="宋体" w:hAnsi="Times New Roman" w:cs="Times New Roman"/>
          <w:b/>
          <w:kern w:val="0"/>
          <w:sz w:val="24"/>
          <w:szCs w:val="24"/>
        </w:rPr>
        <w:sectPr w:rsidR="009D10D8">
          <w:footerReference w:type="default" r:id="rId14"/>
          <w:pgSz w:w="11906" w:h="16838"/>
          <w:pgMar w:top="1440" w:right="1800" w:bottom="1440" w:left="1800" w:header="851" w:footer="992" w:gutter="0"/>
          <w:pgNumType w:chapStyle="1"/>
          <w:cols w:space="720"/>
          <w:docGrid w:type="lines" w:linePitch="312"/>
        </w:sectPr>
      </w:pPr>
    </w:p>
    <w:p w14:paraId="4408F836" w14:textId="77777777" w:rsidR="009D10D8" w:rsidRDefault="009E4577">
      <w:pPr>
        <w:pStyle w:val="1"/>
        <w:jc w:val="center"/>
        <w:rPr>
          <w:sz w:val="30"/>
          <w:szCs w:val="30"/>
        </w:rPr>
      </w:pPr>
      <w:bookmarkStart w:id="157" w:name="_Toc68783435"/>
      <w:r>
        <w:rPr>
          <w:rFonts w:hint="eastAsia"/>
          <w:sz w:val="30"/>
          <w:szCs w:val="30"/>
        </w:rPr>
        <w:lastRenderedPageBreak/>
        <w:t>第七部分</w:t>
      </w:r>
      <w:r>
        <w:rPr>
          <w:sz w:val="30"/>
          <w:szCs w:val="30"/>
        </w:rPr>
        <w:t xml:space="preserve">  </w:t>
      </w:r>
      <w:r>
        <w:rPr>
          <w:rFonts w:hint="eastAsia"/>
          <w:sz w:val="30"/>
          <w:szCs w:val="30"/>
        </w:rPr>
        <w:t>基金</w:t>
      </w:r>
      <w:bookmarkEnd w:id="135"/>
      <w:bookmarkEnd w:id="136"/>
      <w:r>
        <w:rPr>
          <w:rFonts w:hint="eastAsia"/>
          <w:sz w:val="30"/>
          <w:szCs w:val="30"/>
        </w:rPr>
        <w:t>备案</w:t>
      </w:r>
      <w:bookmarkEnd w:id="137"/>
      <w:bookmarkEnd w:id="157"/>
    </w:p>
    <w:p w14:paraId="272704AA" w14:textId="77777777" w:rsidR="009D10D8" w:rsidRDefault="009E4577">
      <w:pPr>
        <w:spacing w:line="360" w:lineRule="auto"/>
        <w:ind w:firstLineChars="200" w:firstLine="482"/>
        <w:rPr>
          <w:rFonts w:ascii="宋体" w:eastAsia="宋体" w:hAnsi="宋体" w:cs="Times New Roman"/>
          <w:b/>
          <w:sz w:val="24"/>
          <w:szCs w:val="21"/>
        </w:rPr>
      </w:pPr>
      <w:r>
        <w:rPr>
          <w:rFonts w:ascii="宋体" w:eastAsia="宋体" w:hAnsi="宋体" w:cs="Times New Roman" w:hint="eastAsia"/>
          <w:b/>
          <w:sz w:val="24"/>
          <w:szCs w:val="21"/>
        </w:rPr>
        <w:t>一、基金备案的条件</w:t>
      </w:r>
    </w:p>
    <w:p w14:paraId="1EEAA774" w14:textId="77777777" w:rsidR="009D10D8" w:rsidRDefault="009E4577">
      <w:pPr>
        <w:spacing w:line="360" w:lineRule="auto"/>
        <w:ind w:firstLineChars="200" w:firstLine="480"/>
        <w:rPr>
          <w:rFonts w:ascii="宋体" w:eastAsia="宋体" w:hAnsi="宋体" w:cs="Times New Roman"/>
          <w:bCs/>
          <w:sz w:val="24"/>
          <w:szCs w:val="21"/>
        </w:rPr>
      </w:pPr>
      <w:r>
        <w:rPr>
          <w:rFonts w:ascii="宋体" w:eastAsia="宋体" w:hAnsi="宋体" w:cs="Times New Roman" w:hint="eastAsia"/>
          <w:bCs/>
          <w:sz w:val="24"/>
          <w:szCs w:val="21"/>
        </w:rPr>
        <w:t>本基金自基金份额发售之日起 3个月内，在基金募集份额总额不少于2亿份，基金募集金额不少于 2亿元人民币且基金认购人数不少于 200人的条件下，基金募集期届满或基金管理人依据法律法规及招募说明书可以决定停止基金发售，并在10日内聘请法定验资机构验资，自收到验资报告之日起 10日内，向中国证监会办理基金备案手续。</w:t>
      </w:r>
    </w:p>
    <w:p w14:paraId="2B26E1BC" w14:textId="77777777" w:rsidR="009D10D8" w:rsidRDefault="009E4577">
      <w:pPr>
        <w:spacing w:line="360" w:lineRule="auto"/>
        <w:ind w:firstLineChars="200" w:firstLine="480"/>
        <w:jc w:val="left"/>
        <w:rPr>
          <w:rFonts w:ascii="宋体" w:eastAsia="宋体" w:hAnsi="宋体" w:cs="Times New Roman"/>
          <w:bCs/>
          <w:sz w:val="24"/>
          <w:szCs w:val="21"/>
        </w:rPr>
      </w:pPr>
      <w:r>
        <w:rPr>
          <w:rFonts w:ascii="宋体" w:eastAsia="宋体" w:hAnsi="宋体" w:cs="Times New Roman" w:hint="eastAsia"/>
          <w:bCs/>
          <w:sz w:val="24"/>
          <w:szCs w:val="21"/>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0DAEC5E9" w14:textId="77777777" w:rsidR="009D10D8" w:rsidRDefault="009E4577">
      <w:pPr>
        <w:spacing w:line="360" w:lineRule="auto"/>
        <w:ind w:firstLineChars="200" w:firstLine="482"/>
        <w:rPr>
          <w:rFonts w:ascii="宋体" w:eastAsia="宋体" w:hAnsi="宋体" w:cs="Times New Roman"/>
          <w:b/>
          <w:sz w:val="24"/>
          <w:szCs w:val="21"/>
        </w:rPr>
      </w:pPr>
      <w:r>
        <w:rPr>
          <w:rFonts w:ascii="宋体" w:eastAsia="宋体" w:hAnsi="宋体" w:cs="Times New Roman" w:hint="eastAsia"/>
          <w:b/>
          <w:sz w:val="24"/>
          <w:szCs w:val="21"/>
        </w:rPr>
        <w:t>二、基金合同不能生效时募集资金的处理方式</w:t>
      </w:r>
    </w:p>
    <w:p w14:paraId="04EB429B" w14:textId="77777777" w:rsidR="009D10D8" w:rsidRDefault="009E4577">
      <w:pPr>
        <w:spacing w:line="360" w:lineRule="auto"/>
        <w:ind w:firstLine="480"/>
        <w:rPr>
          <w:rFonts w:ascii="宋体" w:eastAsia="宋体" w:hAnsi="宋体" w:cs="Times New Roman"/>
          <w:bCs/>
          <w:sz w:val="24"/>
          <w:szCs w:val="21"/>
        </w:rPr>
      </w:pPr>
      <w:r>
        <w:rPr>
          <w:rFonts w:ascii="宋体" w:eastAsia="宋体" w:hAnsi="宋体" w:cs="Times New Roman" w:hint="eastAsia"/>
          <w:bCs/>
          <w:sz w:val="24"/>
          <w:szCs w:val="21"/>
        </w:rPr>
        <w:t>如果募集期限届满，未满足基金备案的条件，基金管理人应当承担下列责任：</w:t>
      </w:r>
    </w:p>
    <w:p w14:paraId="5066E84F" w14:textId="77777777" w:rsidR="009D10D8" w:rsidRDefault="009E4577">
      <w:pPr>
        <w:spacing w:line="360" w:lineRule="auto"/>
        <w:ind w:firstLine="480"/>
        <w:rPr>
          <w:rFonts w:ascii="宋体" w:eastAsia="宋体" w:hAnsi="宋体" w:cs="Times New Roman"/>
          <w:bCs/>
          <w:sz w:val="24"/>
          <w:szCs w:val="21"/>
        </w:rPr>
      </w:pPr>
      <w:r>
        <w:rPr>
          <w:rFonts w:ascii="宋体" w:eastAsia="宋体" w:hAnsi="宋体" w:cs="Times New Roman" w:hint="eastAsia"/>
          <w:bCs/>
          <w:sz w:val="24"/>
          <w:szCs w:val="21"/>
        </w:rPr>
        <w:t>1、以其固有财产承担因募集行为而产生的债务和费用；</w:t>
      </w:r>
    </w:p>
    <w:p w14:paraId="16EAFACA" w14:textId="77777777" w:rsidR="009D10D8" w:rsidRDefault="009E4577">
      <w:pPr>
        <w:spacing w:line="360" w:lineRule="auto"/>
        <w:ind w:firstLineChars="200" w:firstLine="480"/>
        <w:rPr>
          <w:rFonts w:ascii="宋体" w:eastAsia="宋体" w:hAnsi="宋体" w:cs="Times New Roman"/>
          <w:bCs/>
          <w:sz w:val="24"/>
          <w:szCs w:val="21"/>
        </w:rPr>
      </w:pPr>
      <w:r>
        <w:rPr>
          <w:rFonts w:ascii="宋体" w:eastAsia="宋体" w:hAnsi="宋体" w:cs="Times New Roman" w:hint="eastAsia"/>
          <w:bCs/>
          <w:sz w:val="24"/>
          <w:szCs w:val="21"/>
        </w:rPr>
        <w:t>2、在基金募集期限届满后30日内返还投资者已缴纳的款项，并加计银行同期活期存款利息；</w:t>
      </w:r>
    </w:p>
    <w:p w14:paraId="4FA3D3ED" w14:textId="77777777" w:rsidR="009D10D8" w:rsidRDefault="009E4577">
      <w:pPr>
        <w:spacing w:line="360" w:lineRule="auto"/>
        <w:ind w:firstLineChars="200" w:firstLine="480"/>
        <w:rPr>
          <w:rFonts w:ascii="宋体" w:eastAsia="宋体" w:hAnsi="宋体" w:cs="Times New Roman"/>
          <w:bCs/>
          <w:sz w:val="24"/>
          <w:szCs w:val="21"/>
        </w:rPr>
      </w:pPr>
      <w:r>
        <w:rPr>
          <w:rFonts w:ascii="宋体" w:eastAsia="宋体" w:hAnsi="宋体" w:cs="Times New Roman" w:hint="eastAsia"/>
          <w:bCs/>
          <w:sz w:val="24"/>
          <w:szCs w:val="21"/>
        </w:rPr>
        <w:t>3、如基金募集失败，基金管理人、基金托管人及销售机构不得请求报酬。基金管理人、基金托管人和销售机构为基金募集支付之一切费用应由各方各自承担。</w:t>
      </w:r>
    </w:p>
    <w:p w14:paraId="5B05FBF2" w14:textId="77777777" w:rsidR="009D10D8" w:rsidRDefault="009E4577">
      <w:pPr>
        <w:spacing w:line="360" w:lineRule="auto"/>
        <w:ind w:firstLineChars="200" w:firstLine="482"/>
        <w:rPr>
          <w:rFonts w:ascii="宋体" w:eastAsia="宋体" w:hAnsi="宋体" w:cs="Times New Roman"/>
          <w:b/>
          <w:sz w:val="24"/>
          <w:szCs w:val="21"/>
        </w:rPr>
      </w:pPr>
      <w:r>
        <w:rPr>
          <w:rFonts w:ascii="宋体" w:eastAsia="宋体" w:hAnsi="宋体" w:cs="Times New Roman" w:hint="eastAsia"/>
          <w:b/>
          <w:sz w:val="24"/>
          <w:szCs w:val="21"/>
        </w:rPr>
        <w:t>三、基金存续期内的基金份额持有人数量和资产规模</w:t>
      </w:r>
    </w:p>
    <w:p w14:paraId="0F9F4C62" w14:textId="7F1B0A35" w:rsidR="009D10D8" w:rsidRDefault="009E4577">
      <w:pPr>
        <w:adjustRightInd w:val="0"/>
        <w:snapToGrid w:val="0"/>
        <w:spacing w:line="360" w:lineRule="auto"/>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如持续运作、转换运作方式、与其他基金合并或者终止基金合同等，并在6个月内召集基金份额持有人大会。</w:t>
      </w:r>
    </w:p>
    <w:p w14:paraId="68BF6A6B" w14:textId="77777777" w:rsidR="009D10D8" w:rsidRDefault="009E4577">
      <w:pPr>
        <w:widowControl/>
        <w:spacing w:line="360" w:lineRule="auto"/>
        <w:ind w:firstLineChars="200" w:firstLine="480"/>
        <w:jc w:val="left"/>
        <w:rPr>
          <w:rFonts w:ascii="Arial" w:eastAsia="宋体" w:hAnsi="Arial" w:cs="Times New Roman"/>
          <w:szCs w:val="20"/>
        </w:rPr>
        <w:sectPr w:rsidR="009D10D8">
          <w:footerReference w:type="default" r:id="rId15"/>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58" w:name="_Toc12357171"/>
      <w:bookmarkStart w:id="159" w:name="_Toc416264544"/>
      <w:bookmarkStart w:id="160" w:name="_Toc147463118"/>
      <w:bookmarkStart w:id="161" w:name="_Toc214873597"/>
      <w:bookmarkStart w:id="162" w:name="_Toc263092316"/>
      <w:bookmarkStart w:id="163" w:name="_Toc21073391"/>
      <w:bookmarkStart w:id="164" w:name="_Toc123051455"/>
      <w:bookmarkStart w:id="165" w:name="_Toc16164"/>
      <w:bookmarkStart w:id="166" w:name="_Toc139991739"/>
      <w:bookmarkStart w:id="167" w:name="_Toc21735"/>
      <w:bookmarkStart w:id="168" w:name="_Toc10398"/>
      <w:bookmarkStart w:id="169" w:name="_Toc31821"/>
      <w:bookmarkStart w:id="170" w:name="_Toc3080"/>
      <w:bookmarkStart w:id="171" w:name="_Toc3572"/>
      <w:bookmarkStart w:id="172" w:name="_Toc18769"/>
      <w:bookmarkStart w:id="173" w:name="_Toc1745"/>
      <w:bookmarkStart w:id="174" w:name="_Toc18206"/>
      <w:bookmarkStart w:id="175" w:name="_Toc123102456"/>
      <w:bookmarkStart w:id="176" w:name="_Toc98560355"/>
      <w:bookmarkStart w:id="177" w:name="_Toc725"/>
      <w:bookmarkStart w:id="178" w:name="_Toc141703889"/>
      <w:bookmarkStart w:id="179" w:name="_Toc123112237"/>
      <w:bookmarkStart w:id="180" w:name="_Toc352229755"/>
      <w:bookmarkStart w:id="181" w:name="_Toc3963"/>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14:paraId="12627127" w14:textId="77777777" w:rsidR="009D10D8" w:rsidRDefault="009E4577">
      <w:pPr>
        <w:pStyle w:val="1"/>
        <w:jc w:val="center"/>
        <w:rPr>
          <w:rFonts w:ascii="Arial" w:hAnsi="Arial" w:cs="Arial"/>
          <w:bCs/>
          <w:sz w:val="30"/>
          <w:szCs w:val="30"/>
        </w:rPr>
      </w:pPr>
      <w:bookmarkStart w:id="182" w:name="_Toc68783436"/>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659B9652" w14:textId="77777777" w:rsidR="009D10D8" w:rsidRDefault="009E4577">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1CE2A7A0"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更新的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3E4564D1" w14:textId="77777777" w:rsidR="009D10D8" w:rsidRDefault="009E4577">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0739688A"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1、开放日及开放时间</w:t>
      </w:r>
    </w:p>
    <w:p w14:paraId="406C3BF7"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134557A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6640BB9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5C68AD53" w14:textId="451FCCA2" w:rsidR="009D10D8" w:rsidRDefault="0062238B">
      <w:pPr>
        <w:tabs>
          <w:tab w:val="left" w:pos="1110"/>
        </w:tabs>
        <w:adjustRightInd w:val="0"/>
        <w:snapToGrid w:val="0"/>
        <w:spacing w:line="360" w:lineRule="auto"/>
        <w:ind w:firstLineChars="200" w:firstLine="480"/>
        <w:rPr>
          <w:rFonts w:asciiTheme="minorEastAsia" w:hAnsiTheme="minorEastAsia" w:cs="Arial"/>
          <w:sz w:val="24"/>
          <w:szCs w:val="24"/>
        </w:rPr>
      </w:pPr>
      <w:r w:rsidRPr="0062238B">
        <w:rPr>
          <w:rFonts w:asciiTheme="minorEastAsia" w:hAnsiTheme="minorEastAsia" w:cs="Arial" w:hint="eastAsia"/>
          <w:sz w:val="24"/>
          <w:szCs w:val="24"/>
        </w:rPr>
        <w:t>基金管理人可根据实际情况依法决定本基金开始办理申购的具体日期</w:t>
      </w:r>
      <w:r w:rsidR="009E4577">
        <w:rPr>
          <w:rFonts w:asciiTheme="minorEastAsia" w:hAnsiTheme="minorEastAsia" w:cs="Arial" w:hint="eastAsia"/>
          <w:sz w:val="24"/>
          <w:szCs w:val="24"/>
        </w:rPr>
        <w:t>，具体业务办理时间在申购开始公告中规定。</w:t>
      </w:r>
    </w:p>
    <w:p w14:paraId="36CE2876"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基金管理人自基金合同生效之日起不超过三个月开始办理赎回，具体业务办理时间在赎回开始公告中规定。</w:t>
      </w:r>
    </w:p>
    <w:p w14:paraId="1DF3128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在确定申购开始与赎回开始时间后，基金管理人应在申购、赎回开放日前依照《信息披露办法》的有关规定在规定媒介上公告申购与赎回的开始时间。</w:t>
      </w:r>
    </w:p>
    <w:p w14:paraId="1119BE53"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23A7395D" w14:textId="77777777" w:rsidR="009D10D8" w:rsidRDefault="009E4577">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61507C00"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67B1F652"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2、“金额申购、份额赎回”原则，即申购以金额申请，赎回以份额申请；</w:t>
      </w:r>
    </w:p>
    <w:p w14:paraId="31439E54"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3、当日的申购与赎回申请可以在基金管理人规定的时间以内撤销；</w:t>
      </w:r>
    </w:p>
    <w:p w14:paraId="0A1DBDA2" w14:textId="6FFA2E3A"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4、赎回遵循“先进先出”原则，即按照投资人认购、申购的先后次序进行顺序赎回；</w:t>
      </w:r>
    </w:p>
    <w:p w14:paraId="32009D6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5CA38967"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08DB2078" w14:textId="77777777" w:rsidR="009D10D8" w:rsidRDefault="009E4577">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59794C39"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1、申购和赎回的申请方式</w:t>
      </w:r>
    </w:p>
    <w:p w14:paraId="1D6DFC21"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1F6E342A"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2、申购和赎回的款项支付</w:t>
      </w:r>
    </w:p>
    <w:p w14:paraId="61D3EF3F"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1A8E2260"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59C97239" w14:textId="313169F5" w:rsidR="009D10D8" w:rsidRDefault="00007F8E">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如</w:t>
      </w:r>
      <w:r w:rsidR="009E4577">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w:t>
      </w:r>
      <w:r>
        <w:rPr>
          <w:rFonts w:asciiTheme="minorEastAsia" w:hAnsiTheme="minorEastAsia" w:cs="Arial" w:hint="eastAsia"/>
          <w:sz w:val="24"/>
          <w:szCs w:val="24"/>
        </w:rPr>
        <w:t>则</w:t>
      </w:r>
      <w:r w:rsidR="009E4577">
        <w:rPr>
          <w:rFonts w:asciiTheme="minorEastAsia" w:hAnsiTheme="minorEastAsia" w:cs="Arial" w:hint="eastAsia"/>
          <w:sz w:val="24"/>
          <w:szCs w:val="24"/>
        </w:rPr>
        <w:t>赎回款项顺延至前述影响因素消除的下一个工作日划出。</w:t>
      </w:r>
    </w:p>
    <w:p w14:paraId="202FDB23"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3、申购和赎回申请的确认</w:t>
      </w:r>
    </w:p>
    <w:p w14:paraId="66F68CCD"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1B84926E"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w:t>
      </w:r>
      <w:r>
        <w:rPr>
          <w:rFonts w:asciiTheme="minorEastAsia" w:hAnsiTheme="minorEastAsia" w:cs="Arial" w:hint="eastAsia"/>
          <w:sz w:val="24"/>
          <w:szCs w:val="24"/>
        </w:rPr>
        <w:lastRenderedPageBreak/>
        <w:t>权利。</w:t>
      </w:r>
    </w:p>
    <w:p w14:paraId="47F24666" w14:textId="77777777" w:rsidR="009D10D8" w:rsidRDefault="009E4577">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p w14:paraId="348398FD" w14:textId="77777777" w:rsidR="009D10D8" w:rsidRDefault="009E4577">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五、申购与赎回的数量限制</w:t>
      </w:r>
    </w:p>
    <w:p w14:paraId="3790E4E6" w14:textId="5677304D"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r w:rsidR="00E17756" w:rsidRPr="00E17756">
        <w:rPr>
          <w:rFonts w:asciiTheme="minorEastAsia" w:hAnsiTheme="minorEastAsia" w:cs="Arial" w:hint="eastAsia"/>
          <w:sz w:val="24"/>
          <w:szCs w:val="24"/>
        </w:rPr>
        <w:t>基金管理人可以规定每次赎回的最低份额，具体规定请参见</w:t>
      </w:r>
      <w:r w:rsidR="00E17756">
        <w:rPr>
          <w:rFonts w:asciiTheme="minorEastAsia" w:hAnsiTheme="minorEastAsia" w:cs="Arial" w:hint="eastAsia"/>
          <w:sz w:val="24"/>
          <w:szCs w:val="24"/>
        </w:rPr>
        <w:t>更新的</w:t>
      </w:r>
      <w:r w:rsidR="00E17756" w:rsidRPr="00E17756">
        <w:rPr>
          <w:rFonts w:asciiTheme="minorEastAsia" w:hAnsiTheme="minorEastAsia" w:cs="Arial" w:hint="eastAsia"/>
          <w:sz w:val="24"/>
          <w:szCs w:val="24"/>
        </w:rPr>
        <w:t>招募说明书或相关公告。</w:t>
      </w:r>
    </w:p>
    <w:p w14:paraId="4CAA0DDE"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32E2CDF9"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42049882"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455B7EE7"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5、基金管理人可在法律法规允许的情况下，调整上述规定申购金额和赎回份额等数量限制。基金管理人必须在调整实施前依照《信息披露办法》的有关规定在规定媒介上公告。</w:t>
      </w:r>
    </w:p>
    <w:p w14:paraId="62204F4A" w14:textId="77777777" w:rsidR="009D10D8" w:rsidRDefault="009E4577">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0C8EAEE4"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58D80E9C" w14:textId="77777777" w:rsidR="009D10D8" w:rsidRDefault="009E4577">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9D10D8" w14:paraId="0DC4A46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73B54FD5" w14:textId="77777777" w:rsidR="009D10D8" w:rsidRDefault="009E4577">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9D10D8" w14:paraId="573E963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BE4C1CA" w14:textId="77777777" w:rsidR="009D10D8" w:rsidRDefault="009E4577">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lastRenderedPageBreak/>
              <w:t>申购金额（M）</w:t>
            </w:r>
          </w:p>
        </w:tc>
        <w:tc>
          <w:tcPr>
            <w:tcW w:w="4430" w:type="dxa"/>
            <w:tcBorders>
              <w:top w:val="single" w:sz="4" w:space="0" w:color="auto"/>
              <w:left w:val="single" w:sz="4" w:space="0" w:color="auto"/>
              <w:bottom w:val="single" w:sz="4" w:space="0" w:color="auto"/>
              <w:right w:val="single" w:sz="4" w:space="0" w:color="auto"/>
            </w:tcBorders>
          </w:tcPr>
          <w:p w14:paraId="21EB3435" w14:textId="77777777" w:rsidR="009D10D8" w:rsidRDefault="009E4577">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9D10D8" w14:paraId="2D0163C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715A854" w14:textId="77777777" w:rsidR="009D10D8" w:rsidRDefault="009E4577">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w:t>
            </w:r>
            <w:r>
              <w:rPr>
                <w:rFonts w:asciiTheme="minorEastAsia" w:hAnsiTheme="minorEastAsia" w:cs="Arial"/>
                <w:kern w:val="0"/>
                <w:sz w:val="24"/>
                <w:szCs w:val="24"/>
              </w:rPr>
              <w:t>10</w:t>
            </w:r>
            <w:r>
              <w:rPr>
                <w:rFonts w:asciiTheme="minorEastAsia" w:hAnsiTheme="minorEastAsia" w:cs="Arial" w:hint="eastAsia"/>
                <w:kern w:val="0"/>
                <w:sz w:val="24"/>
                <w:szCs w:val="24"/>
              </w:rPr>
              <w:t>0万元</w:t>
            </w:r>
          </w:p>
        </w:tc>
        <w:tc>
          <w:tcPr>
            <w:tcW w:w="4430" w:type="dxa"/>
            <w:tcBorders>
              <w:top w:val="single" w:sz="4" w:space="0" w:color="auto"/>
              <w:left w:val="single" w:sz="4" w:space="0" w:color="auto"/>
              <w:bottom w:val="single" w:sz="4" w:space="0" w:color="auto"/>
              <w:right w:val="single" w:sz="4" w:space="0" w:color="auto"/>
            </w:tcBorders>
          </w:tcPr>
          <w:p w14:paraId="34E76B05" w14:textId="77777777" w:rsidR="009D10D8" w:rsidRDefault="009E4577">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9D10D8" w14:paraId="17C46E5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95C9AC9" w14:textId="77777777" w:rsidR="009D10D8" w:rsidRDefault="009E4577">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10</w:t>
            </w:r>
            <w:r>
              <w:rPr>
                <w:rFonts w:asciiTheme="minorEastAsia" w:hAnsiTheme="minorEastAsia" w:cs="Arial" w:hint="eastAsia"/>
                <w:kern w:val="0"/>
                <w:sz w:val="24"/>
                <w:szCs w:val="24"/>
              </w:rPr>
              <w:t>0万元≤M＜</w:t>
            </w:r>
            <w:r>
              <w:rPr>
                <w:rFonts w:asciiTheme="minorEastAsia" w:hAnsiTheme="minorEastAsia" w:cs="Arial"/>
                <w:kern w:val="0"/>
                <w:sz w:val="24"/>
                <w:szCs w:val="24"/>
              </w:rPr>
              <w:t>3</w:t>
            </w:r>
            <w:r>
              <w:rPr>
                <w:rFonts w:asciiTheme="minorEastAsia" w:hAnsiTheme="minorEastAsia" w:cs="Arial" w:hint="eastAsia"/>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60AAE949" w14:textId="77777777" w:rsidR="009D10D8" w:rsidRDefault="009E4577">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9D10D8" w14:paraId="2EAAE58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5C8AFE7" w14:textId="77777777" w:rsidR="009D10D8" w:rsidRDefault="009E4577">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3</w:t>
            </w:r>
            <w:r>
              <w:rPr>
                <w:rFonts w:asciiTheme="minorEastAsia" w:hAnsiTheme="minorEastAsia" w:cs="Arial" w:hint="eastAsia"/>
                <w:kern w:val="0"/>
                <w:sz w:val="24"/>
                <w:szCs w:val="24"/>
              </w:rPr>
              <w:t>00万元≤M＜500万元</w:t>
            </w:r>
          </w:p>
        </w:tc>
        <w:tc>
          <w:tcPr>
            <w:tcW w:w="4430" w:type="dxa"/>
            <w:tcBorders>
              <w:top w:val="single" w:sz="4" w:space="0" w:color="auto"/>
              <w:left w:val="single" w:sz="4" w:space="0" w:color="auto"/>
              <w:bottom w:val="single" w:sz="4" w:space="0" w:color="auto"/>
              <w:right w:val="single" w:sz="4" w:space="0" w:color="auto"/>
            </w:tcBorders>
          </w:tcPr>
          <w:p w14:paraId="5F111DA3" w14:textId="77777777" w:rsidR="009D10D8" w:rsidRDefault="009E4577">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0.50%</w:t>
            </w:r>
          </w:p>
        </w:tc>
      </w:tr>
      <w:tr w:rsidR="009D10D8" w14:paraId="0826261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D3575A4" w14:textId="77777777" w:rsidR="009D10D8" w:rsidRDefault="009E4577">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36EEF47D" w14:textId="77777777" w:rsidR="009D10D8" w:rsidRDefault="009E4577">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9D10D8" w14:paraId="2471DC1E"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A8F3F08" w14:textId="77777777" w:rsidR="009D10D8" w:rsidRDefault="009E4577">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9D10D8" w14:paraId="4FBA6D7C"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F1625F1" w14:textId="77777777" w:rsidR="009D10D8" w:rsidRDefault="009E4577">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3E070D35" w14:textId="77777777" w:rsidR="009D10D8" w:rsidRDefault="009D10D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2F9277F5" w14:textId="6BCC5CEE" w:rsidR="009D10D8" w:rsidRDefault="009E4577">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hint="eastAsia"/>
          <w:bCs/>
          <w:color w:val="000000"/>
          <w:sz w:val="24"/>
        </w:rPr>
        <w:t>A</w:t>
      </w:r>
      <w:r>
        <w:rPr>
          <w:rFonts w:hint="eastAsia"/>
          <w:bCs/>
          <w:color w:val="000000"/>
          <w:sz w:val="24"/>
        </w:rPr>
        <w:t>类基金份额</w:t>
      </w:r>
      <w:r>
        <w:rPr>
          <w:bCs/>
          <w:color w:val="000000"/>
          <w:sz w:val="24"/>
        </w:rPr>
        <w:t>的</w:t>
      </w:r>
      <w:r>
        <w:rPr>
          <w:rFonts w:asciiTheme="minorEastAsia" w:hAnsiTheme="minorEastAsia" w:cs="Arial" w:hint="eastAsia"/>
          <w:sz w:val="24"/>
          <w:szCs w:val="24"/>
        </w:rPr>
        <w:t>申购费用由申购</w:t>
      </w:r>
      <w:r>
        <w:rPr>
          <w:rFonts w:hint="eastAsia"/>
          <w:bCs/>
          <w:color w:val="000000"/>
          <w:sz w:val="24"/>
        </w:rPr>
        <w:t>A</w:t>
      </w:r>
      <w:r>
        <w:rPr>
          <w:rFonts w:hint="eastAsia"/>
          <w:bCs/>
          <w:color w:val="000000"/>
          <w:sz w:val="24"/>
        </w:rPr>
        <w:t>类</w:t>
      </w:r>
      <w:r>
        <w:rPr>
          <w:rFonts w:asciiTheme="minorEastAsia" w:hAnsiTheme="minorEastAsia" w:cs="Arial" w:hint="eastAsia"/>
          <w:sz w:val="24"/>
          <w:szCs w:val="24"/>
        </w:rPr>
        <w:t>基金份额的投资人承担，不列入基金资产，用于基金的市场推广、销售、登记等各项费用。</w:t>
      </w:r>
      <w:r>
        <w:rPr>
          <w:rFonts w:hint="eastAsia"/>
          <w:bCs/>
          <w:color w:val="000000"/>
          <w:sz w:val="24"/>
        </w:rPr>
        <w:t>C</w:t>
      </w:r>
      <w:r>
        <w:rPr>
          <w:rFonts w:hint="eastAsia"/>
          <w:bCs/>
          <w:color w:val="000000"/>
          <w:sz w:val="24"/>
        </w:rPr>
        <w:t>类基金份额不收取申购费用</w:t>
      </w:r>
      <w:r>
        <w:rPr>
          <w:bCs/>
          <w:sz w:val="24"/>
        </w:rPr>
        <w:t>。</w:t>
      </w:r>
    </w:p>
    <w:p w14:paraId="2110B358"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18BCF96F"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9D10D8" w14:paraId="39CBD59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4B9CF39" w14:textId="77777777" w:rsidR="009D10D8" w:rsidRDefault="009E4577">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074F8485" w14:textId="77777777" w:rsidR="009D10D8" w:rsidRDefault="009E4577">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109B8862" w14:textId="77777777" w:rsidR="009D10D8" w:rsidRDefault="009E4577">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9D10D8" w14:paraId="3ADFEDB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BCCFDD5" w14:textId="77777777" w:rsidR="009D10D8" w:rsidRDefault="009E4577">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232AC45" w14:textId="77777777" w:rsidR="009D10D8" w:rsidRDefault="009E4577">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4D07AF61" w14:textId="77777777" w:rsidR="009D10D8" w:rsidRDefault="009E4577">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9D10D8" w14:paraId="135007B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BAE3D6C" w14:textId="77777777" w:rsidR="009D10D8" w:rsidRDefault="009E4577">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267732D3" w14:textId="77777777" w:rsidR="009D10D8" w:rsidRDefault="009E4577">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5E59348" w14:textId="77777777" w:rsidR="009D10D8" w:rsidRDefault="009E4577">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9D10D8" w14:paraId="3CD4EC0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0443001" w14:textId="77777777" w:rsidR="009D10D8" w:rsidRDefault="009E4577">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52F23EE6" w14:textId="77777777" w:rsidR="009D10D8" w:rsidRDefault="009E4577">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3263E1A9" w14:textId="77777777" w:rsidR="009D10D8" w:rsidRDefault="009E4577">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9D10D8" w14:paraId="18F9DE8A"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F6FCE5D" w14:textId="77777777" w:rsidR="009D10D8" w:rsidRDefault="009E4577">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0F4CAF5D" w14:textId="77777777" w:rsidR="009D10D8" w:rsidRDefault="009E4577">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0BF033A4" w14:textId="77777777" w:rsidR="009D10D8" w:rsidRDefault="009E4577">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44DB244E" w14:textId="77777777" w:rsidR="009D10D8" w:rsidRDefault="009D10D8">
      <w:pPr>
        <w:adjustRightInd w:val="0"/>
        <w:snapToGrid w:val="0"/>
        <w:spacing w:line="360" w:lineRule="auto"/>
        <w:rPr>
          <w:rFonts w:asciiTheme="minorEastAsia" w:hAnsiTheme="minorEastAsia" w:cs="Arial"/>
          <w:sz w:val="24"/>
          <w:szCs w:val="24"/>
        </w:rPr>
      </w:pPr>
    </w:p>
    <w:p w14:paraId="260CABD0"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4F281E7B"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w:t>
      </w:r>
    </w:p>
    <w:p w14:paraId="51263F4E"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43577F62" w14:textId="7BB4B830" w:rsidR="009D10D8" w:rsidRDefault="009E4577">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lastRenderedPageBreak/>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5F0B0930" w14:textId="6AB3906A" w:rsidR="00514E09" w:rsidRPr="00514E09" w:rsidRDefault="00514E0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Pr="009C4AE8">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当本基金发生大额申购或赎回情形时，基金管理人可以对本基金采用摆动定价机制，以确保基金估值的公平性。具体处理原则与操作规范遵循相关法律法规以及监管部门、自律规则的规定</w:t>
      </w:r>
      <w:r>
        <w:rPr>
          <w:rFonts w:asciiTheme="minorEastAsia" w:hAnsiTheme="minorEastAsia" w:cs="Times New Roman" w:hint="eastAsia"/>
          <w:sz w:val="24"/>
          <w:szCs w:val="24"/>
        </w:rPr>
        <w:t>。</w:t>
      </w:r>
    </w:p>
    <w:p w14:paraId="0EBEA999" w14:textId="77777777" w:rsidR="009D10D8" w:rsidRDefault="009E4577">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37D01A3"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2DB4A6C1"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066DFA1B"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442095EE"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124A72D" w14:textId="1A160C0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662E2969"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13F7869A"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19F3732D"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2B9645CA"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3F0011F4"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00BD80A1" w14:textId="5AD81BDE"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例：某投资者投资50,000元申购本基金A类基金份额，且该申购申请被全额确认，对应的申购费率为1.5</w:t>
      </w:r>
      <w:r>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00FC62CE"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w:t>
      </w:r>
      <w:r>
        <w:rPr>
          <w:rFonts w:asciiTheme="minorEastAsia" w:hAnsiTheme="minorEastAsia" w:cs="Arial"/>
          <w:sz w:val="24"/>
          <w:szCs w:val="24"/>
        </w:rPr>
        <w:t>0</w:t>
      </w:r>
      <w:r>
        <w:rPr>
          <w:rFonts w:asciiTheme="minorEastAsia" w:hAnsiTheme="minorEastAsia" w:cs="Arial" w:hint="eastAsia"/>
          <w:sz w:val="24"/>
          <w:szCs w:val="24"/>
        </w:rPr>
        <w:t>%)＝49,261.08元</w:t>
      </w:r>
    </w:p>
    <w:p w14:paraId="6D6722CB"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28AEC6A9"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540804C1"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52AB4544"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0F8D23CA"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34A2A6F1"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w:t>
      </w:r>
      <w:r>
        <w:rPr>
          <w:rFonts w:asciiTheme="minorEastAsia" w:hAnsiTheme="minorEastAsia" w:cs="Arial" w:hint="eastAsia"/>
          <w:sz w:val="24"/>
          <w:szCs w:val="24"/>
        </w:rPr>
        <w:lastRenderedPageBreak/>
        <w:t>失由基金财产承担。</w:t>
      </w:r>
    </w:p>
    <w:p w14:paraId="5EEB4BFB" w14:textId="2FB1FDC0"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03CED3A0" w14:textId="124857B9"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w:t>
      </w:r>
      <w:r>
        <w:rPr>
          <w:rFonts w:asciiTheme="minorEastAsia" w:hAnsiTheme="minorEastAsia" w:cs="Arial"/>
          <w:sz w:val="24"/>
          <w:szCs w:val="24"/>
        </w:rPr>
        <w:t>4</w:t>
      </w:r>
      <w:r w:rsidR="00700A1F">
        <w:rPr>
          <w:rFonts w:asciiTheme="minorEastAsia" w:hAnsiTheme="minorEastAsia" w:cs="Arial"/>
          <w:sz w:val="24"/>
          <w:szCs w:val="24"/>
        </w:rPr>
        <w:t>,</w:t>
      </w:r>
      <w:r>
        <w:rPr>
          <w:rFonts w:asciiTheme="minorEastAsia" w:hAnsiTheme="minorEastAsia" w:cs="Arial"/>
          <w:sz w:val="24"/>
          <w:szCs w:val="24"/>
        </w:rPr>
        <w:t>065</w:t>
      </w:r>
      <w:r w:rsidR="00700A1F">
        <w:rPr>
          <w:rFonts w:asciiTheme="minorEastAsia" w:hAnsiTheme="minorEastAsia" w:cs="Arial"/>
          <w:sz w:val="24"/>
          <w:szCs w:val="24"/>
        </w:rPr>
        <w:t>,</w:t>
      </w:r>
      <w:r>
        <w:rPr>
          <w:rFonts w:asciiTheme="minorEastAsia" w:hAnsiTheme="minorEastAsia" w:cs="Arial"/>
          <w:sz w:val="24"/>
          <w:szCs w:val="24"/>
        </w:rPr>
        <w:t>040.65</w:t>
      </w:r>
      <w:r>
        <w:rPr>
          <w:rFonts w:asciiTheme="minorEastAsia" w:hAnsiTheme="minorEastAsia" w:cs="Arial" w:hint="eastAsia"/>
          <w:sz w:val="24"/>
          <w:szCs w:val="24"/>
        </w:rPr>
        <w:t>份</w:t>
      </w:r>
    </w:p>
    <w:p w14:paraId="309942C5" w14:textId="5A606A04"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00元，可得到</w:t>
      </w:r>
      <w:r>
        <w:rPr>
          <w:rFonts w:asciiTheme="minorEastAsia" w:hAnsiTheme="minorEastAsia" w:cs="Arial"/>
          <w:sz w:val="24"/>
          <w:szCs w:val="24"/>
        </w:rPr>
        <w:t>4</w:t>
      </w:r>
      <w:r w:rsidR="00700A1F">
        <w:rPr>
          <w:rFonts w:asciiTheme="minorEastAsia" w:hAnsiTheme="minorEastAsia" w:cs="Arial"/>
          <w:sz w:val="24"/>
          <w:szCs w:val="24"/>
        </w:rPr>
        <w:t>,</w:t>
      </w:r>
      <w:r>
        <w:rPr>
          <w:rFonts w:asciiTheme="minorEastAsia" w:hAnsiTheme="minorEastAsia" w:cs="Arial"/>
          <w:sz w:val="24"/>
          <w:szCs w:val="24"/>
        </w:rPr>
        <w:t>065</w:t>
      </w:r>
      <w:r w:rsidR="00700A1F">
        <w:rPr>
          <w:rFonts w:asciiTheme="minorEastAsia" w:hAnsiTheme="minorEastAsia" w:cs="Arial"/>
          <w:sz w:val="24"/>
          <w:szCs w:val="24"/>
        </w:rPr>
        <w:t>,</w:t>
      </w:r>
      <w:r>
        <w:rPr>
          <w:rFonts w:asciiTheme="minorEastAsia" w:hAnsiTheme="minorEastAsia" w:cs="Arial"/>
          <w:sz w:val="24"/>
          <w:szCs w:val="24"/>
        </w:rPr>
        <w:t>040.65</w:t>
      </w:r>
      <w:r>
        <w:rPr>
          <w:rFonts w:asciiTheme="minorEastAsia" w:hAnsiTheme="minorEastAsia" w:cs="Arial" w:hint="eastAsia"/>
          <w:sz w:val="24"/>
          <w:szCs w:val="24"/>
        </w:rPr>
        <w:t>份C类基金份额。</w:t>
      </w:r>
    </w:p>
    <w:p w14:paraId="02A34867" w14:textId="3FD00F4B"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4D1D39CF"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753FA259"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2544339C"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447CA424"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CB1C2F4" w14:textId="6B9B0BD1"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日，赎回费率为</w:t>
      </w:r>
      <w:r>
        <w:rPr>
          <w:rFonts w:asciiTheme="minorEastAsia" w:hAnsiTheme="minorEastAsia" w:cs="Arial"/>
          <w:sz w:val="24"/>
          <w:szCs w:val="24"/>
        </w:rPr>
        <w:t>0.50%</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0元，则可得到的赎回金额为：</w:t>
      </w:r>
    </w:p>
    <w:p w14:paraId="4A910E97"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39E98BC0"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0.50% = 53.40 </w:t>
      </w:r>
      <w:r>
        <w:rPr>
          <w:rFonts w:asciiTheme="minorEastAsia" w:hAnsiTheme="minorEastAsia" w:cs="Arial" w:hint="eastAsia"/>
          <w:sz w:val="24"/>
          <w:szCs w:val="24"/>
        </w:rPr>
        <w:t>元</w:t>
      </w:r>
    </w:p>
    <w:p w14:paraId="4FA316DF"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3EB145D9" w14:textId="0F9EAFD9"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31D171B2"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w:t>
      </w:r>
      <w:r>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4B0387AA"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w:t>
      </w:r>
      <w:r>
        <w:rPr>
          <w:rFonts w:asciiTheme="minorEastAsia" w:hAnsiTheme="minorEastAsia" w:cs="Arial"/>
          <w:sz w:val="24"/>
          <w:szCs w:val="24"/>
        </w:rPr>
        <w:t>.00</w:t>
      </w:r>
      <w:r>
        <w:rPr>
          <w:rFonts w:asciiTheme="minorEastAsia" w:hAnsiTheme="minorEastAsia" w:cs="Arial" w:hint="eastAsia"/>
          <w:sz w:val="24"/>
          <w:szCs w:val="24"/>
        </w:rPr>
        <w:t>元</w:t>
      </w:r>
    </w:p>
    <w:p w14:paraId="617861F8"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w:t>
      </w:r>
      <w:r>
        <w:rPr>
          <w:rFonts w:asciiTheme="minorEastAsia" w:hAnsiTheme="minorEastAsia" w:cs="Arial"/>
          <w:sz w:val="24"/>
          <w:szCs w:val="24"/>
        </w:rPr>
        <w:t>0</w:t>
      </w:r>
      <w:r>
        <w:rPr>
          <w:rFonts w:asciiTheme="minorEastAsia" w:hAnsiTheme="minorEastAsia" w:cs="Arial" w:hint="eastAsia"/>
          <w:sz w:val="24"/>
          <w:szCs w:val="24"/>
        </w:rPr>
        <w:t>%=53.40元</w:t>
      </w:r>
    </w:p>
    <w:p w14:paraId="62533F6F"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2EB56515"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w:t>
      </w:r>
      <w:r>
        <w:rPr>
          <w:rFonts w:asciiTheme="minorEastAsia" w:hAnsiTheme="minorEastAsia" w:cs="Arial" w:hint="eastAsia"/>
          <w:sz w:val="24"/>
          <w:szCs w:val="24"/>
        </w:rPr>
        <w:lastRenderedPageBreak/>
        <w:t>10,626.60元。</w:t>
      </w:r>
    </w:p>
    <w:p w14:paraId="7FF3B5B6"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日内公告。遇特殊情况，经履行适当程序，可以适当延迟计算或公告。</w:t>
      </w:r>
    </w:p>
    <w:p w14:paraId="438EF436" w14:textId="77777777" w:rsidR="009D10D8" w:rsidRDefault="009E4577">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5E3BA770"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31935C24"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7D428C7E"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7D14BF8C" w14:textId="77777777" w:rsidR="009D10D8" w:rsidRDefault="009E4577">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20054EC7"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06ABF7F2"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1、因不可抗力导致基金无法正常运作。</w:t>
      </w:r>
    </w:p>
    <w:p w14:paraId="0E53B59D"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3C6B1271"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72AF3AAF"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4、接受某笔或某些申购申请可能会影响或损害现有基金份额持有人利益时。</w:t>
      </w:r>
    </w:p>
    <w:p w14:paraId="476B5046"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7AF35B47"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6、当前一估值日基金资产净值50%以上的资产出现无可参考的活跃市场价格且采用估值技术仍导致公允价值存在重大不确定性时，经与基金托管人协商确认后，基金管理人应当暂停接受基金申购申请。</w:t>
      </w:r>
    </w:p>
    <w:p w14:paraId="6501A86E"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0BA764B2"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8、法律法规规定或中国证监会认定的其他情形。</w:t>
      </w:r>
    </w:p>
    <w:p w14:paraId="2FCEC73F"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发生上述第1、2、3、5、6、8项暂停申购情形之一且基金管理人决定暂停接受投资人的申购申请时，基金管理人应当根据有关规定在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媒介上刊登暂停申购公告。如果投资人的申购申请被拒绝，被拒绝的申购款项将退还给投资人。在暂停申购的情况消除时，基金管理人应及时恢复申购业务的办理。</w:t>
      </w:r>
    </w:p>
    <w:p w14:paraId="2ABE99C6" w14:textId="77777777" w:rsidR="009D10D8" w:rsidRDefault="009E4577">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6D1E0B42" w14:textId="77777777" w:rsidR="009D10D8" w:rsidRDefault="009E4577">
      <w:pPr>
        <w:widowControl/>
        <w:spacing w:line="360" w:lineRule="auto"/>
        <w:ind w:firstLineChars="200" w:firstLine="480"/>
        <w:jc w:val="left"/>
        <w:rPr>
          <w:rFonts w:asciiTheme="minorEastAsia" w:hAnsiTheme="minorEastAsia" w:cs="Arial"/>
          <w:sz w:val="24"/>
          <w:szCs w:val="24"/>
        </w:rPr>
      </w:pPr>
      <w:bookmarkStart w:id="183" w:name="_Toc416264545"/>
      <w:bookmarkStart w:id="184" w:name="_Toc123051456"/>
      <w:bookmarkStart w:id="185" w:name="_Toc32092"/>
      <w:bookmarkStart w:id="186" w:name="_Toc17198"/>
      <w:bookmarkStart w:id="187" w:name="_Toc29408"/>
      <w:bookmarkStart w:id="188" w:name="_Toc123102457"/>
      <w:bookmarkStart w:id="189" w:name="_Toc21237"/>
      <w:bookmarkStart w:id="190" w:name="_Toc48649708"/>
      <w:bookmarkStart w:id="191" w:name="_Toc8791"/>
      <w:bookmarkStart w:id="192" w:name="_Toc5170"/>
      <w:bookmarkStart w:id="193" w:name="_Toc123112238"/>
      <w:bookmarkStart w:id="194" w:name="_Toc141703890"/>
      <w:bookmarkStart w:id="195" w:name="_Toc79392622"/>
      <w:bookmarkStart w:id="196" w:name="_Toc98560356"/>
      <w:bookmarkStart w:id="197" w:name="_Toc32584"/>
      <w:bookmarkStart w:id="198" w:name="_Toc3329"/>
      <w:bookmarkStart w:id="199" w:name="_Toc352229756"/>
      <w:bookmarkStart w:id="200" w:name="_Toc20976"/>
      <w:bookmarkStart w:id="201" w:name="_Toc739"/>
      <w:bookmarkStart w:id="202" w:name="_Toc17920"/>
      <w:bookmarkStart w:id="203" w:name="_Toc139991740"/>
      <w:r>
        <w:rPr>
          <w:rFonts w:asciiTheme="minorEastAsia" w:hAnsiTheme="minorEastAsia" w:cs="Arial" w:hint="eastAsia"/>
          <w:sz w:val="24"/>
          <w:szCs w:val="24"/>
        </w:rPr>
        <w:t>发生下列情形时，基金管理人可暂停接受投资人的赎回申请或延缓支付赎回款项：</w:t>
      </w:r>
    </w:p>
    <w:p w14:paraId="34A2C402"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63466341"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1E5AAF59"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1805B10B"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D659FF4"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2EB62CE2"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仍导致公允价值存在重大不确定性时，经与基金托管人协商确认后，基金管理人应当延缓支付赎回款项或暂停接受基金赎回申请。</w:t>
      </w:r>
    </w:p>
    <w:p w14:paraId="1DE49A64"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6603C252"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3942B562" w14:textId="77777777" w:rsidR="009D10D8" w:rsidRDefault="009E4577">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4F35322A"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46D24CA0"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CD26806"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7EED761B"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76D8F865"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7CBE2E01"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p>
    <w:p w14:paraId="26F7CB2F"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若本基金发生巨额赎回、在单个开放日内单个基金份额持有人申请赎回的基金份额超过上一开放日基金总份额20%的情形下，基金管理人有权对于该基金份额持有人当日超过上一开放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0B3A966E"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媒介上进行公告。</w:t>
      </w:r>
    </w:p>
    <w:p w14:paraId="61A9B0F5"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45F68D48"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媒介上刊登公告。</w:t>
      </w:r>
    </w:p>
    <w:p w14:paraId="1E96DAAD" w14:textId="77777777" w:rsidR="009D10D8" w:rsidRDefault="009E4577">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1C4FD852"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媒介上刊登暂停公告。</w:t>
      </w:r>
    </w:p>
    <w:p w14:paraId="3E2A817B"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2、如发生暂停的时间为1日，基金管理人应于重新开放日，在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媒介上刊登基金重新开放申购或赎回公告，并公布最近1个开放日的各类基金份额净值。</w:t>
      </w:r>
    </w:p>
    <w:p w14:paraId="7FB60E4B"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3、如发生暂停的时间超过1 日，基金管理人应提前1 个工作日在</w:t>
      </w:r>
      <w:r>
        <w:rPr>
          <w:rFonts w:asciiTheme="minorEastAsia" w:hAnsiTheme="minorEastAsia" w:cs="Times New Roman" w:hint="eastAsia"/>
          <w:sz w:val="24"/>
          <w:szCs w:val="24"/>
        </w:rPr>
        <w:t>规定</w:t>
      </w:r>
      <w:r>
        <w:rPr>
          <w:rFonts w:asciiTheme="minorEastAsia" w:hAnsiTheme="minorEastAsia" w:cs="Arial" w:hint="eastAsia"/>
          <w:sz w:val="24"/>
          <w:szCs w:val="24"/>
        </w:rPr>
        <w:t>媒介刊登基金重新开放申购或赎回的公告，并在重新开始办理申购或赎回的开放日公告最近1 个工作日的各类基金份额净值。</w:t>
      </w:r>
    </w:p>
    <w:p w14:paraId="064F3F72" w14:textId="77777777" w:rsidR="009D10D8" w:rsidRDefault="009E4577">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2941B6FB"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5915885C" w14:textId="55CCCC0E" w:rsidR="009D10D8" w:rsidRDefault="009E4577">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十四、基金的非交易过户</w:t>
      </w:r>
    </w:p>
    <w:p w14:paraId="2A1D0EB6"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37CA1510"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w:t>
      </w:r>
      <w:r>
        <w:rPr>
          <w:rFonts w:asciiTheme="minorEastAsia" w:hAnsiTheme="minorEastAsia" w:cs="Arial" w:hint="eastAsia"/>
          <w:sz w:val="24"/>
          <w:szCs w:val="24"/>
        </w:rPr>
        <w:lastRenderedPageBreak/>
        <w:t>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5E96E273" w14:textId="2CBD2614" w:rsidR="009D10D8" w:rsidRDefault="009E4577">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十五、基金的转托管</w:t>
      </w:r>
    </w:p>
    <w:p w14:paraId="5D7A353C"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459285F" w14:textId="6F6AA3CE" w:rsidR="009D10D8" w:rsidRDefault="009E4577">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十六、定期定额投资计划</w:t>
      </w:r>
    </w:p>
    <w:p w14:paraId="5B6E9BBA"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D5918E5" w14:textId="691B0E2B" w:rsidR="009D10D8" w:rsidRDefault="009E4577">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十七、基金份额的冻结和解冻</w:t>
      </w:r>
    </w:p>
    <w:p w14:paraId="1E1CD95E"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53CBAC43" w14:textId="4DFB7D08" w:rsidR="009D10D8" w:rsidRDefault="009E4577">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十八、基金份额的转让</w:t>
      </w:r>
    </w:p>
    <w:p w14:paraId="479C5A42"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Pr>
          <w:rFonts w:asciiTheme="minorEastAsia" w:hAnsiTheme="minorEastAsia" w:cs="Times New Roman" w:hint="eastAsia"/>
          <w:sz w:val="24"/>
          <w:szCs w:val="24"/>
        </w:rPr>
        <w:t>规定</w:t>
      </w:r>
      <w:r>
        <w:rPr>
          <w:rFonts w:asciiTheme="minorEastAsia" w:hAnsiTheme="minorEastAsia" w:cs="Arial" w:hint="eastAsia"/>
          <w:sz w:val="24"/>
          <w:szCs w:val="24"/>
        </w:rPr>
        <w:t>媒介公告相关的业务规则，基金份额持有人应根据基金管理人届时公告的业务规则办理基金份额转让业务。</w:t>
      </w:r>
    </w:p>
    <w:p w14:paraId="543F8099" w14:textId="43F88DF2" w:rsidR="009D10D8" w:rsidRDefault="009E4577">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十九、实施侧袋机制期间本基金的申购与赎回</w:t>
      </w:r>
    </w:p>
    <w:p w14:paraId="233559A1" w14:textId="77777777" w:rsidR="009D10D8" w:rsidRDefault="009E4577">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本基金实施侧袋机制的，本基金的申购和赎回安排详见本招募说明书“侧袋机制”部分的规定或相关公告。</w:t>
      </w:r>
    </w:p>
    <w:p w14:paraId="50BC4C7B" w14:textId="77777777" w:rsidR="009D10D8" w:rsidRDefault="009E4577">
      <w:pPr>
        <w:widowControl/>
        <w:jc w:val="left"/>
        <w:rPr>
          <w:rFonts w:asciiTheme="minorEastAsia" w:hAnsiTheme="minorEastAsia" w:cs="Arial"/>
          <w:sz w:val="24"/>
          <w:szCs w:val="24"/>
        </w:rPr>
      </w:pPr>
      <w:r>
        <w:rPr>
          <w:rFonts w:asciiTheme="minorEastAsia" w:hAnsiTheme="minorEastAsia" w:cs="Arial"/>
          <w:sz w:val="24"/>
          <w:szCs w:val="24"/>
        </w:rPr>
        <w:br w:type="page"/>
      </w:r>
    </w:p>
    <w:p w14:paraId="62CEE01A" w14:textId="77777777" w:rsidR="009D10D8" w:rsidRDefault="009E4577">
      <w:pPr>
        <w:pStyle w:val="1"/>
        <w:jc w:val="center"/>
        <w:rPr>
          <w:sz w:val="30"/>
          <w:szCs w:val="30"/>
        </w:rPr>
      </w:pPr>
      <w:bookmarkStart w:id="204" w:name="_Toc68783437"/>
      <w:r>
        <w:rPr>
          <w:rFonts w:hint="eastAsia"/>
          <w:sz w:val="30"/>
          <w:szCs w:val="30"/>
        </w:rPr>
        <w:lastRenderedPageBreak/>
        <w:t>第九部分</w:t>
      </w:r>
      <w:r>
        <w:rPr>
          <w:sz w:val="30"/>
          <w:szCs w:val="30"/>
        </w:rPr>
        <w:t xml:space="preserve">  </w:t>
      </w:r>
      <w:r>
        <w:rPr>
          <w:rFonts w:hint="eastAsia"/>
          <w:sz w:val="30"/>
          <w:szCs w:val="30"/>
        </w:rPr>
        <w:t>基金的投资</w:t>
      </w:r>
      <w:bookmarkEnd w:id="183"/>
      <w:bookmarkEnd w:id="204"/>
    </w:p>
    <w:p w14:paraId="357821FC" w14:textId="77777777" w:rsidR="009D10D8" w:rsidRDefault="009E4577">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5CBC8089"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469BE641" w14:textId="77777777" w:rsidR="009D10D8" w:rsidRDefault="009E4577">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65DD2753"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券（包括超短期融资券）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703A8194" w14:textId="152EEEF8"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本基金可根据相关法律法规和基金合同的约定参与融资业务。</w:t>
      </w:r>
    </w:p>
    <w:p w14:paraId="0F89F039"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39D16C16"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w:t>
      </w:r>
    </w:p>
    <w:p w14:paraId="322C565E"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如未来法律法规或监管机构对投资比例要求有变更的，基金管理人在履行适当程序后，本基金的投资组合比例可进行相应调整。</w:t>
      </w:r>
    </w:p>
    <w:p w14:paraId="69FA2DD6" w14:textId="77777777" w:rsidR="009D10D8" w:rsidRDefault="009E4577">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 xml:space="preserve">三、投资策略 </w:t>
      </w:r>
    </w:p>
    <w:p w14:paraId="3DBD54D7"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1、大类资产配置</w:t>
      </w:r>
    </w:p>
    <w:p w14:paraId="236C9DBD"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w:t>
      </w:r>
      <w:r>
        <w:rPr>
          <w:rFonts w:asciiTheme="minorEastAsia" w:hAnsiTheme="minorEastAsia" w:cs="Times New Roman" w:hint="eastAsia"/>
          <w:bCs/>
          <w:sz w:val="24"/>
          <w:szCs w:val="24"/>
        </w:rPr>
        <w:lastRenderedPageBreak/>
        <w:t>分析研究，根据各类资产不同的预期风险收益比来确定组合中股票、债券、货币市场工具及其他金融工具的比例。</w:t>
      </w:r>
    </w:p>
    <w:p w14:paraId="18EC2924"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2、股票投资策略</w:t>
      </w:r>
    </w:p>
    <w:p w14:paraId="36F2F683"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（1）行业配置策略</w:t>
      </w:r>
    </w:p>
    <w:p w14:paraId="21E7CE6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54E695A5"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1）行业景气度</w:t>
      </w:r>
    </w:p>
    <w:p w14:paraId="2D07AC51"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链深入进行调研等方法，根据相关行业盈利水平的横向与纵向比较，适时对各行业景气度周期与行业未来盈利趋势进行研判，重点投资于景气度较高且具有可持续性的行业。</w:t>
      </w:r>
    </w:p>
    <w:p w14:paraId="1A6A5CF2"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2）行业竞争格局</w:t>
      </w:r>
    </w:p>
    <w:p w14:paraId="7D7C6842"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28B89C98"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（2）个股投资策略</w:t>
      </w:r>
    </w:p>
    <w:p w14:paraId="4D5C4D5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6910899A"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3A7BC837"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39BCB5B4"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②公司扣除非经常性损益后的净利润在未来一段时间的变化趋势，例如扣非</w:t>
      </w:r>
      <w:r>
        <w:rPr>
          <w:rFonts w:asciiTheme="minorEastAsia" w:hAnsiTheme="minorEastAsia" w:cs="Times New Roman" w:hint="eastAsia"/>
          <w:bCs/>
          <w:sz w:val="24"/>
          <w:szCs w:val="24"/>
        </w:rPr>
        <w:lastRenderedPageBreak/>
        <w:t>净利润增速超越所在行业平均增速；</w:t>
      </w:r>
    </w:p>
    <w:p w14:paraId="17939E6C"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③公司盈利能力在未来一段时间的变化趋势，例如盈利能力位于行业所在排名前50%，盈利能力定量指标包括净资产收益率（ROE），投资资本回报（ROIC）等。</w:t>
      </w:r>
    </w:p>
    <w:p w14:paraId="15315B85"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2190BF55"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4908D454"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72C67A0C"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3</w:t>
      </w:r>
      <w:r>
        <w:rPr>
          <w:rFonts w:asciiTheme="minorEastAsia" w:hAnsiTheme="minorEastAsia" w:cs="Times New Roman" w:hint="eastAsia"/>
          <w:bCs/>
          <w:sz w:val="24"/>
          <w:szCs w:val="24"/>
        </w:rPr>
        <w:t>、存托凭证投资策略</w:t>
      </w:r>
    </w:p>
    <w:p w14:paraId="43450EE7"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4B59872A"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4</w:t>
      </w:r>
      <w:r>
        <w:rPr>
          <w:rFonts w:asciiTheme="minorEastAsia" w:hAnsiTheme="minorEastAsia" w:cs="Times New Roman" w:hint="eastAsia"/>
          <w:bCs/>
          <w:sz w:val="24"/>
          <w:szCs w:val="24"/>
        </w:rPr>
        <w:t>、债券投资策略</w:t>
      </w:r>
    </w:p>
    <w:p w14:paraId="44A32887"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（1）资产配置策略</w:t>
      </w:r>
    </w:p>
    <w:p w14:paraId="4256ADD1"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256FE8D"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（2）利率类品种投资策略</w:t>
      </w:r>
    </w:p>
    <w:p w14:paraId="2E700F9C"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w:t>
      </w:r>
      <w:r>
        <w:rPr>
          <w:rFonts w:asciiTheme="minorEastAsia" w:hAnsiTheme="minorEastAsia" w:cs="Times New Roman" w:hint="eastAsia"/>
          <w:bCs/>
          <w:sz w:val="24"/>
          <w:szCs w:val="24"/>
        </w:rPr>
        <w:lastRenderedPageBreak/>
        <w:t>的前提下，综合考虑组合的流动性，决定投资品种。</w:t>
      </w:r>
    </w:p>
    <w:p w14:paraId="1C13A9D8"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（3）信用债投资策略</w:t>
      </w:r>
    </w:p>
    <w:p w14:paraId="39677299"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50A43B16"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（4）可转换债券投资策略</w:t>
      </w:r>
    </w:p>
    <w:p w14:paraId="477B9D39"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6C4B7290"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（5）可交换债券投资策略</w:t>
      </w:r>
    </w:p>
    <w:p w14:paraId="2576FCDE"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纯债部分价值以及对目标公司的股票价值的综合评估，选择具有较高投资价值的可交换债券进行投资。</w:t>
      </w:r>
    </w:p>
    <w:p w14:paraId="60CFA28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5</w:t>
      </w:r>
      <w:r>
        <w:rPr>
          <w:rFonts w:asciiTheme="minorEastAsia" w:hAnsiTheme="minorEastAsia" w:cs="Times New Roman" w:hint="eastAsia"/>
          <w:bCs/>
          <w:sz w:val="24"/>
          <w:szCs w:val="24"/>
        </w:rPr>
        <w:t>、资产支持证券投资策略</w:t>
      </w:r>
    </w:p>
    <w:p w14:paraId="189B9CC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24DAD99C"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6</w:t>
      </w:r>
      <w:r>
        <w:rPr>
          <w:rFonts w:asciiTheme="minorEastAsia" w:hAnsiTheme="minorEastAsia" w:cs="Times New Roman" w:hint="eastAsia"/>
          <w:bCs/>
          <w:sz w:val="24"/>
          <w:szCs w:val="24"/>
        </w:rPr>
        <w:t>、衍生品投资策略</w:t>
      </w:r>
    </w:p>
    <w:p w14:paraId="7ADB028C"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3EFD9CA3"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（1）股指期货投资策略</w:t>
      </w:r>
    </w:p>
    <w:p w14:paraId="226EE2B9"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本基金参与股指期货投资将根据风险管理的原则，以套期保值为目的。本基</w:t>
      </w:r>
      <w:r>
        <w:rPr>
          <w:rFonts w:asciiTheme="minorEastAsia" w:hAnsiTheme="minorEastAsia" w:cs="Times New Roman" w:hint="eastAsia"/>
          <w:bCs/>
          <w:sz w:val="24"/>
          <w:szCs w:val="24"/>
        </w:rPr>
        <w:lastRenderedPageBreak/>
        <w:t>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12FC8DF4"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DDE8CB3"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（2）国债期货投资策略</w:t>
      </w:r>
    </w:p>
    <w:p w14:paraId="5DC89EA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747BF8D5"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5306071A"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（3）股票期权投资策略</w:t>
      </w:r>
    </w:p>
    <w:p w14:paraId="294B56E0"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A508E77"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0F7642D3" w14:textId="77777777" w:rsidR="009D10D8" w:rsidRDefault="009E4577">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）信用衍生品投资策略</w:t>
      </w:r>
    </w:p>
    <w:p w14:paraId="46EE5917" w14:textId="77777777" w:rsidR="009D10D8" w:rsidRDefault="009E4577">
      <w:pPr>
        <w:spacing w:line="360" w:lineRule="auto"/>
        <w:ind w:firstLineChars="200" w:firstLine="480"/>
        <w:rPr>
          <w:bCs/>
          <w:sz w:val="24"/>
        </w:rPr>
      </w:pPr>
      <w:r>
        <w:rPr>
          <w:rFonts w:hint="eastAsia"/>
          <w:bCs/>
          <w:sz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40DCA949"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、参与融资业务投资策略</w:t>
      </w:r>
    </w:p>
    <w:p w14:paraId="6C573EDE"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6A13B352" w14:textId="77777777" w:rsidR="009D10D8" w:rsidRDefault="009E4577">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四、投资限制</w:t>
      </w:r>
    </w:p>
    <w:p w14:paraId="10D3478E"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1、组合限制</w:t>
      </w:r>
    </w:p>
    <w:p w14:paraId="146CC23E"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2B648C15"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（1）股票资产占基金资产的比例为60%-95%；</w:t>
      </w:r>
    </w:p>
    <w:p w14:paraId="4B5EC703"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0E059F93"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08C789F2"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6A03BD96"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（5）本基金投资于同一原始权益人的各类资产支持证券的比例，不得超过基金资产净值的10%；</w:t>
      </w:r>
    </w:p>
    <w:p w14:paraId="2C8D17EF"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3BDBE9A4"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（7）本基金持有的同一(指同一信用级别)资产支持证券的比例，不得超过该资产支持证券规模的10%；</w:t>
      </w:r>
    </w:p>
    <w:p w14:paraId="7E9F0CC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（8）本基金管理人管理的全部基金投资于同一原始权益人的各类资产支持证券，不得超过其各类资产支持证券合计规模的10%；</w:t>
      </w:r>
    </w:p>
    <w:p w14:paraId="36BACE3E"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786FC29"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5084905A"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8A2B646"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（12）本基金参与股指期货、国债期货交易依据下列标准建构组合：</w:t>
      </w:r>
    </w:p>
    <w:p w14:paraId="65374C48"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w:t>
      </w:r>
      <w:r>
        <w:rPr>
          <w:rFonts w:asciiTheme="minorEastAsia" w:hAnsiTheme="minorEastAsia" w:cs="Times New Roman" w:hint="eastAsia"/>
          <w:bCs/>
          <w:sz w:val="24"/>
          <w:szCs w:val="24"/>
        </w:rPr>
        <w:lastRenderedPageBreak/>
        <w:t>式回购）等；</w:t>
      </w:r>
    </w:p>
    <w:p w14:paraId="1576507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76FA4ED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7BB00F08"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2C3DA044"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533A1C01"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7514141"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14）本基金不持有具有信用保护卖方属性的信用衍生品，不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w:t>
      </w:r>
    </w:p>
    <w:p w14:paraId="0341543A"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5</w:t>
      </w:r>
      <w:r>
        <w:rPr>
          <w:rFonts w:asciiTheme="minorEastAsia" w:hAnsiTheme="minorEastAsia" w:cs="Times New Roman" w:hint="eastAsia"/>
          <w:bCs/>
          <w:sz w:val="24"/>
          <w:szCs w:val="24"/>
        </w:rPr>
        <w:t>）基金总资产不得超过基金净资产的140%；</w:t>
      </w:r>
    </w:p>
    <w:p w14:paraId="7C48E10D"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6</w:t>
      </w:r>
      <w:r>
        <w:rPr>
          <w:rFonts w:asciiTheme="minorEastAsia" w:hAnsiTheme="minorEastAsia" w:cs="Times New Roman" w:hint="eastAsia"/>
          <w:bCs/>
          <w:sz w:val="24"/>
          <w:szCs w:val="24"/>
        </w:rPr>
        <w:t>）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12EEA178"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7</w:t>
      </w:r>
      <w:r>
        <w:rPr>
          <w:rFonts w:asciiTheme="minorEastAsia" w:hAnsiTheme="minorEastAsia" w:cs="Times New Roman" w:hint="eastAsia"/>
          <w:bCs/>
          <w:sz w:val="24"/>
          <w:szCs w:val="24"/>
        </w:rPr>
        <w:t>）本基金主动投资于流动性受限资产的市值合计不得超过基金资产净值的15%；</w:t>
      </w:r>
    </w:p>
    <w:p w14:paraId="67B538CE"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2E512A3A"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8</w:t>
      </w:r>
      <w:r>
        <w:rPr>
          <w:rFonts w:asciiTheme="minorEastAsia" w:hAnsiTheme="minorEastAsia" w:cs="Times New Roman" w:hint="eastAsia"/>
          <w:bCs/>
          <w:sz w:val="24"/>
          <w:szCs w:val="24"/>
        </w:rPr>
        <w:t>）本基金与私募类证券资管产品及中国证监会认定的其他主体为交易对手开展逆回购交易的，可接受质押品的资质要求应当与基金合同约定的投资范围保持一致；</w:t>
      </w:r>
    </w:p>
    <w:p w14:paraId="7ACDC26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w:t>
      </w:r>
      <w:r>
        <w:rPr>
          <w:rFonts w:asciiTheme="minorEastAsia" w:hAnsiTheme="minorEastAsia" w:cs="Times New Roman"/>
          <w:bCs/>
          <w:sz w:val="24"/>
          <w:szCs w:val="24"/>
        </w:rPr>
        <w:t>9</w:t>
      </w:r>
      <w:r>
        <w:rPr>
          <w:rFonts w:asciiTheme="minorEastAsia" w:hAnsiTheme="minorEastAsia" w:cs="Times New Roman" w:hint="eastAsia"/>
          <w:bCs/>
          <w:sz w:val="24"/>
          <w:szCs w:val="24"/>
        </w:rPr>
        <w:t>）本基金参与股票期权交易的，需遵守下列投资比例限制：</w:t>
      </w:r>
    </w:p>
    <w:p w14:paraId="42A86A6C"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52078C45"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69D2782"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5601640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0E67CE38"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1</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3F5EF41D"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2</w:t>
      </w:r>
      <w:r>
        <w:rPr>
          <w:rFonts w:asciiTheme="minorEastAsia" w:hAnsiTheme="minorEastAsia" w:cs="Times New Roman" w:hint="eastAsia"/>
          <w:bCs/>
          <w:sz w:val="24"/>
          <w:szCs w:val="24"/>
        </w:rPr>
        <w:t>）法律法规及中国证监会规定的和《基金合同》约定的其他投资限制。</w:t>
      </w:r>
    </w:p>
    <w:p w14:paraId="38C7D819" w14:textId="5A2F9D86"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除上述第（2）、（9）、（13）、（14）、（1</w:t>
      </w:r>
      <w:r>
        <w:rPr>
          <w:rFonts w:asciiTheme="minorEastAsia" w:hAnsiTheme="minorEastAsia" w:cs="Times New Roman"/>
          <w:bCs/>
          <w:sz w:val="24"/>
          <w:szCs w:val="24"/>
        </w:rPr>
        <w:t>7</w:t>
      </w:r>
      <w:r>
        <w:rPr>
          <w:rFonts w:asciiTheme="minorEastAsia" w:hAnsiTheme="minorEastAsia" w:cs="Times New Roman" w:hint="eastAsia"/>
          <w:bCs/>
          <w:sz w:val="24"/>
          <w:szCs w:val="24"/>
        </w:rPr>
        <w:t>）、（1</w:t>
      </w:r>
      <w:r>
        <w:rPr>
          <w:rFonts w:asciiTheme="minorEastAsia" w:hAnsiTheme="minorEastAsia" w:cs="Times New Roman"/>
          <w:bCs/>
          <w:sz w:val="24"/>
          <w:szCs w:val="24"/>
        </w:rPr>
        <w:t>8</w:t>
      </w:r>
      <w:r>
        <w:rPr>
          <w:rFonts w:asciiTheme="minorEastAsia" w:hAnsiTheme="minorEastAsia" w:cs="Times New Roman" w:hint="eastAsia"/>
          <w:bCs/>
          <w:sz w:val="24"/>
          <w:szCs w:val="24"/>
        </w:rPr>
        <w:t>）项情形之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65BA0F92"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2DF441BC"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0E8AA024"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772E4C8F"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为维护基金份额持有人的合法权益，基金财产不得用于下列投资或者活动：</w:t>
      </w:r>
    </w:p>
    <w:p w14:paraId="463BEEBA"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04423B41"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（2）违反规定向他人贷款或者提供担保；</w:t>
      </w:r>
    </w:p>
    <w:p w14:paraId="7BE7CC61"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0698A60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2926B0C4"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4C580E98"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6934AA51"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2476E21C"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FCD093C"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77E8446B" w14:textId="77777777" w:rsidR="009D10D8" w:rsidRDefault="009E4577">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2495C65E"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1、业绩比较基准</w:t>
      </w:r>
    </w:p>
    <w:p w14:paraId="20E7C39D" w14:textId="7840D44F"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沪深300指数收益率</w:t>
      </w:r>
      <w:r w:rsidR="00FD7D3B">
        <w:rPr>
          <w:rFonts w:asciiTheme="minorEastAsia" w:hAnsiTheme="minorEastAsia" w:cs="Times New Roman" w:hint="eastAsia"/>
          <w:bCs/>
          <w:sz w:val="24"/>
          <w:szCs w:val="24"/>
        </w:rPr>
        <w:t>×</w:t>
      </w:r>
      <w:r w:rsidR="00CC38A4">
        <w:rPr>
          <w:rFonts w:asciiTheme="minorEastAsia" w:hAnsiTheme="minorEastAsia" w:cs="Times New Roman"/>
          <w:bCs/>
          <w:sz w:val="24"/>
          <w:szCs w:val="24"/>
        </w:rPr>
        <w:t>8</w:t>
      </w:r>
      <w:r>
        <w:rPr>
          <w:rFonts w:asciiTheme="minorEastAsia" w:hAnsiTheme="minorEastAsia" w:cs="Times New Roman" w:hint="eastAsia"/>
          <w:bCs/>
          <w:sz w:val="24"/>
          <w:szCs w:val="24"/>
        </w:rPr>
        <w:t>0%+中债综合指数收益率×</w:t>
      </w:r>
      <w:r w:rsidR="00CC38A4">
        <w:rPr>
          <w:rFonts w:asciiTheme="minorEastAsia" w:hAnsiTheme="minorEastAsia" w:cs="Times New Roman"/>
          <w:bCs/>
          <w:sz w:val="24"/>
          <w:szCs w:val="24"/>
        </w:rPr>
        <w:t>2</w:t>
      </w:r>
      <w:r>
        <w:rPr>
          <w:rFonts w:asciiTheme="minorEastAsia" w:hAnsiTheme="minorEastAsia" w:cs="Times New Roman" w:hint="eastAsia"/>
          <w:bCs/>
          <w:sz w:val="24"/>
          <w:szCs w:val="24"/>
        </w:rPr>
        <w:t>0%</w:t>
      </w:r>
    </w:p>
    <w:p w14:paraId="7648321A"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2、选择业绩比较基准的理由</w:t>
      </w:r>
    </w:p>
    <w:p w14:paraId="4AB70801"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在中证系列指数中，沪深300指数对股票市场具有较强的代表性，适合作为本基金股票部分的业绩比较基准。</w:t>
      </w:r>
    </w:p>
    <w:p w14:paraId="6ABAF23E"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20EC133C"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基于本基金的投资范围和投资策略，选用上述业绩比较基准能够忠实反映本基金的风险收益特征。</w:t>
      </w:r>
    </w:p>
    <w:p w14:paraId="1BAAAF0E" w14:textId="34E18C4B"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w:t>
      </w:r>
      <w:r w:rsidR="00E2140F" w:rsidRPr="00E2140F">
        <w:rPr>
          <w:rFonts w:asciiTheme="minorEastAsia" w:hAnsiTheme="minorEastAsia" w:cs="Times New Roman" w:hint="eastAsia"/>
          <w:bCs/>
          <w:sz w:val="24"/>
          <w:szCs w:val="24"/>
        </w:rPr>
        <w:t>指数编制单位停止计算编制以上指数或更改指数名称、或</w:t>
      </w:r>
      <w:r>
        <w:rPr>
          <w:rFonts w:asciiTheme="minorEastAsia" w:hAnsiTheme="minorEastAsia" w:cs="Times New Roman" w:hint="eastAsia"/>
          <w:bCs/>
          <w:sz w:val="24"/>
          <w:szCs w:val="24"/>
        </w:rPr>
        <w:t>今后法律法规</w:t>
      </w:r>
      <w:r>
        <w:rPr>
          <w:rFonts w:asciiTheme="minorEastAsia" w:hAnsiTheme="minorEastAsia" w:cs="Times New Roman" w:hint="eastAsia"/>
          <w:bCs/>
          <w:sz w:val="24"/>
          <w:szCs w:val="24"/>
        </w:rPr>
        <w:lastRenderedPageBreak/>
        <w:t>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7E0A5FC8" w14:textId="77777777" w:rsidR="009D10D8" w:rsidRDefault="009E4577">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6F098898"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BCA22AF" w14:textId="77777777" w:rsidR="009D10D8" w:rsidRDefault="009E4577">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74A169F7"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6F6B1320"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2、不谋求对上市公司的控股； </w:t>
      </w:r>
    </w:p>
    <w:p w14:paraId="79C9B020"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3、有利于基金财产的安全与增值； </w:t>
      </w:r>
    </w:p>
    <w:p w14:paraId="4976C56B"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C807535" w14:textId="77777777" w:rsidR="009D10D8" w:rsidRDefault="009E4577">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八、侧袋机制的实施和投资运作安排</w:t>
      </w:r>
    </w:p>
    <w:p w14:paraId="171D5C35"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5C670ABC"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侧袋机制实施期间，本部分约定的投资组合比例、投资策略、组合限制、业绩比较基准、风险收益特征等约定仅适用于主袋账户。</w:t>
      </w:r>
    </w:p>
    <w:p w14:paraId="7813B1F3" w14:textId="77777777" w:rsidR="009D10D8" w:rsidRDefault="009E4577">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侧袋账户的实施条件、实施程序、运作安排、投资安排、特定资产的处置变现和支付等对投资者权益有重大影响的事项详见本招募说明书“侧袋机制”部分的规定。</w:t>
      </w:r>
    </w:p>
    <w:p w14:paraId="269EA772" w14:textId="77777777" w:rsidR="009D10D8" w:rsidRDefault="009D10D8">
      <w:pPr>
        <w:autoSpaceDE w:val="0"/>
        <w:autoSpaceDN w:val="0"/>
        <w:spacing w:line="360" w:lineRule="auto"/>
        <w:ind w:firstLineChars="200" w:firstLine="480"/>
        <w:textAlignment w:val="bottom"/>
        <w:rPr>
          <w:rFonts w:asciiTheme="minorEastAsia" w:hAnsiTheme="minorEastAsia"/>
          <w:bCs/>
          <w:sz w:val="24"/>
          <w:szCs w:val="24"/>
        </w:rPr>
      </w:pPr>
    </w:p>
    <w:p w14:paraId="2F8A971C" w14:textId="77777777" w:rsidR="009D10D8" w:rsidRDefault="009E4577">
      <w:pPr>
        <w:autoSpaceDE w:val="0"/>
        <w:autoSpaceDN w:val="0"/>
        <w:spacing w:line="360" w:lineRule="auto"/>
        <w:ind w:firstLineChars="200" w:firstLine="480"/>
        <w:textAlignment w:val="bottom"/>
        <w:rPr>
          <w:rFonts w:asciiTheme="minorEastAsia" w:hAnsiTheme="minorEastAsia"/>
          <w:bCs/>
          <w:sz w:val="24"/>
          <w:szCs w:val="24"/>
        </w:rPr>
      </w:pPr>
      <w:r>
        <w:rPr>
          <w:rFonts w:asciiTheme="minorEastAsia" w:hAnsiTheme="minorEastAsia"/>
          <w:bCs/>
          <w:sz w:val="24"/>
          <w:szCs w:val="24"/>
        </w:rPr>
        <w:br w:type="page"/>
      </w:r>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p>
    <w:p w14:paraId="72D3C6B7" w14:textId="77777777" w:rsidR="009D10D8" w:rsidRDefault="009E4577">
      <w:pPr>
        <w:pStyle w:val="1"/>
        <w:jc w:val="center"/>
        <w:rPr>
          <w:sz w:val="30"/>
          <w:szCs w:val="30"/>
        </w:rPr>
      </w:pPr>
      <w:bookmarkStart w:id="205" w:name="_Toc68783438"/>
      <w:bookmarkStart w:id="206" w:name="_Toc416264546"/>
      <w:bookmarkStart w:id="207" w:name="_Toc26084"/>
      <w:bookmarkStart w:id="208" w:name="_Toc352229757"/>
      <w:bookmarkStart w:id="209" w:name="_Toc22674"/>
      <w:bookmarkStart w:id="210" w:name="_Toc141703891"/>
      <w:bookmarkStart w:id="211" w:name="_Toc123112239"/>
      <w:bookmarkStart w:id="212" w:name="_Toc14725"/>
      <w:bookmarkStart w:id="213" w:name="_Toc31469"/>
      <w:bookmarkStart w:id="214" w:name="_Toc26152"/>
      <w:bookmarkStart w:id="215" w:name="_Toc123102458"/>
      <w:bookmarkStart w:id="216" w:name="_Toc139991741"/>
      <w:bookmarkStart w:id="217" w:name="_Toc79392624"/>
      <w:bookmarkStart w:id="218" w:name="_Toc19520"/>
      <w:bookmarkStart w:id="219" w:name="_Toc48649710"/>
      <w:bookmarkStart w:id="220" w:name="_Toc123051457"/>
      <w:bookmarkStart w:id="221" w:name="_Toc21886"/>
      <w:bookmarkStart w:id="222" w:name="_Toc16789"/>
      <w:bookmarkStart w:id="223" w:name="_Toc98560357"/>
      <w:bookmarkStart w:id="224" w:name="_Toc26383"/>
      <w:bookmarkStart w:id="225" w:name="_Toc2255"/>
      <w:bookmarkStart w:id="226" w:name="_Toc3244"/>
      <w:r>
        <w:rPr>
          <w:rFonts w:hint="eastAsia"/>
          <w:sz w:val="30"/>
          <w:szCs w:val="30"/>
        </w:rPr>
        <w:lastRenderedPageBreak/>
        <w:t>第十部分</w:t>
      </w:r>
      <w:r>
        <w:rPr>
          <w:sz w:val="30"/>
          <w:szCs w:val="30"/>
        </w:rPr>
        <w:t xml:space="preserve">  </w:t>
      </w:r>
      <w:r>
        <w:rPr>
          <w:rFonts w:hint="eastAsia"/>
          <w:sz w:val="30"/>
          <w:szCs w:val="30"/>
        </w:rPr>
        <w:t>基金的财产</w:t>
      </w:r>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14:paraId="417B4780" w14:textId="77777777" w:rsidR="009D10D8" w:rsidRDefault="009E4577">
      <w:pPr>
        <w:autoSpaceDE w:val="0"/>
        <w:autoSpaceDN w:val="0"/>
        <w:spacing w:line="360" w:lineRule="auto"/>
        <w:ind w:firstLineChars="200" w:firstLine="480"/>
        <w:textAlignment w:val="bottom"/>
        <w:rPr>
          <w:bCs/>
          <w:sz w:val="24"/>
        </w:rPr>
      </w:pPr>
      <w:bookmarkStart w:id="227" w:name="_Toc214873600"/>
      <w:bookmarkStart w:id="228" w:name="_Toc416264547"/>
      <w:bookmarkStart w:id="229" w:name="_Toc263092319"/>
      <w:bookmarkStart w:id="230" w:name="_Toc11351"/>
      <w:bookmarkStart w:id="231" w:name="_Toc2981"/>
      <w:bookmarkStart w:id="232" w:name="_Toc801"/>
      <w:bookmarkStart w:id="233" w:name="_Toc22538"/>
      <w:bookmarkStart w:id="234" w:name="_Toc3872"/>
      <w:bookmarkStart w:id="235" w:name="_Toc578"/>
      <w:bookmarkStart w:id="236" w:name="_Toc13343"/>
      <w:bookmarkStart w:id="237" w:name="_Toc5477"/>
      <w:bookmarkStart w:id="238" w:name="_Toc21917"/>
      <w:bookmarkStart w:id="239" w:name="_Toc11395"/>
      <w:bookmarkStart w:id="240" w:name="_Toc16437"/>
      <w:bookmarkStart w:id="241" w:name="_Toc352229758"/>
      <w:r>
        <w:rPr>
          <w:rFonts w:hint="eastAsia"/>
          <w:bCs/>
          <w:sz w:val="24"/>
        </w:rPr>
        <w:t>一、基金资产总值</w:t>
      </w:r>
    </w:p>
    <w:p w14:paraId="3172DE6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基金资产总值是指购买的各类证券及票据价值、银行存款本息和基金应收的申购基金款以及其他投资所形成的价值总和。</w:t>
      </w:r>
    </w:p>
    <w:p w14:paraId="1ECBEF2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二、基金资产净值</w:t>
      </w:r>
    </w:p>
    <w:p w14:paraId="10A1EF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2F5AB2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三、基金财产的账户</w:t>
      </w:r>
    </w:p>
    <w:p w14:paraId="45775C5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p>
    <w:p w14:paraId="0F1E2EB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四、基金财产的保管和处分</w:t>
      </w:r>
    </w:p>
    <w:p w14:paraId="13F272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723552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0186F039" w14:textId="77777777" w:rsidR="009D10D8" w:rsidRDefault="009E4577">
      <w:pPr>
        <w:widowControl/>
        <w:jc w:val="left"/>
        <w:rPr>
          <w:bCs/>
          <w:sz w:val="24"/>
        </w:rPr>
      </w:pPr>
      <w:r>
        <w:rPr>
          <w:bCs/>
          <w:sz w:val="24"/>
        </w:rPr>
        <w:br w:type="page"/>
      </w:r>
    </w:p>
    <w:p w14:paraId="30BA6485" w14:textId="77777777" w:rsidR="009D10D8" w:rsidRDefault="009E4577">
      <w:pPr>
        <w:pStyle w:val="1"/>
        <w:jc w:val="center"/>
        <w:rPr>
          <w:sz w:val="30"/>
          <w:szCs w:val="30"/>
        </w:rPr>
      </w:pPr>
      <w:bookmarkStart w:id="242" w:name="_Toc68783439"/>
      <w:r>
        <w:rPr>
          <w:rFonts w:hint="eastAsia"/>
          <w:sz w:val="30"/>
          <w:szCs w:val="30"/>
        </w:rPr>
        <w:lastRenderedPageBreak/>
        <w:t>第十一部分</w:t>
      </w:r>
      <w:r>
        <w:rPr>
          <w:sz w:val="30"/>
          <w:szCs w:val="30"/>
        </w:rPr>
        <w:t xml:space="preserve">  </w:t>
      </w:r>
      <w:r>
        <w:rPr>
          <w:rFonts w:hint="eastAsia"/>
          <w:sz w:val="30"/>
          <w:szCs w:val="30"/>
        </w:rPr>
        <w:t>基金资产的估值</w:t>
      </w:r>
      <w:bookmarkEnd w:id="227"/>
      <w:bookmarkEnd w:id="228"/>
      <w:bookmarkEnd w:id="229"/>
      <w:bookmarkEnd w:id="242"/>
    </w:p>
    <w:p w14:paraId="79AF036D"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一、估值日</w:t>
      </w:r>
    </w:p>
    <w:p w14:paraId="4A23726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本基金的估值日为本基金相关的证券交易场所的交易日以及国家法律法规规定需要对外披露基金净值的非交易日。</w:t>
      </w:r>
    </w:p>
    <w:p w14:paraId="4CE7EC8C"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二、估值对象</w:t>
      </w:r>
    </w:p>
    <w:p w14:paraId="786A939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基金所拥有的股票、股指期货合约、国债期货合约、债券和银行存款本息、应收款项、其它投资、股票期权、信用衍生品等资产及负债。</w:t>
      </w:r>
    </w:p>
    <w:p w14:paraId="2BAE0FA8"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三、估值原则</w:t>
      </w:r>
    </w:p>
    <w:p w14:paraId="4F9B723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1979FEE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833AF1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71D1E04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1B95B74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59A4A3D0"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四、估值方法</w:t>
      </w:r>
    </w:p>
    <w:p w14:paraId="1C2D42EC"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、证券交易所上市的有价证券的估值</w:t>
      </w:r>
    </w:p>
    <w:p w14:paraId="0F6D21D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91EE383"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2</w:t>
      </w:r>
      <w:r w:rsidRPr="00794997">
        <w:rPr>
          <w:rFonts w:hint="eastAsia"/>
          <w:bCs/>
          <w:sz w:val="24"/>
        </w:rPr>
        <w:t>）</w:t>
      </w:r>
      <w:r w:rsidRPr="000D1400">
        <w:rPr>
          <w:rFonts w:ascii="Times New Roman" w:eastAsia="宋体" w:hAnsi="Times New Roman" w:hint="eastAsia"/>
          <w:bCs/>
          <w:sz w:val="24"/>
        </w:rPr>
        <w:t>交易所上市交易或挂牌转让的不含权固定收益品种，选取估值日第三方估值机构提供的相应品种当日的估值净价进行估值</w:t>
      </w:r>
      <w:r w:rsidRPr="00794997">
        <w:rPr>
          <w:rFonts w:hint="eastAsia"/>
          <w:bCs/>
          <w:sz w:val="24"/>
        </w:rPr>
        <w:t>；</w:t>
      </w:r>
    </w:p>
    <w:p w14:paraId="710AEFF4"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3</w:t>
      </w:r>
      <w:r w:rsidRPr="00794997">
        <w:rPr>
          <w:rFonts w:hint="eastAsia"/>
          <w:bCs/>
          <w:sz w:val="24"/>
        </w:rPr>
        <w:t>）</w:t>
      </w:r>
      <w:r w:rsidRPr="002119F6">
        <w:rPr>
          <w:rFonts w:ascii="Times New Roman" w:eastAsia="宋体" w:hAnsi="Times New Roman" w:hint="eastAsia"/>
          <w:bCs/>
          <w:sz w:val="24"/>
        </w:rPr>
        <w:t>交易所上市交易或挂牌转让的含权固定收益品种，选取估值日第三方估值机构提供的相应品种当日的唯一估值净价或推荐估值净价进行估值</w:t>
      </w:r>
      <w:r w:rsidRPr="00777CF8">
        <w:rPr>
          <w:rFonts w:hint="eastAsia"/>
          <w:bCs/>
          <w:sz w:val="24"/>
        </w:rPr>
        <w:t>；</w:t>
      </w:r>
    </w:p>
    <w:p w14:paraId="4BA45BE6" w14:textId="77777777" w:rsidR="00210437" w:rsidRPr="00794997" w:rsidRDefault="00210437" w:rsidP="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4</w:t>
      </w:r>
      <w:r w:rsidRPr="00794997">
        <w:rPr>
          <w:rFonts w:hint="eastAsia"/>
          <w:bCs/>
          <w:sz w:val="24"/>
        </w:rPr>
        <w:t>）交易所上市交易的可转换债券以每日收盘价作为估值全价；</w:t>
      </w:r>
    </w:p>
    <w:p w14:paraId="7B5B415E" w14:textId="4BC1E0E8" w:rsidR="009D10D8" w:rsidRDefault="00210437">
      <w:pPr>
        <w:autoSpaceDE w:val="0"/>
        <w:autoSpaceDN w:val="0"/>
        <w:spacing w:line="360" w:lineRule="auto"/>
        <w:ind w:firstLineChars="200" w:firstLine="480"/>
        <w:textAlignment w:val="bottom"/>
        <w:rPr>
          <w:bCs/>
          <w:sz w:val="24"/>
        </w:rPr>
      </w:pPr>
      <w:r w:rsidRPr="00794997">
        <w:rPr>
          <w:rFonts w:hint="eastAsia"/>
          <w:bCs/>
          <w:sz w:val="24"/>
        </w:rPr>
        <w:t>（</w:t>
      </w:r>
      <w:r w:rsidRPr="00794997">
        <w:rPr>
          <w:rFonts w:hint="eastAsia"/>
          <w:bCs/>
          <w:sz w:val="24"/>
        </w:rPr>
        <w:t>5</w:t>
      </w:r>
      <w:r w:rsidRPr="00794997">
        <w:rPr>
          <w:rFonts w:hint="eastAsia"/>
          <w:bCs/>
          <w:sz w:val="24"/>
        </w:rPr>
        <w:t>）</w:t>
      </w:r>
      <w:r w:rsidRPr="00FA0C8F">
        <w:rPr>
          <w:rFonts w:ascii="Times New Roman" w:eastAsia="宋体" w:hAnsi="Times New Roman" w:hint="eastAsia"/>
          <w:bCs/>
          <w:sz w:val="24"/>
        </w:rPr>
        <w:t>交易所上市不存在活跃市场的有价证券，采用估值技术确定公允价值。交易所市场挂牌转让的资产支持证券，采用估值技术确定公允价值</w:t>
      </w:r>
      <w:r w:rsidR="00007F8E">
        <w:rPr>
          <w:rFonts w:hint="eastAsia"/>
          <w:bCs/>
          <w:sz w:val="24"/>
        </w:rPr>
        <w:t>；</w:t>
      </w:r>
    </w:p>
    <w:p w14:paraId="76E7AB8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30AD62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06B7ABD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4F48C10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35222C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7B2110A0" w14:textId="48C15013" w:rsidR="009D10D8" w:rsidRDefault="00210437" w:rsidP="00210437">
      <w:pPr>
        <w:autoSpaceDE w:val="0"/>
        <w:autoSpaceDN w:val="0"/>
        <w:spacing w:line="360" w:lineRule="auto"/>
        <w:ind w:firstLineChars="200" w:firstLine="480"/>
        <w:textAlignment w:val="bottom"/>
        <w:rPr>
          <w:bCs/>
          <w:sz w:val="24"/>
        </w:rPr>
      </w:pPr>
      <w:r w:rsidRPr="00794997">
        <w:rPr>
          <w:rFonts w:hint="eastAsia"/>
          <w:bCs/>
          <w:sz w:val="24"/>
        </w:rPr>
        <w:t>3</w:t>
      </w:r>
      <w:r w:rsidRPr="00794997">
        <w:rPr>
          <w:rFonts w:hint="eastAsia"/>
          <w:bCs/>
          <w:sz w:val="24"/>
        </w:rPr>
        <w:t>、</w:t>
      </w:r>
      <w:r w:rsidRPr="000622F1">
        <w:rPr>
          <w:rFonts w:ascii="Times New Roman" w:eastAsia="宋体" w:hAnsi="Times New Roman" w:hint="eastAsia"/>
          <w:bCs/>
          <w:sz w:val="24"/>
        </w:rPr>
        <w:t>对全国银行间市场上不含权的固定收益品种，按照第三方估值机构提供</w:t>
      </w:r>
      <w:r w:rsidRPr="000622F1">
        <w:rPr>
          <w:rFonts w:ascii="Times New Roman" w:eastAsia="宋体" w:hAnsi="Times New Roman" w:hint="eastAsia"/>
          <w:bCs/>
          <w:sz w:val="24"/>
        </w:rPr>
        <w:lastRenderedPageBreak/>
        <w:t>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r w:rsidRPr="00794997">
        <w:rPr>
          <w:rFonts w:hint="eastAsia"/>
          <w:bCs/>
          <w:sz w:val="24"/>
        </w:rPr>
        <w:t>。</w:t>
      </w:r>
    </w:p>
    <w:p w14:paraId="3E87B63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、同一债券同时在两个或两个以上市场交易的，按债券所处的市场分别估值。</w:t>
      </w:r>
    </w:p>
    <w:p w14:paraId="77676C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55CA720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非活跃市场下采用估值技术确定公允价值。</w:t>
      </w:r>
    </w:p>
    <w:p w14:paraId="528442F0" w14:textId="77777777" w:rsidR="009D10D8" w:rsidRDefault="009E4577">
      <w:pPr>
        <w:autoSpaceDE w:val="0"/>
        <w:autoSpaceDN w:val="0"/>
        <w:spacing w:line="360" w:lineRule="auto"/>
        <w:ind w:firstLineChars="200" w:firstLine="480"/>
        <w:textAlignment w:val="bottom"/>
        <w:rPr>
          <w:bCs/>
          <w:sz w:val="24"/>
        </w:rPr>
      </w:pPr>
      <w:r>
        <w:rPr>
          <w:bCs/>
          <w:sz w:val="24"/>
        </w:rPr>
        <w:t>7</w:t>
      </w:r>
      <w:r>
        <w:rPr>
          <w:rFonts w:hint="eastAsia"/>
          <w:bCs/>
          <w:sz w:val="24"/>
        </w:rPr>
        <w:t>、本基金投资存托凭证的估值核算，依照境内上市交易的股票执行。</w:t>
      </w:r>
    </w:p>
    <w:p w14:paraId="3708E255" w14:textId="77777777" w:rsidR="009D10D8" w:rsidRDefault="009E4577">
      <w:pPr>
        <w:autoSpaceDE w:val="0"/>
        <w:autoSpaceDN w:val="0"/>
        <w:spacing w:line="360" w:lineRule="auto"/>
        <w:ind w:firstLineChars="200" w:firstLine="480"/>
        <w:textAlignment w:val="bottom"/>
        <w:rPr>
          <w:bCs/>
          <w:sz w:val="24"/>
        </w:rPr>
      </w:pPr>
      <w:r>
        <w:rPr>
          <w:bCs/>
          <w:sz w:val="24"/>
        </w:rPr>
        <w:t>8</w:t>
      </w:r>
      <w:r>
        <w:rPr>
          <w:rFonts w:hint="eastAsia"/>
          <w:bCs/>
          <w:sz w:val="24"/>
        </w:rPr>
        <w:t>、其他资产按法律法规或监管机构有关规定进行估值。</w:t>
      </w:r>
    </w:p>
    <w:p w14:paraId="6ADF94FE" w14:textId="77777777" w:rsidR="009D10D8" w:rsidRDefault="009E4577">
      <w:pPr>
        <w:autoSpaceDE w:val="0"/>
        <w:autoSpaceDN w:val="0"/>
        <w:spacing w:line="360" w:lineRule="auto"/>
        <w:ind w:firstLineChars="200" w:firstLine="480"/>
        <w:textAlignment w:val="bottom"/>
        <w:rPr>
          <w:bCs/>
          <w:sz w:val="24"/>
        </w:rPr>
      </w:pPr>
      <w:r>
        <w:rPr>
          <w:bCs/>
          <w:sz w:val="24"/>
        </w:rPr>
        <w:t>9</w:t>
      </w:r>
      <w:r>
        <w:rPr>
          <w:rFonts w:hint="eastAsia"/>
          <w:bCs/>
          <w:sz w:val="24"/>
        </w:rPr>
        <w:t>、如有确凿证据表明按上述方法进行估值不能客观反映其公允价值的，基金管理人可根据具体情况与基金托管人商定后，按最能反映公允价值的方法估值。</w:t>
      </w:r>
    </w:p>
    <w:p w14:paraId="1E63C45E" w14:textId="77777777" w:rsidR="009D10D8" w:rsidRDefault="009E4577">
      <w:pPr>
        <w:autoSpaceDE w:val="0"/>
        <w:autoSpaceDN w:val="0"/>
        <w:spacing w:line="360" w:lineRule="auto"/>
        <w:ind w:firstLineChars="200" w:firstLine="480"/>
        <w:textAlignment w:val="bottom"/>
        <w:rPr>
          <w:bCs/>
          <w:sz w:val="24"/>
        </w:rPr>
      </w:pPr>
      <w:r>
        <w:rPr>
          <w:bCs/>
          <w:sz w:val="24"/>
        </w:rPr>
        <w:t>10</w:t>
      </w:r>
      <w:r>
        <w:rPr>
          <w:rFonts w:hint="eastAsia"/>
          <w:bCs/>
          <w:sz w:val="24"/>
        </w:rPr>
        <w:t>、当本基金发生大额申购或赎回情形时，基金管理人可以对本基金采用摆动定价机制，以确保基金估值的公平性。</w:t>
      </w:r>
    </w:p>
    <w:p w14:paraId="747119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bCs/>
          <w:sz w:val="24"/>
        </w:rPr>
        <w:t>1</w:t>
      </w:r>
      <w:r>
        <w:rPr>
          <w:rFonts w:hint="eastAsia"/>
          <w:bCs/>
          <w:sz w:val="24"/>
        </w:rPr>
        <w:t>、相关法律法规以及监管部门有强制规定的，从其规定。如有新增事项，按国家最新规定估值。</w:t>
      </w:r>
    </w:p>
    <w:p w14:paraId="31F7842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F9656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根据有关法律法规，基金资产净值计算和基金会计核算的义务由基金管理人承担，基金托管人承担复核责任。本基金的基金会计主责任方由基金管理人担任，</w:t>
      </w:r>
      <w:r>
        <w:rPr>
          <w:rFonts w:hint="eastAsia"/>
          <w:bCs/>
          <w:sz w:val="24"/>
        </w:rPr>
        <w:lastRenderedPageBreak/>
        <w:t>因此，就与本基金有关的会计问题，如经相关各方在平等基础上充分讨论后，仍无法达成一致的意见，按照基金管理人对基金净值信息的计算结果对外予以公布。</w:t>
      </w:r>
    </w:p>
    <w:p w14:paraId="4582BBB5"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五、估值程序</w:t>
      </w:r>
    </w:p>
    <w:p w14:paraId="4367E4F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、各类基金份额净值是按照每个工作日闭市后，该类基金资产净值除以当日该类基金份额的余额数量计算，精确到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03C8E7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4D56897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0BE47CD7"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六、估值错误的处理</w:t>
      </w:r>
    </w:p>
    <w:p w14:paraId="5795F9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基金管理人和基金托管人将采取必要、适当、合理的措施确保基金资产估值的准确性、及时性。当某一类基金份额净值小数点后</w:t>
      </w:r>
      <w:r>
        <w:rPr>
          <w:rFonts w:hint="eastAsia"/>
          <w:bCs/>
          <w:sz w:val="24"/>
        </w:rPr>
        <w:t>4</w:t>
      </w:r>
      <w:r>
        <w:rPr>
          <w:rFonts w:hint="eastAsia"/>
          <w:bCs/>
          <w:sz w:val="24"/>
        </w:rPr>
        <w:t>位以内</w:t>
      </w:r>
      <w:r>
        <w:rPr>
          <w:rFonts w:hint="eastAsia"/>
          <w:bCs/>
          <w:sz w:val="24"/>
        </w:rPr>
        <w:t>(</w:t>
      </w:r>
      <w:r>
        <w:rPr>
          <w:rFonts w:hint="eastAsia"/>
          <w:bCs/>
          <w:sz w:val="24"/>
        </w:rPr>
        <w:t>含第</w:t>
      </w:r>
      <w:r>
        <w:rPr>
          <w:rFonts w:hint="eastAsia"/>
          <w:bCs/>
          <w:sz w:val="24"/>
        </w:rPr>
        <w:t>4</w:t>
      </w:r>
      <w:r>
        <w:rPr>
          <w:rFonts w:hint="eastAsia"/>
          <w:bCs/>
          <w:sz w:val="24"/>
        </w:rPr>
        <w:t>位</w:t>
      </w:r>
      <w:r>
        <w:rPr>
          <w:rFonts w:hint="eastAsia"/>
          <w:bCs/>
          <w:sz w:val="24"/>
        </w:rPr>
        <w:t>)</w:t>
      </w:r>
      <w:r>
        <w:rPr>
          <w:rFonts w:hint="eastAsia"/>
          <w:bCs/>
          <w:sz w:val="24"/>
        </w:rPr>
        <w:t>发生估值错误时，视为该类基金份额净值错误。</w:t>
      </w:r>
    </w:p>
    <w:p w14:paraId="2F815E3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110837A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034CBD9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321135B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5946D0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0CA95FE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8D0726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）估值错误的责任方对有关当事人的直接损失负责，不对间接损失负责，并且仅对估值错误的有关直接当事人负责，不对第三方负责。</w:t>
      </w:r>
    </w:p>
    <w:p w14:paraId="4FC1218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F2FD83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298580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0199F1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09D2E8E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7B3D0C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700548C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15C5AC9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5B7A326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79EBAF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61ABEF1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）错误偏差达到该类基金份额净值的</w:t>
      </w:r>
      <w:r>
        <w:rPr>
          <w:rFonts w:hint="eastAsia"/>
          <w:bCs/>
          <w:sz w:val="24"/>
        </w:rPr>
        <w:t>0.25%</w:t>
      </w:r>
      <w:r>
        <w:rPr>
          <w:rFonts w:hint="eastAsia"/>
          <w:bCs/>
          <w:sz w:val="24"/>
        </w:rPr>
        <w:t>时，基金管理人应当通报基金托管人并报中国证监会备案；错误偏差达到该类基金份额净值的</w:t>
      </w:r>
      <w:r>
        <w:rPr>
          <w:rFonts w:hint="eastAsia"/>
          <w:bCs/>
          <w:sz w:val="24"/>
        </w:rPr>
        <w:t>0.5%</w:t>
      </w:r>
      <w:r>
        <w:rPr>
          <w:rFonts w:hint="eastAsia"/>
          <w:bCs/>
          <w:sz w:val="24"/>
        </w:rPr>
        <w:t>时，基金管</w:t>
      </w:r>
      <w:r>
        <w:rPr>
          <w:rFonts w:hint="eastAsia"/>
          <w:bCs/>
          <w:sz w:val="24"/>
        </w:rPr>
        <w:lastRenderedPageBreak/>
        <w:t>理人应当公告，并报中国证监会备案。</w:t>
      </w:r>
    </w:p>
    <w:p w14:paraId="1C0049E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5220091F"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七、暂停估值的情形</w:t>
      </w:r>
    </w:p>
    <w:p w14:paraId="320ABAD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、基金投资所涉及的证券、期货交易市场遇法定节假日或因其他原因暂停营业时；</w:t>
      </w:r>
    </w:p>
    <w:p w14:paraId="60AD7B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、因不可抗力或其他情形致使基金管理人、基金托管人无法准确评估基金资产价值时；</w:t>
      </w:r>
    </w:p>
    <w:p w14:paraId="7A5A6CD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7A0E86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、中国证监会和基金合同认定的其它情形。</w:t>
      </w:r>
    </w:p>
    <w:p w14:paraId="1A5C8C2C"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八、基金净值的确认</w:t>
      </w:r>
    </w:p>
    <w:p w14:paraId="6B7A30C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49AD1B81"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九、特殊情形的处理</w:t>
      </w:r>
    </w:p>
    <w:p w14:paraId="1104F11E" w14:textId="3B29BE65"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9</w:t>
      </w:r>
      <w:r>
        <w:rPr>
          <w:rFonts w:hint="eastAsia"/>
          <w:bCs/>
          <w:sz w:val="24"/>
        </w:rPr>
        <w:t>项进行估值时，所造成的误差不作为基金资产估值错误处理。</w:t>
      </w:r>
    </w:p>
    <w:p w14:paraId="05A2C9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51242592" w14:textId="77777777" w:rsidR="009D10D8" w:rsidRDefault="009E4577">
      <w:pPr>
        <w:autoSpaceDE w:val="0"/>
        <w:autoSpaceDN w:val="0"/>
        <w:spacing w:line="360" w:lineRule="auto"/>
        <w:ind w:firstLineChars="200" w:firstLine="482"/>
        <w:textAlignment w:val="bottom"/>
        <w:rPr>
          <w:b/>
          <w:bCs/>
          <w:sz w:val="24"/>
        </w:rPr>
      </w:pPr>
      <w:r>
        <w:rPr>
          <w:rFonts w:hint="eastAsia"/>
          <w:b/>
          <w:bCs/>
          <w:sz w:val="24"/>
        </w:rPr>
        <w:t>十、实施侧袋机制期间的基金资产估值</w:t>
      </w:r>
    </w:p>
    <w:p w14:paraId="72C22E0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本基金实施侧袋机制的，应根据本部分的约定对主袋账户资产进行估值并披露主袋账户的基金净值信息，暂停披露侧袋账户份额净值。</w:t>
      </w:r>
    </w:p>
    <w:p w14:paraId="1E6D84A9" w14:textId="77777777" w:rsidR="009D10D8" w:rsidRDefault="009E4577">
      <w:pPr>
        <w:widowControl/>
        <w:jc w:val="left"/>
        <w:rPr>
          <w:bCs/>
          <w:sz w:val="24"/>
        </w:rPr>
      </w:pPr>
      <w:r>
        <w:rPr>
          <w:bCs/>
          <w:sz w:val="24"/>
        </w:rPr>
        <w:br w:type="page"/>
      </w:r>
      <w:bookmarkEnd w:id="230"/>
      <w:bookmarkEnd w:id="231"/>
      <w:bookmarkEnd w:id="232"/>
      <w:bookmarkEnd w:id="233"/>
      <w:bookmarkEnd w:id="234"/>
      <w:bookmarkEnd w:id="235"/>
      <w:bookmarkEnd w:id="236"/>
      <w:bookmarkEnd w:id="237"/>
      <w:bookmarkEnd w:id="238"/>
      <w:bookmarkEnd w:id="239"/>
      <w:bookmarkEnd w:id="240"/>
      <w:bookmarkEnd w:id="241"/>
    </w:p>
    <w:p w14:paraId="6A871C70" w14:textId="77777777" w:rsidR="009D10D8" w:rsidRDefault="009E4577">
      <w:pPr>
        <w:pStyle w:val="1"/>
        <w:jc w:val="center"/>
        <w:rPr>
          <w:sz w:val="30"/>
          <w:szCs w:val="30"/>
        </w:rPr>
      </w:pPr>
      <w:bookmarkStart w:id="243" w:name="_Toc416264548"/>
      <w:bookmarkStart w:id="244" w:name="_Toc68783440"/>
      <w:bookmarkStart w:id="245" w:name="_Toc263092320"/>
      <w:r>
        <w:rPr>
          <w:rFonts w:hint="eastAsia"/>
          <w:sz w:val="30"/>
          <w:szCs w:val="30"/>
        </w:rPr>
        <w:lastRenderedPageBreak/>
        <w:t>第十二部分</w:t>
      </w:r>
      <w:r>
        <w:rPr>
          <w:sz w:val="30"/>
          <w:szCs w:val="30"/>
        </w:rPr>
        <w:t xml:space="preserve">  </w:t>
      </w:r>
      <w:r>
        <w:rPr>
          <w:rFonts w:hint="eastAsia"/>
          <w:sz w:val="30"/>
          <w:szCs w:val="30"/>
        </w:rPr>
        <w:t>基金的收益分配</w:t>
      </w:r>
      <w:bookmarkEnd w:id="243"/>
      <w:bookmarkEnd w:id="244"/>
      <w:bookmarkEnd w:id="245"/>
    </w:p>
    <w:p w14:paraId="5C5AD4BF" w14:textId="77777777" w:rsidR="009D10D8" w:rsidRDefault="009E4577">
      <w:pPr>
        <w:autoSpaceDE w:val="0"/>
        <w:autoSpaceDN w:val="0"/>
        <w:spacing w:line="360" w:lineRule="auto"/>
        <w:ind w:firstLineChars="200" w:firstLine="480"/>
        <w:textAlignment w:val="bottom"/>
        <w:rPr>
          <w:bCs/>
          <w:sz w:val="24"/>
        </w:rPr>
      </w:pPr>
      <w:bookmarkStart w:id="246" w:name="_Toc147463128"/>
      <w:bookmarkStart w:id="247" w:name="_Toc21073401"/>
      <w:bookmarkStart w:id="248" w:name="_Toc12357181"/>
      <w:bookmarkStart w:id="249" w:name="_Toc214873602"/>
      <w:bookmarkStart w:id="250" w:name="_Toc263092321"/>
      <w:bookmarkStart w:id="251" w:name="_Toc416264549"/>
      <w:bookmarkStart w:id="252" w:name="_Toc141703894"/>
      <w:bookmarkStart w:id="253" w:name="_Toc17782"/>
      <w:bookmarkStart w:id="254" w:name="_Toc7802"/>
      <w:bookmarkStart w:id="255" w:name="_Toc31917"/>
      <w:bookmarkStart w:id="256" w:name="_Toc352229760"/>
      <w:bookmarkStart w:id="257" w:name="_Toc19714"/>
      <w:bookmarkStart w:id="258" w:name="_Toc139991744"/>
      <w:bookmarkStart w:id="259" w:name="_Toc27832"/>
      <w:bookmarkStart w:id="260" w:name="_Toc871"/>
      <w:bookmarkStart w:id="261" w:name="_Toc2623"/>
      <w:r>
        <w:rPr>
          <w:rFonts w:hint="eastAsia"/>
          <w:bCs/>
          <w:sz w:val="24"/>
        </w:rPr>
        <w:t>一、基金利润的构成</w:t>
      </w:r>
    </w:p>
    <w:p w14:paraId="23A077F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5E27B4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二、基金可供分配利润</w:t>
      </w:r>
    </w:p>
    <w:p w14:paraId="344FBD1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72150F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三、基金收益分配原则</w:t>
      </w:r>
    </w:p>
    <w:p w14:paraId="2D01FD3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405C305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2BB6B7F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1BBC7A7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28B1F042" w14:textId="691AF121"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49A15F0C" w14:textId="5E25CDFB" w:rsidR="00D13E48" w:rsidRDefault="00D13E48">
      <w:pPr>
        <w:autoSpaceDE w:val="0"/>
        <w:autoSpaceDN w:val="0"/>
        <w:spacing w:line="360" w:lineRule="auto"/>
        <w:ind w:firstLineChars="200" w:firstLine="480"/>
        <w:textAlignment w:val="bottom"/>
        <w:rPr>
          <w:bCs/>
          <w:sz w:val="24"/>
        </w:rPr>
      </w:pPr>
      <w:r w:rsidRPr="00D13E48">
        <w:rPr>
          <w:rFonts w:hint="eastAsia"/>
          <w:bCs/>
          <w:sz w:val="24"/>
        </w:rPr>
        <w:t>在对基金份额持有人利益无实质不利影响的前提下，基金管理人可对基金收益分配原则和支付方式进行调整，不需召开基金份额持有人大会，但应于变更实施日前按照《信息披露办法》的要求在规定媒介公告。</w:t>
      </w:r>
    </w:p>
    <w:p w14:paraId="4D5AD81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四、收益分配方案</w:t>
      </w:r>
    </w:p>
    <w:p w14:paraId="3120A2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4BF79EAE"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758F4DE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本基金收益分配方案由基金管理人拟定，并由基金托管人复核，在依照《信息披露办法》的有关规定在</w:t>
      </w:r>
      <w:r>
        <w:rPr>
          <w:rFonts w:asciiTheme="minorEastAsia" w:hAnsiTheme="minorEastAsia" w:cs="Times New Roman" w:hint="eastAsia"/>
          <w:sz w:val="24"/>
          <w:szCs w:val="24"/>
        </w:rPr>
        <w:t>规定</w:t>
      </w:r>
      <w:r>
        <w:rPr>
          <w:rFonts w:hint="eastAsia"/>
          <w:bCs/>
          <w:sz w:val="24"/>
        </w:rPr>
        <w:t>媒介公告。</w:t>
      </w:r>
    </w:p>
    <w:p w14:paraId="15AB945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7265D0B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470444B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七、实施侧袋机制期间的收益分配</w:t>
      </w:r>
    </w:p>
    <w:p w14:paraId="09CDB4B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本基金实施侧袋机制的，侧袋账户不进行收益分配。</w:t>
      </w:r>
    </w:p>
    <w:p w14:paraId="339BABB3" w14:textId="77777777" w:rsidR="009D10D8" w:rsidRDefault="009E4577">
      <w:pPr>
        <w:widowControl/>
        <w:jc w:val="left"/>
        <w:rPr>
          <w:bCs/>
          <w:sz w:val="24"/>
        </w:rPr>
      </w:pPr>
      <w:r>
        <w:rPr>
          <w:bCs/>
          <w:sz w:val="24"/>
        </w:rPr>
        <w:br w:type="page"/>
      </w:r>
    </w:p>
    <w:p w14:paraId="7616C139" w14:textId="77777777" w:rsidR="009D10D8" w:rsidRDefault="009E4577">
      <w:pPr>
        <w:pStyle w:val="1"/>
        <w:jc w:val="center"/>
        <w:rPr>
          <w:sz w:val="30"/>
          <w:szCs w:val="30"/>
        </w:rPr>
      </w:pPr>
      <w:bookmarkStart w:id="262" w:name="_Toc68783441"/>
      <w:r>
        <w:rPr>
          <w:rFonts w:hint="eastAsia"/>
          <w:sz w:val="30"/>
          <w:szCs w:val="30"/>
        </w:rPr>
        <w:lastRenderedPageBreak/>
        <w:t>第十三部分</w:t>
      </w:r>
      <w:r>
        <w:rPr>
          <w:sz w:val="30"/>
          <w:szCs w:val="30"/>
        </w:rPr>
        <w:t xml:space="preserve">  </w:t>
      </w:r>
      <w:r>
        <w:rPr>
          <w:rFonts w:hint="eastAsia"/>
          <w:sz w:val="30"/>
          <w:szCs w:val="30"/>
        </w:rPr>
        <w:t>基金费用与税收</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p>
    <w:p w14:paraId="61FFA7AF" w14:textId="77777777" w:rsidR="009D10D8" w:rsidRDefault="009E4577">
      <w:pPr>
        <w:autoSpaceDE w:val="0"/>
        <w:autoSpaceDN w:val="0"/>
        <w:spacing w:line="360" w:lineRule="auto"/>
        <w:ind w:firstLineChars="200" w:firstLine="480"/>
        <w:textAlignment w:val="bottom"/>
        <w:rPr>
          <w:bCs/>
          <w:sz w:val="24"/>
        </w:rPr>
      </w:pPr>
      <w:bookmarkStart w:id="263" w:name="_Toc416264550"/>
      <w:bookmarkStart w:id="264" w:name="_Toc263092322"/>
      <w:bookmarkStart w:id="265" w:name="_Toc214873603"/>
      <w:bookmarkStart w:id="266" w:name="_Toc141703895"/>
      <w:bookmarkStart w:id="267" w:name="_Toc13987"/>
      <w:bookmarkStart w:id="268" w:name="_Toc19706"/>
      <w:bookmarkStart w:id="269" w:name="_Toc6493"/>
      <w:bookmarkStart w:id="270" w:name="_Toc15779"/>
      <w:bookmarkStart w:id="271" w:name="_Toc352229761"/>
      <w:bookmarkStart w:id="272" w:name="_Toc19752"/>
      <w:bookmarkStart w:id="273" w:name="_Toc24601"/>
      <w:bookmarkStart w:id="274" w:name="_Toc32046"/>
      <w:bookmarkStart w:id="275" w:name="_Toc32041"/>
      <w:bookmarkStart w:id="276" w:name="_Toc32227"/>
      <w:bookmarkStart w:id="277" w:name="_Toc3365"/>
      <w:bookmarkStart w:id="278" w:name="_Toc12105"/>
      <w:bookmarkStart w:id="279" w:name="_Toc139991745"/>
      <w:r>
        <w:rPr>
          <w:rFonts w:hint="eastAsia"/>
          <w:bCs/>
          <w:sz w:val="24"/>
        </w:rPr>
        <w:t>一、基金费用的种类</w:t>
      </w:r>
    </w:p>
    <w:p w14:paraId="27D0C7B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0F8A2A2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27F9A8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类基金份额的基金销售服务费；</w:t>
      </w:r>
    </w:p>
    <w:p w14:paraId="34589CD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、《基金合同》生效后与基金相关的信息披露费用；</w:t>
      </w:r>
    </w:p>
    <w:p w14:paraId="4684BAFE" w14:textId="48896D2B"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w:t>
      </w:r>
      <w:r w:rsidR="00007F8E">
        <w:rPr>
          <w:rFonts w:hint="eastAsia"/>
          <w:bCs/>
          <w:sz w:val="24"/>
        </w:rPr>
        <w:t>公证费、</w:t>
      </w:r>
      <w:r>
        <w:rPr>
          <w:rFonts w:hint="eastAsia"/>
          <w:bCs/>
          <w:sz w:val="24"/>
        </w:rPr>
        <w:t>诉讼费和仲裁费；</w:t>
      </w:r>
    </w:p>
    <w:p w14:paraId="6D067D8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2D0AD3C0" w14:textId="49296AD1"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w:t>
      </w:r>
      <w:r w:rsidR="00007F8E">
        <w:rPr>
          <w:rFonts w:hint="eastAsia"/>
          <w:bCs/>
          <w:sz w:val="24"/>
        </w:rPr>
        <w:t>、股票期权</w:t>
      </w:r>
      <w:r>
        <w:rPr>
          <w:rFonts w:hint="eastAsia"/>
          <w:bCs/>
          <w:sz w:val="24"/>
        </w:rPr>
        <w:t>交易费用；</w:t>
      </w:r>
    </w:p>
    <w:p w14:paraId="136A44A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6ED823E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74E5B34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14:paraId="2B1B6F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568BB15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481EB0FE" w14:textId="6A1DCB9D" w:rsidR="009D10D8" w:rsidRDefault="009E4577">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1.</w:t>
      </w:r>
      <w:r w:rsidR="00023057">
        <w:rPr>
          <w:bCs/>
          <w:sz w:val="24"/>
        </w:rPr>
        <w:t>2</w:t>
      </w:r>
      <w:r w:rsidR="00007F8E">
        <w:rPr>
          <w:bCs/>
          <w:sz w:val="24"/>
        </w:rPr>
        <w:t>0</w:t>
      </w:r>
      <w:r>
        <w:rPr>
          <w:rFonts w:hint="eastAsia"/>
          <w:bCs/>
          <w:sz w:val="24"/>
        </w:rPr>
        <w:t>%</w:t>
      </w:r>
      <w:r>
        <w:rPr>
          <w:rFonts w:hint="eastAsia"/>
          <w:bCs/>
          <w:sz w:val="24"/>
        </w:rPr>
        <w:t>的年费率计提。管理费的计算方法如下：</w:t>
      </w:r>
    </w:p>
    <w:p w14:paraId="5C78D311" w14:textId="14193C0D"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1.</w:t>
      </w:r>
      <w:r w:rsidR="00023057">
        <w:rPr>
          <w:bCs/>
          <w:sz w:val="24"/>
        </w:rPr>
        <w:t>2</w:t>
      </w:r>
      <w:r w:rsidR="00007F8E">
        <w:rPr>
          <w:bCs/>
          <w:sz w:val="24"/>
        </w:rPr>
        <w:t>0</w:t>
      </w:r>
      <w:r>
        <w:rPr>
          <w:rFonts w:hint="eastAsia"/>
          <w:bCs/>
          <w:sz w:val="24"/>
        </w:rPr>
        <w:t>%</w:t>
      </w:r>
      <w:r>
        <w:rPr>
          <w:rFonts w:hint="eastAsia"/>
          <w:bCs/>
          <w:sz w:val="24"/>
        </w:rPr>
        <w:t>÷当年天数</w:t>
      </w:r>
    </w:p>
    <w:p w14:paraId="224628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788754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7AD1B3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基金管理费每日计提，逐日累计至每月月末，按月支付。由基金管理人于次月首日起</w:t>
      </w:r>
      <w:r>
        <w:rPr>
          <w:rFonts w:hint="eastAsia"/>
          <w:bCs/>
          <w:sz w:val="24"/>
        </w:rPr>
        <w:t>5</w:t>
      </w:r>
      <w:r>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59D0F6D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09A5C77" w14:textId="2721756C" w:rsidR="009D10D8" w:rsidRDefault="009E4577">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w:t>
      </w:r>
      <w:r w:rsidR="00023057">
        <w:rPr>
          <w:bCs/>
          <w:sz w:val="24"/>
        </w:rPr>
        <w:t>2</w:t>
      </w:r>
      <w:r>
        <w:rPr>
          <w:bCs/>
          <w:sz w:val="24"/>
        </w:rPr>
        <w:t>0</w:t>
      </w:r>
      <w:r>
        <w:rPr>
          <w:rFonts w:hint="eastAsia"/>
          <w:bCs/>
          <w:sz w:val="24"/>
        </w:rPr>
        <w:t>%</w:t>
      </w:r>
      <w:r>
        <w:rPr>
          <w:rFonts w:hint="eastAsia"/>
          <w:bCs/>
          <w:sz w:val="24"/>
        </w:rPr>
        <w:t>的年费率计提。托管费的计算方法如下：</w:t>
      </w:r>
    </w:p>
    <w:p w14:paraId="7CDA0A35" w14:textId="49A27AA3"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w:t>
      </w:r>
      <w:r w:rsidR="00023057">
        <w:rPr>
          <w:bCs/>
          <w:sz w:val="24"/>
        </w:rPr>
        <w:t>2</w:t>
      </w:r>
      <w:r>
        <w:rPr>
          <w:bCs/>
          <w:sz w:val="24"/>
        </w:rPr>
        <w:t>0</w:t>
      </w:r>
      <w:r>
        <w:rPr>
          <w:rFonts w:hint="eastAsia"/>
          <w:bCs/>
          <w:sz w:val="24"/>
        </w:rPr>
        <w:t>%</w:t>
      </w:r>
      <w:r>
        <w:rPr>
          <w:rFonts w:hint="eastAsia"/>
          <w:bCs/>
          <w:sz w:val="24"/>
        </w:rPr>
        <w:t>÷当年天数</w:t>
      </w:r>
    </w:p>
    <w:p w14:paraId="53C690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H</w:t>
      </w:r>
      <w:r>
        <w:rPr>
          <w:rFonts w:hint="eastAsia"/>
          <w:bCs/>
          <w:sz w:val="24"/>
        </w:rPr>
        <w:t>为每日应计提的基金托管费</w:t>
      </w:r>
    </w:p>
    <w:p w14:paraId="039B06B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6D5C353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基金托管费每日计提，逐日累计至每月月末，按月支付。由基金管理人于次月首日起</w:t>
      </w:r>
      <w:r>
        <w:rPr>
          <w:rFonts w:hint="eastAsia"/>
          <w:bCs/>
          <w:sz w:val="24"/>
        </w:rPr>
        <w:t>5</w:t>
      </w:r>
      <w:r>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0571C64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78CFBEFE" w14:textId="4115F26A" w:rsidR="009D10D8" w:rsidRDefault="009E4577">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0.4</w:t>
      </w:r>
      <w:r w:rsidR="00007F8E">
        <w:rPr>
          <w:bCs/>
          <w:sz w:val="24"/>
        </w:rPr>
        <w:t>0</w:t>
      </w:r>
      <w:r>
        <w:rPr>
          <w:rFonts w:hint="eastAsia"/>
          <w:bCs/>
          <w:sz w:val="24"/>
        </w:rPr>
        <w:t>%</w:t>
      </w:r>
      <w:r>
        <w:rPr>
          <w:rFonts w:hint="eastAsia"/>
          <w:bCs/>
          <w:sz w:val="24"/>
        </w:rPr>
        <w:t>。销售服务费的计算方法如下：</w:t>
      </w:r>
    </w:p>
    <w:p w14:paraId="54DF217D" w14:textId="02019E55"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0.4</w:t>
      </w:r>
      <w:r w:rsidR="00007F8E">
        <w:rPr>
          <w:bCs/>
          <w:sz w:val="24"/>
        </w:rPr>
        <w:t>0</w:t>
      </w:r>
      <w:r>
        <w:rPr>
          <w:rFonts w:hint="eastAsia"/>
          <w:bCs/>
          <w:sz w:val="24"/>
        </w:rPr>
        <w:t>%</w:t>
      </w:r>
      <w:r>
        <w:rPr>
          <w:rFonts w:hint="eastAsia"/>
          <w:bCs/>
          <w:sz w:val="24"/>
        </w:rPr>
        <w:t>÷当年天数</w:t>
      </w:r>
    </w:p>
    <w:p w14:paraId="0F14A52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260FD25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4804DD9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类基金份额的销售服务费每日计提，逐日累计至每月月末，按月支付。由基金管理人于次月首日起</w:t>
      </w:r>
      <w:r>
        <w:rPr>
          <w:rFonts w:hint="eastAsia"/>
          <w:bCs/>
          <w:sz w:val="24"/>
        </w:rPr>
        <w:t>5</w:t>
      </w:r>
      <w:r>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7DB509F2" w14:textId="1323E3D8" w:rsidR="009D10D8" w:rsidRDefault="009E4577">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项费用，根据有关法规及相应协议规定，按费用实际支出金额列入当期费用，由基金托管人从基金财产中支付。</w:t>
      </w:r>
    </w:p>
    <w:p w14:paraId="254B75F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三、不列入基金费用的项目</w:t>
      </w:r>
    </w:p>
    <w:p w14:paraId="5AF836C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下列费用不列入基金费用：</w:t>
      </w:r>
    </w:p>
    <w:p w14:paraId="7F59574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21768F2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5C5F44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4DC0BCF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761E516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四、实施侧袋机制期间的基金费用</w:t>
      </w:r>
    </w:p>
    <w:p w14:paraId="0426D2E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本基金实施侧袋机制的，与侧袋账户有关的费用可以从侧袋账户中列支，但</w:t>
      </w:r>
      <w:r>
        <w:rPr>
          <w:rFonts w:hint="eastAsia"/>
          <w:bCs/>
          <w:sz w:val="24"/>
        </w:rPr>
        <w:lastRenderedPageBreak/>
        <w:t>应待侧袋账户资产变现后方可列支，有关费用可酌情收取或减免，但不得收取管理费，详见招募说明书“侧袋机制”部分的规定。</w:t>
      </w:r>
    </w:p>
    <w:p w14:paraId="6076087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五、基金税收</w:t>
      </w:r>
    </w:p>
    <w:p w14:paraId="2B30871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本基金运作过程中涉及的各纳税主体，其纳税义务按国家税收法律、法规执行。</w:t>
      </w:r>
    </w:p>
    <w:p w14:paraId="7FBA60F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2C2753CD" w14:textId="77777777" w:rsidR="009D10D8" w:rsidRDefault="009D10D8">
      <w:pPr>
        <w:autoSpaceDE w:val="0"/>
        <w:autoSpaceDN w:val="0"/>
        <w:spacing w:line="360" w:lineRule="auto"/>
        <w:ind w:firstLineChars="200" w:firstLine="480"/>
        <w:textAlignment w:val="bottom"/>
        <w:rPr>
          <w:bCs/>
          <w:sz w:val="24"/>
        </w:rPr>
      </w:pPr>
    </w:p>
    <w:p w14:paraId="7BC6B869" w14:textId="77777777" w:rsidR="009D10D8" w:rsidRDefault="009E4577">
      <w:pPr>
        <w:widowControl/>
        <w:jc w:val="left"/>
        <w:rPr>
          <w:bCs/>
          <w:sz w:val="24"/>
        </w:rPr>
      </w:pPr>
      <w:r>
        <w:rPr>
          <w:bCs/>
          <w:sz w:val="24"/>
        </w:rPr>
        <w:br w:type="page"/>
      </w:r>
    </w:p>
    <w:p w14:paraId="119D854A" w14:textId="77777777" w:rsidR="009D10D8" w:rsidRDefault="009E4577">
      <w:pPr>
        <w:pStyle w:val="1"/>
        <w:jc w:val="center"/>
        <w:rPr>
          <w:sz w:val="30"/>
          <w:szCs w:val="30"/>
        </w:rPr>
      </w:pPr>
      <w:bookmarkStart w:id="280" w:name="_Toc68783442"/>
      <w:r>
        <w:rPr>
          <w:rFonts w:hint="eastAsia"/>
          <w:sz w:val="30"/>
          <w:szCs w:val="30"/>
        </w:rPr>
        <w:lastRenderedPageBreak/>
        <w:t>第十四部分</w:t>
      </w:r>
      <w:r>
        <w:rPr>
          <w:sz w:val="30"/>
          <w:szCs w:val="30"/>
        </w:rPr>
        <w:t xml:space="preserve">  </w:t>
      </w:r>
      <w:r>
        <w:rPr>
          <w:rFonts w:hint="eastAsia"/>
          <w:sz w:val="30"/>
          <w:szCs w:val="30"/>
        </w:rPr>
        <w:t>基金的会计与审计</w:t>
      </w:r>
      <w:bookmarkEnd w:id="263"/>
      <w:bookmarkEnd w:id="264"/>
      <w:bookmarkEnd w:id="265"/>
      <w:bookmarkEnd w:id="280"/>
    </w:p>
    <w:p w14:paraId="630F26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一、基金会计政策</w:t>
      </w:r>
    </w:p>
    <w:p w14:paraId="5737577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012384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4A99C19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07A4CDF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587D87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62B756A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2E855E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、基金托管人每月与基金管理人就基金的会计核算、报表编制等进行核对并以书面方式确认。</w:t>
      </w:r>
    </w:p>
    <w:p w14:paraId="4D79CB3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二、基金的年度审计</w:t>
      </w:r>
    </w:p>
    <w:p w14:paraId="54750C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296DE52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77FC70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w:t>
      </w:r>
      <w:r>
        <w:rPr>
          <w:rFonts w:asciiTheme="minorEastAsia" w:hAnsiTheme="minorEastAsia" w:cs="Times New Roman" w:hint="eastAsia"/>
          <w:sz w:val="24"/>
          <w:szCs w:val="24"/>
        </w:rPr>
        <w:t>规定</w:t>
      </w:r>
      <w:r>
        <w:rPr>
          <w:rFonts w:hint="eastAsia"/>
          <w:bCs/>
          <w:sz w:val="24"/>
        </w:rPr>
        <w:t>媒介公告。</w:t>
      </w:r>
    </w:p>
    <w:p w14:paraId="2A869A3C" w14:textId="77777777" w:rsidR="009D10D8" w:rsidRDefault="009E4577">
      <w:pPr>
        <w:widowControl/>
        <w:jc w:val="left"/>
        <w:rPr>
          <w:bCs/>
          <w:sz w:val="24"/>
        </w:rPr>
      </w:pPr>
      <w:r>
        <w:rPr>
          <w:bCs/>
          <w:sz w:val="24"/>
        </w:rPr>
        <w:br w:type="page"/>
      </w:r>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p>
    <w:p w14:paraId="08D7B5DC" w14:textId="77777777" w:rsidR="009D10D8" w:rsidRDefault="009E4577">
      <w:pPr>
        <w:pStyle w:val="1"/>
        <w:jc w:val="center"/>
        <w:rPr>
          <w:sz w:val="30"/>
          <w:szCs w:val="30"/>
        </w:rPr>
      </w:pPr>
      <w:bookmarkStart w:id="281" w:name="_Toc79978642"/>
      <w:bookmarkStart w:id="282" w:name="_Toc68783443"/>
      <w:bookmarkStart w:id="283" w:name="_Toc214873604"/>
      <w:bookmarkStart w:id="284" w:name="_Toc263092323"/>
      <w:bookmarkStart w:id="285" w:name="_Toc416264551"/>
      <w:bookmarkStart w:id="286" w:name="_Toc15525"/>
      <w:bookmarkStart w:id="287" w:name="_Toc352229762"/>
      <w:bookmarkStart w:id="288" w:name="_Toc93226149"/>
      <w:bookmarkStart w:id="289" w:name="_Toc92662707"/>
      <w:bookmarkStart w:id="290" w:name="_Toc128310499"/>
      <w:bookmarkStart w:id="291" w:name="_Toc15351"/>
      <w:bookmarkStart w:id="292" w:name="_Toc19558"/>
      <w:bookmarkStart w:id="293" w:name="_Toc178"/>
      <w:bookmarkStart w:id="294" w:name="_Toc22552"/>
      <w:bookmarkStart w:id="295" w:name="_Toc12761"/>
      <w:bookmarkStart w:id="296" w:name="_Toc1617"/>
      <w:bookmarkStart w:id="297" w:name="_Toc3656"/>
      <w:bookmarkStart w:id="298" w:name="_Toc139991746"/>
      <w:bookmarkStart w:id="299" w:name="_Toc20052"/>
      <w:bookmarkStart w:id="300" w:name="_Toc21829"/>
      <w:bookmarkStart w:id="301" w:name="_Toc25883"/>
      <w:bookmarkStart w:id="302" w:name="_Toc141703896"/>
      <w:r>
        <w:rPr>
          <w:rFonts w:hint="eastAsia"/>
          <w:sz w:val="30"/>
          <w:szCs w:val="30"/>
        </w:rPr>
        <w:lastRenderedPageBreak/>
        <w:t>第十五部分</w:t>
      </w:r>
      <w:r>
        <w:rPr>
          <w:sz w:val="30"/>
          <w:szCs w:val="30"/>
        </w:rPr>
        <w:t xml:space="preserve">  </w:t>
      </w:r>
      <w:r>
        <w:rPr>
          <w:rFonts w:hint="eastAsia"/>
          <w:sz w:val="30"/>
          <w:szCs w:val="30"/>
        </w:rPr>
        <w:t>基金的信息披露</w:t>
      </w:r>
      <w:bookmarkEnd w:id="281"/>
      <w:bookmarkEnd w:id="282"/>
      <w:bookmarkEnd w:id="283"/>
      <w:bookmarkEnd w:id="284"/>
      <w:bookmarkEnd w:id="285"/>
    </w:p>
    <w:p w14:paraId="5668660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7E1F01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二、信息披露义务人</w:t>
      </w:r>
    </w:p>
    <w:p w14:paraId="0691CE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22A2685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4B8A55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本基金信息披露义务人应当在中国证监会规定时间内，将应予披露的基金信息通过符合中国证监会</w:t>
      </w:r>
      <w:r>
        <w:rPr>
          <w:rFonts w:asciiTheme="minorEastAsia" w:hAnsiTheme="minorEastAsia" w:cs="Times New Roman" w:hint="eastAsia"/>
          <w:sz w:val="24"/>
          <w:szCs w:val="24"/>
        </w:rPr>
        <w:t>规定条件的用以进行信息披露</w:t>
      </w:r>
      <w:r>
        <w:rPr>
          <w:rFonts w:hint="eastAsia"/>
          <w:bCs/>
          <w:sz w:val="24"/>
        </w:rPr>
        <w:t>的全国性报刊（以下简称“</w:t>
      </w:r>
      <w:r>
        <w:rPr>
          <w:rFonts w:asciiTheme="minorEastAsia" w:hAnsiTheme="minorEastAsia" w:cs="Times New Roman" w:hint="eastAsia"/>
          <w:sz w:val="24"/>
          <w:szCs w:val="24"/>
        </w:rPr>
        <w:t>规定</w:t>
      </w:r>
      <w:r>
        <w:rPr>
          <w:rFonts w:hint="eastAsia"/>
          <w:bCs/>
          <w:sz w:val="24"/>
        </w:rPr>
        <w:t>报刊”）及《信息披露办法》</w:t>
      </w:r>
      <w:r>
        <w:rPr>
          <w:rFonts w:asciiTheme="minorEastAsia" w:hAnsiTheme="minorEastAsia" w:cs="Times New Roman" w:hint="eastAsia"/>
          <w:sz w:val="24"/>
          <w:szCs w:val="24"/>
        </w:rPr>
        <w:t>规定的</w:t>
      </w:r>
      <w:r>
        <w:rPr>
          <w:rFonts w:hint="eastAsia"/>
          <w:bCs/>
          <w:sz w:val="24"/>
        </w:rPr>
        <w:t>互联网网站（以下简称“</w:t>
      </w:r>
      <w:r>
        <w:rPr>
          <w:rFonts w:asciiTheme="minorEastAsia" w:hAnsiTheme="minorEastAsia" w:cs="Times New Roman" w:hint="eastAsia"/>
          <w:sz w:val="24"/>
          <w:szCs w:val="24"/>
        </w:rPr>
        <w:t>规定</w:t>
      </w:r>
      <w:r>
        <w:rPr>
          <w:rFonts w:hint="eastAsia"/>
          <w:bCs/>
          <w:sz w:val="24"/>
        </w:rPr>
        <w:t>网站”）等媒介披露，并保证基金投资者能够按照《基金合同》约定的时间和方式查阅或者复制公开披露的信息资料。</w:t>
      </w:r>
    </w:p>
    <w:p w14:paraId="1503006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2F32B11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46C0214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53CAB3C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225EEE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2EE0052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6332702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210455F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3E63A6F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100A678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五、公开披露的基金信息</w:t>
      </w:r>
    </w:p>
    <w:p w14:paraId="7A331057"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公开披露的基金信息包括：</w:t>
      </w:r>
    </w:p>
    <w:p w14:paraId="1406D97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65D04CA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031A11B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Pr>
          <w:rFonts w:asciiTheme="minorEastAsia" w:hAnsiTheme="minorEastAsia" w:cs="Times New Roman" w:hint="eastAsia"/>
          <w:sz w:val="24"/>
          <w:szCs w:val="24"/>
        </w:rPr>
        <w:t>规定</w:t>
      </w:r>
      <w:r>
        <w:rPr>
          <w:rFonts w:hint="eastAsia"/>
          <w:bCs/>
          <w:sz w:val="24"/>
        </w:rPr>
        <w:t>网站上；基金招募说明书其他信息发生变更的，基金管理人至少每年更新一次。基金终止运作的，基金管理人不再更新基金招募说明书。</w:t>
      </w:r>
    </w:p>
    <w:p w14:paraId="1A25776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2A62D5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Pr>
          <w:rFonts w:asciiTheme="minorEastAsia" w:hAnsiTheme="minorEastAsia" w:cs="Times New Roman" w:hint="eastAsia"/>
          <w:sz w:val="24"/>
          <w:szCs w:val="24"/>
        </w:rPr>
        <w:t>规定</w:t>
      </w:r>
      <w:r>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2C9C14D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w:t>
      </w:r>
      <w:r>
        <w:rPr>
          <w:rFonts w:asciiTheme="minorEastAsia" w:hAnsiTheme="minorEastAsia" w:cs="Times New Roman" w:hint="eastAsia"/>
          <w:sz w:val="24"/>
          <w:szCs w:val="24"/>
        </w:rPr>
        <w:t>规定</w:t>
      </w:r>
      <w:r>
        <w:rPr>
          <w:rFonts w:hint="eastAsia"/>
          <w:bCs/>
          <w:sz w:val="24"/>
        </w:rPr>
        <w:t>报刊上，将基金份额发售公告、基金招募说明书、基金产品资料概要、基金合同和基金托管协议登载在</w:t>
      </w:r>
      <w:r>
        <w:rPr>
          <w:rFonts w:asciiTheme="minorEastAsia" w:hAnsiTheme="minorEastAsia" w:cs="Times New Roman" w:hint="eastAsia"/>
          <w:sz w:val="24"/>
          <w:szCs w:val="24"/>
        </w:rPr>
        <w:t>规定</w:t>
      </w:r>
      <w:r>
        <w:rPr>
          <w:rFonts w:hint="eastAsia"/>
          <w:bCs/>
          <w:sz w:val="24"/>
        </w:rPr>
        <w:t>网站上，并将基金产品资料概要登载在基金销售机构网站或营业网点；基金托管人应当同时将《基金合同》、基金托管协议登载在网站上。</w:t>
      </w:r>
    </w:p>
    <w:p w14:paraId="7AD8BAC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（二）基金份额发售公告</w:t>
      </w:r>
    </w:p>
    <w:p w14:paraId="6783088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w:t>
      </w:r>
      <w:r>
        <w:rPr>
          <w:rFonts w:asciiTheme="minorEastAsia" w:hAnsiTheme="minorEastAsia" w:cs="Times New Roman" w:hint="eastAsia"/>
          <w:sz w:val="24"/>
          <w:szCs w:val="24"/>
        </w:rPr>
        <w:t>规定</w:t>
      </w:r>
      <w:r>
        <w:rPr>
          <w:rFonts w:hint="eastAsia"/>
          <w:bCs/>
          <w:sz w:val="24"/>
        </w:rPr>
        <w:t>媒介上。</w:t>
      </w:r>
    </w:p>
    <w:p w14:paraId="28EA72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（三）《基金合同》生效公告</w:t>
      </w:r>
    </w:p>
    <w:p w14:paraId="453FAA40"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基金管理人应当在收到中国证监会确认文件的次日在</w:t>
      </w:r>
      <w:r>
        <w:rPr>
          <w:rFonts w:asciiTheme="minorEastAsia" w:hAnsiTheme="minorEastAsia" w:cs="Times New Roman" w:hint="eastAsia"/>
          <w:sz w:val="24"/>
          <w:szCs w:val="24"/>
        </w:rPr>
        <w:t>规定</w:t>
      </w:r>
      <w:r>
        <w:rPr>
          <w:rFonts w:hint="eastAsia"/>
          <w:bCs/>
          <w:sz w:val="24"/>
        </w:rPr>
        <w:t>媒介上登载《基金合同》生效公告。</w:t>
      </w:r>
    </w:p>
    <w:p w14:paraId="367335F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（四）基金净值信息</w:t>
      </w:r>
    </w:p>
    <w:p w14:paraId="7CE9061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w:t>
      </w:r>
      <w:r>
        <w:rPr>
          <w:rFonts w:asciiTheme="minorEastAsia" w:hAnsiTheme="minorEastAsia" w:cs="Times New Roman" w:hint="eastAsia"/>
          <w:sz w:val="24"/>
          <w:szCs w:val="24"/>
        </w:rPr>
        <w:t>规定</w:t>
      </w:r>
      <w:r>
        <w:rPr>
          <w:rFonts w:hint="eastAsia"/>
          <w:bCs/>
          <w:sz w:val="24"/>
        </w:rPr>
        <w:t>网站披露一次各类基金份额净值和基金份额累计净值。</w:t>
      </w:r>
    </w:p>
    <w:p w14:paraId="129C5CC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w:t>
      </w:r>
      <w:r>
        <w:rPr>
          <w:rFonts w:asciiTheme="minorEastAsia" w:hAnsiTheme="minorEastAsia" w:cs="Times New Roman" w:hint="eastAsia"/>
          <w:sz w:val="24"/>
          <w:szCs w:val="24"/>
        </w:rPr>
        <w:t>规定</w:t>
      </w:r>
      <w:r>
        <w:rPr>
          <w:rFonts w:hint="eastAsia"/>
          <w:bCs/>
          <w:sz w:val="24"/>
        </w:rPr>
        <w:t>网站、基金销售机构网站或营业网点披露开放日的各类基金份额净值和基金份额累计净值。</w:t>
      </w:r>
    </w:p>
    <w:p w14:paraId="13A01AD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w:t>
      </w:r>
      <w:r>
        <w:rPr>
          <w:rFonts w:asciiTheme="minorEastAsia" w:hAnsiTheme="minorEastAsia" w:cs="Times New Roman" w:hint="eastAsia"/>
          <w:sz w:val="24"/>
          <w:szCs w:val="24"/>
        </w:rPr>
        <w:t>规定</w:t>
      </w:r>
      <w:r>
        <w:rPr>
          <w:rFonts w:hint="eastAsia"/>
          <w:bCs/>
          <w:sz w:val="24"/>
        </w:rPr>
        <w:t>网站披露半年度和年度最后一日的各类基金份额净值和基金份额累计净值。</w:t>
      </w:r>
    </w:p>
    <w:p w14:paraId="00321D5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（五）基金份额申购、赎回价格</w:t>
      </w:r>
    </w:p>
    <w:p w14:paraId="1D9D7DA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3DE98B9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439C082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w:t>
      </w:r>
      <w:r>
        <w:rPr>
          <w:rFonts w:asciiTheme="minorEastAsia" w:hAnsiTheme="minorEastAsia" w:cs="Times New Roman" w:hint="eastAsia"/>
          <w:sz w:val="24"/>
          <w:szCs w:val="24"/>
        </w:rPr>
        <w:t>规定</w:t>
      </w:r>
      <w:r>
        <w:rPr>
          <w:rFonts w:hint="eastAsia"/>
          <w:bCs/>
          <w:sz w:val="24"/>
        </w:rPr>
        <w:t>网站上，并将年度报告提示性公告登载在</w:t>
      </w:r>
      <w:r>
        <w:rPr>
          <w:rFonts w:asciiTheme="minorEastAsia" w:hAnsiTheme="minorEastAsia" w:cs="Times New Roman" w:hint="eastAsia"/>
          <w:sz w:val="24"/>
          <w:szCs w:val="24"/>
        </w:rPr>
        <w:t>规定</w:t>
      </w:r>
      <w:r>
        <w:rPr>
          <w:rFonts w:hint="eastAsia"/>
          <w:bCs/>
          <w:sz w:val="24"/>
        </w:rPr>
        <w:t>报刊上。基金年度报告中的财务会计报告应当经过符合《中华人民共和国证券法》规定的会计师事务所审计。</w:t>
      </w:r>
    </w:p>
    <w:p w14:paraId="53F0944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基金管理人应当在上半年结束之日起两个月内，编制完成基金中期报告，并将中期报告登载在</w:t>
      </w:r>
      <w:r>
        <w:rPr>
          <w:rFonts w:asciiTheme="minorEastAsia" w:hAnsiTheme="minorEastAsia" w:cs="Times New Roman" w:hint="eastAsia"/>
          <w:sz w:val="24"/>
          <w:szCs w:val="24"/>
        </w:rPr>
        <w:t>规定</w:t>
      </w:r>
      <w:r>
        <w:rPr>
          <w:rFonts w:hint="eastAsia"/>
          <w:bCs/>
          <w:sz w:val="24"/>
        </w:rPr>
        <w:t>网站上，并将中期报告提示性公告登载在</w:t>
      </w:r>
      <w:r>
        <w:rPr>
          <w:rFonts w:asciiTheme="minorEastAsia" w:hAnsiTheme="minorEastAsia" w:cs="Times New Roman" w:hint="eastAsia"/>
          <w:sz w:val="24"/>
          <w:szCs w:val="24"/>
        </w:rPr>
        <w:t>规定</w:t>
      </w:r>
      <w:r>
        <w:rPr>
          <w:rFonts w:hint="eastAsia"/>
          <w:bCs/>
          <w:sz w:val="24"/>
        </w:rPr>
        <w:t>报刊上。</w:t>
      </w:r>
    </w:p>
    <w:p w14:paraId="4F75742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基金管理人应当在季度结束之日起</w:t>
      </w:r>
      <w:r>
        <w:rPr>
          <w:rFonts w:hint="eastAsia"/>
          <w:bCs/>
          <w:sz w:val="24"/>
        </w:rPr>
        <w:t>15</w:t>
      </w:r>
      <w:r>
        <w:rPr>
          <w:rFonts w:hint="eastAsia"/>
          <w:bCs/>
          <w:sz w:val="24"/>
        </w:rPr>
        <w:t>个工作日内，编制完成基金季度报告，将季度报告登载在</w:t>
      </w:r>
      <w:r>
        <w:rPr>
          <w:rFonts w:asciiTheme="minorEastAsia" w:hAnsiTheme="minorEastAsia" w:cs="Times New Roman" w:hint="eastAsia"/>
          <w:sz w:val="24"/>
          <w:szCs w:val="24"/>
        </w:rPr>
        <w:t>规定</w:t>
      </w:r>
      <w:r>
        <w:rPr>
          <w:rFonts w:hint="eastAsia"/>
          <w:bCs/>
          <w:sz w:val="24"/>
        </w:rPr>
        <w:t>网站上，并将季度报告提示性公告登载在</w:t>
      </w:r>
      <w:r>
        <w:rPr>
          <w:rFonts w:asciiTheme="minorEastAsia" w:hAnsiTheme="minorEastAsia" w:cs="Times New Roman" w:hint="eastAsia"/>
          <w:sz w:val="24"/>
          <w:szCs w:val="24"/>
        </w:rPr>
        <w:t>规定</w:t>
      </w:r>
      <w:r>
        <w:rPr>
          <w:rFonts w:hint="eastAsia"/>
          <w:bCs/>
          <w:sz w:val="24"/>
        </w:rPr>
        <w:t>报刊上。</w:t>
      </w:r>
    </w:p>
    <w:p w14:paraId="67F51E5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419A796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w:t>
      </w:r>
      <w:r>
        <w:rPr>
          <w:rFonts w:hint="eastAsia"/>
          <w:bCs/>
          <w:sz w:val="24"/>
        </w:rPr>
        <w:lastRenderedPageBreak/>
        <w:t>外。</w:t>
      </w:r>
    </w:p>
    <w:p w14:paraId="5E2F3C6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552E18A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（七）临时报告</w:t>
      </w:r>
    </w:p>
    <w:p w14:paraId="6474D6E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本基金发生重大事件，有关信息披露义务人应当依照《信息披露办法》的有关规定编制临时报告书，并登载在</w:t>
      </w:r>
      <w:r>
        <w:rPr>
          <w:rFonts w:asciiTheme="minorEastAsia" w:hAnsiTheme="minorEastAsia" w:cs="Times New Roman" w:hint="eastAsia"/>
          <w:sz w:val="24"/>
          <w:szCs w:val="24"/>
        </w:rPr>
        <w:t>规定</w:t>
      </w:r>
      <w:r>
        <w:rPr>
          <w:rFonts w:hint="eastAsia"/>
          <w:bCs/>
          <w:sz w:val="24"/>
        </w:rPr>
        <w:t>报刊和</w:t>
      </w:r>
      <w:r>
        <w:rPr>
          <w:rFonts w:asciiTheme="minorEastAsia" w:hAnsiTheme="minorEastAsia" w:cs="Times New Roman" w:hint="eastAsia"/>
          <w:sz w:val="24"/>
          <w:szCs w:val="24"/>
        </w:rPr>
        <w:t>规定</w:t>
      </w:r>
      <w:r>
        <w:rPr>
          <w:rFonts w:hint="eastAsia"/>
          <w:bCs/>
          <w:sz w:val="24"/>
        </w:rPr>
        <w:t>网站上。</w:t>
      </w:r>
    </w:p>
    <w:p w14:paraId="7165F92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7014D3D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6A10BF3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1F83A90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18F8061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7E0DD7E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742079F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1CF378F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4374177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57B4D6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4F881FD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343A18C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33D5617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07C2A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w:t>
      </w:r>
      <w:r>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70C4618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38DD78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2376732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、基金份额净值计价错误达基金份额净值百分之零点五；</w:t>
      </w:r>
    </w:p>
    <w:p w14:paraId="122D37D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6BC46A0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692390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147D1D1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1ED1A82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、在发生涉及基金申购、赎回事项调整或潜在影响投资者赎回等重大事项时；</w:t>
      </w:r>
    </w:p>
    <w:p w14:paraId="6C2D1E8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、基金管理人采用摆动定价机制进行估值；</w:t>
      </w:r>
    </w:p>
    <w:p w14:paraId="19FA42D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、调整基金份额类别设置；</w:t>
      </w:r>
    </w:p>
    <w:p w14:paraId="30E32BB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p>
    <w:p w14:paraId="1610DDC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（八）澄清公告</w:t>
      </w:r>
    </w:p>
    <w:p w14:paraId="2017F98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52CC5D4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052421B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562E8C6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（十）清算报告</w:t>
      </w:r>
    </w:p>
    <w:p w14:paraId="52CC145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基金合同终止的，基金管理人应当依法组织基金财产清算小组对基金财产进行清算并作出清算报告。基金财产清算小组应当将清算报告登载在</w:t>
      </w:r>
      <w:r>
        <w:rPr>
          <w:rFonts w:asciiTheme="minorEastAsia" w:hAnsiTheme="minorEastAsia" w:cs="Times New Roman" w:hint="eastAsia"/>
          <w:sz w:val="24"/>
          <w:szCs w:val="24"/>
        </w:rPr>
        <w:t>规定</w:t>
      </w:r>
      <w:r>
        <w:rPr>
          <w:rFonts w:hint="eastAsia"/>
          <w:bCs/>
          <w:sz w:val="24"/>
        </w:rPr>
        <w:t>网站上，并将清算报告提示性公告登载在</w:t>
      </w:r>
      <w:r>
        <w:rPr>
          <w:rFonts w:asciiTheme="minorEastAsia" w:hAnsiTheme="minorEastAsia" w:cs="Times New Roman" w:hint="eastAsia"/>
          <w:sz w:val="24"/>
          <w:szCs w:val="24"/>
        </w:rPr>
        <w:t>规定</w:t>
      </w:r>
      <w:r>
        <w:rPr>
          <w:rFonts w:hint="eastAsia"/>
          <w:bCs/>
          <w:sz w:val="24"/>
        </w:rPr>
        <w:t>报刊上。</w:t>
      </w:r>
    </w:p>
    <w:p w14:paraId="7A363DA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（十一）实施侧袋机制期间的信息披露</w:t>
      </w:r>
    </w:p>
    <w:p w14:paraId="0DE811E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本基金实施侧袋机制的，相关信息披露义务人应当根据法律法规、基金合同和招募说明书的规定进行信息披露，详见本招募说明书“侧袋机制”部分的规定。</w:t>
      </w:r>
    </w:p>
    <w:p w14:paraId="1B03837E"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（十二）基金投资股指期货的相关公告</w:t>
      </w:r>
    </w:p>
    <w:p w14:paraId="70D8319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0F27BB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（十三）基金投资国债期货的相关公告</w:t>
      </w:r>
    </w:p>
    <w:p w14:paraId="6181E96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4FE5371E" w14:textId="77777777" w:rsidR="009D10D8" w:rsidRDefault="009E4577">
      <w:pPr>
        <w:spacing w:line="360" w:lineRule="auto"/>
        <w:ind w:firstLineChars="200" w:firstLine="480"/>
        <w:rPr>
          <w:bCs/>
          <w:color w:val="000000"/>
          <w:sz w:val="24"/>
        </w:rPr>
      </w:pPr>
      <w:r>
        <w:rPr>
          <w:rFonts w:hint="eastAsia"/>
          <w:bCs/>
          <w:color w:val="000000"/>
          <w:sz w:val="24"/>
        </w:rPr>
        <w:t>（十四）基金投资资产支持证券的信息披露</w:t>
      </w:r>
    </w:p>
    <w:p w14:paraId="2780540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124CAD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（十五）基金投资股票期权的相关公告</w:t>
      </w:r>
    </w:p>
    <w:p w14:paraId="7B857CD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B12C71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（十六）基金投资信用衍生品的信息披露</w:t>
      </w:r>
    </w:p>
    <w:p w14:paraId="2A6D200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在季度报告、中期报告、年度报告等定期报告和招募说明书（更新）等文件中披露信用衍生品的投资情况，包括投资策略、持仓情况等，并充分揭示投资信用衍生品对基金总体风险的影响以及是否符合既定的投资目标及策略。</w:t>
      </w:r>
    </w:p>
    <w:p w14:paraId="3771FEB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（十七）基金投资非公开发行股票的信息披露</w:t>
      </w:r>
    </w:p>
    <w:p w14:paraId="2B44797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w:t>
      </w:r>
      <w:r>
        <w:rPr>
          <w:rFonts w:asciiTheme="minorEastAsia" w:hAnsiTheme="minorEastAsia" w:cs="Times New Roman" w:hint="eastAsia"/>
          <w:sz w:val="24"/>
          <w:szCs w:val="24"/>
        </w:rPr>
        <w:t>规定</w:t>
      </w:r>
      <w:r>
        <w:rPr>
          <w:rFonts w:hint="eastAsia"/>
          <w:bCs/>
          <w:sz w:val="24"/>
        </w:rPr>
        <w:t>媒介披露所投资非公开发行股票的名称、数量、总成本、账面价值，以及总成本和账面价值占基金资产净值的比例、锁定期等信息。</w:t>
      </w:r>
    </w:p>
    <w:p w14:paraId="7CF551D3"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（十八）基金参与融资业务的信息披露</w:t>
      </w:r>
    </w:p>
    <w:p w14:paraId="6A510C4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4251E18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（十九）中国证监会规定的其他信息。</w:t>
      </w:r>
    </w:p>
    <w:p w14:paraId="5A45E60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六、信息披露事务管理</w:t>
      </w:r>
    </w:p>
    <w:p w14:paraId="4696D9F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243575E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31F92B8F"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F08E47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基金管理人、基金托管人应当在</w:t>
      </w:r>
      <w:r>
        <w:rPr>
          <w:rFonts w:asciiTheme="minorEastAsia" w:hAnsiTheme="minorEastAsia" w:cs="Times New Roman" w:hint="eastAsia"/>
          <w:sz w:val="24"/>
          <w:szCs w:val="24"/>
        </w:rPr>
        <w:t>规定</w:t>
      </w:r>
      <w:r>
        <w:rPr>
          <w:rFonts w:hint="eastAsia"/>
          <w:bCs/>
          <w:sz w:val="24"/>
        </w:rPr>
        <w:t>报刊中选择一家报刊披露本基金信息。基金管理人、基金托管人应当向中国证监会基金电子披露网站报送拟披露的基金信息，并保证相关报送信息的真实、准确、完整、及时。</w:t>
      </w:r>
    </w:p>
    <w:p w14:paraId="5331891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基金管理人、基金托管人除依法在</w:t>
      </w:r>
      <w:r>
        <w:rPr>
          <w:rFonts w:asciiTheme="minorEastAsia" w:hAnsiTheme="minorEastAsia" w:cs="Times New Roman" w:hint="eastAsia"/>
          <w:sz w:val="24"/>
          <w:szCs w:val="24"/>
        </w:rPr>
        <w:t>规定</w:t>
      </w:r>
      <w:r>
        <w:rPr>
          <w:rFonts w:hint="eastAsia"/>
          <w:bCs/>
          <w:sz w:val="24"/>
        </w:rPr>
        <w:t>媒介上披露信息外，还可以根据需要在其他公共媒介披露信息，但是其他公共媒介不得早于</w:t>
      </w:r>
      <w:r>
        <w:rPr>
          <w:rFonts w:asciiTheme="minorEastAsia" w:hAnsiTheme="minorEastAsia" w:cs="Times New Roman" w:hint="eastAsia"/>
          <w:sz w:val="24"/>
          <w:szCs w:val="24"/>
        </w:rPr>
        <w:t>规定</w:t>
      </w:r>
      <w:r>
        <w:rPr>
          <w:rFonts w:hint="eastAsia"/>
          <w:bCs/>
          <w:sz w:val="24"/>
        </w:rPr>
        <w:t>媒介披露信息，并且在不同媒介上披露同一信息的内容应当一致。</w:t>
      </w:r>
    </w:p>
    <w:p w14:paraId="2E6410D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4FE7D74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0C39EB2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24FFDBEA" w14:textId="77777777" w:rsidR="009D10D8" w:rsidRDefault="009E4577">
      <w:pPr>
        <w:autoSpaceDE w:val="0"/>
        <w:autoSpaceDN w:val="0"/>
        <w:spacing w:line="360" w:lineRule="auto"/>
        <w:ind w:firstLineChars="200" w:firstLine="480"/>
        <w:textAlignment w:val="bottom"/>
        <w:rPr>
          <w:bCs/>
          <w:sz w:val="24"/>
        </w:rPr>
      </w:pPr>
      <w:r>
        <w:rPr>
          <w:rFonts w:hint="eastAsia"/>
          <w:bCs/>
          <w:sz w:val="24"/>
        </w:rPr>
        <w:lastRenderedPageBreak/>
        <w:t>依法必须披露的信息发布后，基金管理人、基金托管人应当按照相关法律法规规定将信息置备于公司住所，供社会公众查阅、复制。</w:t>
      </w:r>
    </w:p>
    <w:p w14:paraId="06A46D3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6CFD815C"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545885B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、出现《基金合同》约定的暂停估值的情形时；</w:t>
      </w:r>
    </w:p>
    <w:p w14:paraId="630F3292" w14:textId="77777777" w:rsidR="009D10D8" w:rsidRDefault="009E4577">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5913EA7F" w14:textId="77777777" w:rsidR="009D10D8" w:rsidRDefault="009E4577">
      <w:pPr>
        <w:widowControl/>
        <w:jc w:val="left"/>
        <w:rPr>
          <w:bCs/>
          <w:sz w:val="24"/>
        </w:rPr>
      </w:pPr>
      <w:r>
        <w:rPr>
          <w:bCs/>
          <w:sz w:val="24"/>
        </w:rPr>
        <w:br w:type="page"/>
      </w:r>
    </w:p>
    <w:p w14:paraId="6C17F3B5" w14:textId="77777777" w:rsidR="009D10D8" w:rsidRDefault="009E4577">
      <w:pPr>
        <w:pStyle w:val="1"/>
        <w:jc w:val="center"/>
        <w:rPr>
          <w:sz w:val="30"/>
          <w:szCs w:val="30"/>
        </w:rPr>
      </w:pPr>
      <w:bookmarkStart w:id="303" w:name="_Toc68783444"/>
      <w:r>
        <w:rPr>
          <w:rFonts w:hint="eastAsia"/>
          <w:sz w:val="30"/>
          <w:szCs w:val="30"/>
        </w:rPr>
        <w:lastRenderedPageBreak/>
        <w:t>第十六部分</w:t>
      </w:r>
      <w:r>
        <w:rPr>
          <w:sz w:val="30"/>
          <w:szCs w:val="30"/>
        </w:rPr>
        <w:t xml:space="preserve">  </w:t>
      </w:r>
      <w:r>
        <w:rPr>
          <w:rFonts w:hint="eastAsia"/>
          <w:sz w:val="30"/>
          <w:szCs w:val="30"/>
        </w:rPr>
        <w:t>侧袋机制</w:t>
      </w:r>
      <w:bookmarkEnd w:id="303"/>
    </w:p>
    <w:p w14:paraId="6DED645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一、侧袋机制的实施条件</w:t>
      </w:r>
    </w:p>
    <w:p w14:paraId="472EFB3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w:t>
      </w:r>
    </w:p>
    <w:p w14:paraId="7067CA23"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基金管理人应当在启用侧袋机制后及时发布临时公告，并及时聘请符合《中华人民共和国证券法》规定的会计师事务所进行审计并披露专项审计意见。</w:t>
      </w:r>
    </w:p>
    <w:p w14:paraId="58C28F2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二、实施侧袋机制期间基金份额的申购与赎回</w:t>
      </w:r>
    </w:p>
    <w:p w14:paraId="3AFAE7D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469D1C0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、实施侧袋机制期间，基金管理人不办理侧袋账户份额的申购、赎回和转换；同时，基金管理人按照基金合同和招募说明书的约定办理主袋账户份额的赎回，并根据主袋账户运作情况确定是否暂停申购。</w:t>
      </w:r>
    </w:p>
    <w:p w14:paraId="14498BE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除基金管理人应按照主袋账户的份额净值办理主袋账户份额的申购和赎回外，本招募说明书“基金份额的申购与赎回”部分的申购、赎回规定适用于主袋账户份额。巨额赎回按照单个开放日内主袋账户份额净赎回申请超过前一开放日主袋账户总份额的</w:t>
      </w:r>
      <w:r>
        <w:rPr>
          <w:rFonts w:hint="eastAsia"/>
          <w:bCs/>
          <w:sz w:val="24"/>
        </w:rPr>
        <w:t>10%</w:t>
      </w:r>
      <w:r>
        <w:rPr>
          <w:rFonts w:hint="eastAsia"/>
          <w:bCs/>
          <w:sz w:val="24"/>
        </w:rPr>
        <w:t>认定。</w:t>
      </w:r>
    </w:p>
    <w:p w14:paraId="64897981"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三、实施侧袋机制期间的基金投资</w:t>
      </w:r>
    </w:p>
    <w:p w14:paraId="0907407A"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7641506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基金管理人原则上应当在侧袋机制启用后</w:t>
      </w:r>
      <w:r>
        <w:rPr>
          <w:rFonts w:hint="eastAsia"/>
          <w:bCs/>
          <w:sz w:val="24"/>
        </w:rPr>
        <w:t>20</w:t>
      </w:r>
      <w:r>
        <w:rPr>
          <w:rFonts w:hint="eastAsia"/>
          <w:bCs/>
          <w:sz w:val="24"/>
        </w:rPr>
        <w:t>个交易日内完成对主袋账户投资组合的调整，因资产流动性受限等中国证监会规定的情形除外。</w:t>
      </w:r>
    </w:p>
    <w:p w14:paraId="42B64F3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基金管理人不得在侧袋账户中进行除特定资产处置变现以外的其他投资操作。</w:t>
      </w:r>
    </w:p>
    <w:p w14:paraId="6709DC0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四、实施侧袋机制期间的基金估值</w:t>
      </w:r>
    </w:p>
    <w:p w14:paraId="004BCE3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本基金实施侧袋机制的，基金管理人和基金托管人应对主袋账户资产进行估</w:t>
      </w:r>
      <w:r>
        <w:rPr>
          <w:rFonts w:hint="eastAsia"/>
          <w:bCs/>
          <w:sz w:val="24"/>
        </w:rPr>
        <w:lastRenderedPageBreak/>
        <w:t>值并披露主袋账户的基金净值信息，暂停披露侧袋账户份额净值。侧袋账户的会计核算应符合《企业会计准则》的相关要求。</w:t>
      </w:r>
    </w:p>
    <w:p w14:paraId="7732F89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五、实施侧袋账户期间的基金费用</w:t>
      </w:r>
    </w:p>
    <w:p w14:paraId="7978505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、本基金实施侧袋机制的，主袋账户的管理费、托管费、销售服务费按主袋账户基金资产净值作为基数计提。</w:t>
      </w:r>
    </w:p>
    <w:p w14:paraId="17AEEF6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、与侧袋账户有关的费用可从侧袋账户中列支，但应待侧袋账户资产变现后方可列支，有关费用可酌情收取或减免，但不得收取管理费。</w:t>
      </w:r>
    </w:p>
    <w:p w14:paraId="2D22F52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六、侧袋账户中特定资产的处置变现和支付</w:t>
      </w:r>
    </w:p>
    <w:p w14:paraId="3123652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35EC8BC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4EBACF0B"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侧袋账户资产全部完成变现并终止侧袋机制后，基金管理人应及时聘请符合《中华人民共和国证券法》规定的会计师事务所进行审计并披露专项审计意见。</w:t>
      </w:r>
    </w:p>
    <w:p w14:paraId="6FA5C7F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七、侧袋机制的信息披露</w:t>
      </w:r>
    </w:p>
    <w:p w14:paraId="45F528F2" w14:textId="77777777" w:rsidR="009D10D8" w:rsidRDefault="009E4577">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、临时公告</w:t>
      </w:r>
    </w:p>
    <w:p w14:paraId="69309A10"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在启用侧袋机制、处置特定资产、终止侧袋机制以及发生其他可能对投资者利益产生重大影响的事项后基金管理人应及时发布临时公告。</w:t>
      </w:r>
    </w:p>
    <w:p w14:paraId="089342F7" w14:textId="77777777" w:rsidR="009D10D8" w:rsidRDefault="009E4577">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、基金净值信息</w:t>
      </w:r>
    </w:p>
    <w:p w14:paraId="147CA778"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基金管理人应按照招募说明书“基金的信息披露”部分规定的基金净值信息披露方式和频率披露主袋账户份额的各类基金份额净值和基金份额累计净值。实施侧袋机制期间本基金暂停披露侧袋账户份额净值。</w:t>
      </w:r>
    </w:p>
    <w:p w14:paraId="0D3160BE"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、定期报告</w:t>
      </w:r>
    </w:p>
    <w:p w14:paraId="3A590AB4" w14:textId="77777777" w:rsidR="009D10D8" w:rsidRDefault="009E4577">
      <w:pPr>
        <w:autoSpaceDE w:val="0"/>
        <w:autoSpaceDN w:val="0"/>
        <w:spacing w:line="360" w:lineRule="auto"/>
        <w:ind w:firstLineChars="200" w:firstLine="480"/>
        <w:textAlignment w:val="bottom"/>
        <w:rPr>
          <w:bCs/>
          <w:sz w:val="24"/>
        </w:rPr>
      </w:pPr>
      <w:r>
        <w:rPr>
          <w:rFonts w:hint="eastAsia"/>
          <w:bCs/>
          <w:sz w:val="24"/>
        </w:rPr>
        <w:t>侧袋机制实施期间，基金管理人应当在基金定期报告中披露报告期内侧袋账户相关信息，基金定期报告中的基金会计报表仅需针对主袋账户进行编制。会计师事务所对基金年度报告进行审计时，应对报告期内基金侧袋机制运行相关的会</w:t>
      </w:r>
      <w:r>
        <w:rPr>
          <w:rFonts w:hint="eastAsia"/>
          <w:bCs/>
          <w:sz w:val="24"/>
        </w:rPr>
        <w:lastRenderedPageBreak/>
        <w:t>计核算和年度报告披露等发表审计意见。</w:t>
      </w:r>
    </w:p>
    <w:p w14:paraId="04FC5F48" w14:textId="77777777" w:rsidR="009D10D8" w:rsidRDefault="009E4577">
      <w:pPr>
        <w:widowControl/>
        <w:jc w:val="left"/>
        <w:rPr>
          <w:bCs/>
          <w:sz w:val="24"/>
        </w:rPr>
      </w:pPr>
      <w:r>
        <w:rPr>
          <w:bCs/>
          <w:sz w:val="24"/>
        </w:rPr>
        <w:br w:type="page"/>
      </w:r>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p>
    <w:p w14:paraId="60DFEFFF" w14:textId="77777777" w:rsidR="009D10D8" w:rsidRDefault="009E4577">
      <w:pPr>
        <w:pStyle w:val="1"/>
        <w:jc w:val="center"/>
        <w:rPr>
          <w:sz w:val="30"/>
          <w:szCs w:val="30"/>
        </w:rPr>
      </w:pPr>
      <w:bookmarkStart w:id="304" w:name="_Toc416264552"/>
      <w:bookmarkStart w:id="305" w:name="_Toc68783445"/>
      <w:bookmarkStart w:id="306" w:name="_Toc12357178"/>
      <w:bookmarkStart w:id="307" w:name="_Toc263092324"/>
      <w:bookmarkStart w:id="308" w:name="_Toc214873605"/>
      <w:bookmarkStart w:id="309" w:name="_Toc21073398"/>
      <w:bookmarkStart w:id="310" w:name="_Toc147463125"/>
      <w:bookmarkStart w:id="311" w:name="_Toc93226150"/>
      <w:bookmarkStart w:id="312" w:name="_Toc92662708"/>
      <w:bookmarkStart w:id="313" w:name="_Toc17499"/>
      <w:bookmarkStart w:id="314" w:name="_Toc128310500"/>
      <w:bookmarkStart w:id="315" w:name="_Toc141703897"/>
      <w:bookmarkStart w:id="316" w:name="_Toc1043"/>
      <w:bookmarkStart w:id="317" w:name="_Toc10894"/>
      <w:bookmarkStart w:id="318" w:name="_Toc23859"/>
      <w:bookmarkStart w:id="319" w:name="_Toc31736"/>
      <w:bookmarkStart w:id="320" w:name="_Toc28961"/>
      <w:bookmarkStart w:id="321" w:name="_Toc18747"/>
      <w:bookmarkStart w:id="322" w:name="_Toc352229763"/>
      <w:bookmarkStart w:id="323" w:name="_Toc21206"/>
      <w:bookmarkStart w:id="324" w:name="_Toc18007"/>
      <w:bookmarkStart w:id="325" w:name="_Toc139991747"/>
      <w:bookmarkStart w:id="326" w:name="_Toc29695"/>
      <w:bookmarkStart w:id="327" w:name="_Toc13255"/>
      <w:r>
        <w:rPr>
          <w:rFonts w:hint="eastAsia"/>
          <w:sz w:val="30"/>
          <w:szCs w:val="30"/>
        </w:rPr>
        <w:lastRenderedPageBreak/>
        <w:t>第十七部分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0A06F53D"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47FAD257"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7C6441BF"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2D3B3D0A"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4A17DD3"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264F5A5"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630ADA9"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1482E365"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7C5A599A"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12C66D3"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F718C7D"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227571A"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0A45430F" w14:textId="77777777" w:rsidR="009D10D8" w:rsidRDefault="009E4577">
      <w:pPr>
        <w:pStyle w:val="12"/>
        <w:numPr>
          <w:ilvl w:val="0"/>
          <w:numId w:val="3"/>
        </w:numPr>
        <w:adjustRightInd w:val="0"/>
        <w:snapToGrid w:val="0"/>
        <w:spacing w:line="360" w:lineRule="auto"/>
        <w:ind w:firstLineChars="0"/>
        <w:rPr>
          <w:rFonts w:asciiTheme="minorEastAsia" w:hAnsiTheme="minorEastAsia" w:cs="Arial"/>
          <w:bCs/>
          <w:sz w:val="24"/>
          <w:szCs w:val="24"/>
        </w:rPr>
      </w:pPr>
      <w:r>
        <w:rPr>
          <w:rFonts w:asciiTheme="minorEastAsia" w:hAnsiTheme="minorEastAsia" w:cs="Arial" w:hint="eastAsia"/>
          <w:bCs/>
          <w:sz w:val="24"/>
          <w:szCs w:val="24"/>
        </w:rPr>
        <w:t>本基金的申购、赎回安排</w:t>
      </w:r>
    </w:p>
    <w:p w14:paraId="1E2A5C49" w14:textId="77777777" w:rsidR="009D10D8" w:rsidRDefault="009E4577">
      <w:pPr>
        <w:pStyle w:val="12"/>
        <w:numPr>
          <w:ilvl w:val="0"/>
          <w:numId w:val="3"/>
        </w:numPr>
        <w:adjustRightInd w:val="0"/>
        <w:snapToGrid w:val="0"/>
        <w:spacing w:line="360" w:lineRule="auto"/>
        <w:ind w:firstLineChars="0"/>
        <w:rPr>
          <w:rFonts w:asciiTheme="minorEastAsia" w:hAnsiTheme="minorEastAsia" w:cs="Arial"/>
          <w:bCs/>
          <w:sz w:val="24"/>
          <w:szCs w:val="24"/>
        </w:rPr>
      </w:pPr>
      <w:r>
        <w:rPr>
          <w:rFonts w:asciiTheme="minorEastAsia" w:hAnsiTheme="minorEastAsia" w:cs="Arial" w:hint="eastAsia"/>
          <w:bCs/>
          <w:sz w:val="24"/>
          <w:szCs w:val="24"/>
        </w:rPr>
        <w:t>拟投资市场、行业及资产的流动性风险评估</w:t>
      </w:r>
    </w:p>
    <w:p w14:paraId="5A231B15"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投资范围为具有良好流动性的金融工具（包括国内依法发行上市的股票、债券和货币市场工具等），同时本基金基于分散投资的原则在行业和个券方面未有高集中度的特征，综合评估在正常市场环境下本基金的流动性风险适中。</w:t>
      </w:r>
    </w:p>
    <w:p w14:paraId="0FD2E82C"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292196E9"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的基金份额超过上一开放日基金总份额一定比例以上的，基金管理人有权对其采取延期办理赎回申请的措施。</w:t>
      </w:r>
    </w:p>
    <w:p w14:paraId="08A72198"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（4）实施备用的流动性风险管理工具的情形、程序及对投资者的潜在影响</w:t>
      </w:r>
    </w:p>
    <w:p w14:paraId="0EC0797F" w14:textId="44938EC4"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514E09">
        <w:rPr>
          <w:rFonts w:asciiTheme="minorEastAsia" w:hAnsiTheme="minorEastAsia" w:cs="Arial" w:hint="eastAsia"/>
          <w:bCs/>
          <w:sz w:val="24"/>
          <w:szCs w:val="24"/>
        </w:rPr>
        <w:t>实施</w:t>
      </w:r>
      <w:r>
        <w:rPr>
          <w:rFonts w:asciiTheme="minorEastAsia" w:hAnsiTheme="minorEastAsia" w:cs="Arial" w:hint="eastAsia"/>
          <w:bCs/>
          <w:sz w:val="24"/>
          <w:szCs w:val="24"/>
        </w:rPr>
        <w:t>侧袋机制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901B63C"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正常开放赎回，因此启用侧袋机制时持有基金份额的持有人将在启用侧袋机制后同时持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21B8DF02"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实施侧袋机制期间，因本基金不披露侧袋账户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4C5026F1"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基金管理人将根据主袋账户运作情况合理确定申购政策,因此实施侧袋机制后主袋账户份额存在暂停申购的可能。</w:t>
      </w:r>
    </w:p>
    <w:p w14:paraId="39F2D5E0"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启用侧袋机制后，基金管理人计算各项投资运作指标和基金业绩指标时仅需</w:t>
      </w:r>
      <w:r>
        <w:rPr>
          <w:rFonts w:asciiTheme="minorEastAsia" w:hAnsiTheme="minorEastAsia" w:cs="Arial" w:hint="eastAsia"/>
          <w:bCs/>
          <w:sz w:val="24"/>
          <w:szCs w:val="24"/>
        </w:rPr>
        <w:lastRenderedPageBreak/>
        <w:t>考虑主袋账户资产，基金业绩指标应当以主袋账户资产为基准，因此本基金披露的业绩指标不能反映特定资产的真实价值及变化情况。</w:t>
      </w:r>
    </w:p>
    <w:p w14:paraId="3403C28D"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0F4B5C57"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9222329"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0DABC685"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1EBA201"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17B2B0FF"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3D3CD5B1"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61DEC3D6"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3A0BCF18"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7214AA33"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DD2689B"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2C03C260"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3、资产支持证券投资风险</w:t>
      </w:r>
    </w:p>
    <w:p w14:paraId="27449BF7"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E202A53"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4、股票期权投资风险</w:t>
      </w:r>
    </w:p>
    <w:p w14:paraId="03047298"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5CACECC9"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7104C45E"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EEE49D3"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、投资信用衍生品的风险</w:t>
      </w:r>
    </w:p>
    <w:p w14:paraId="76931145"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衍生品的投资可能面临流动性风险、偿付风险以及价格波动风险。流动性风险是信用衍生品在交易转让过程中因为无法找到交易对手或交易对手较少导致难以将其变现的风险。偿付风险是在信用衍生品的存续期内，由于不可控制的市场及环境变化，创设机构可能出现经营状况不佳或创设机构的现金流与预期发生一定的偏差，从而影响信用衍生品结算的风险。价格波动风险是由于创设机</w:t>
      </w:r>
      <w:r>
        <w:rPr>
          <w:rFonts w:asciiTheme="minorEastAsia" w:hAnsiTheme="minorEastAsia" w:cs="Arial" w:hint="eastAsia"/>
          <w:bCs/>
          <w:sz w:val="24"/>
          <w:szCs w:val="24"/>
        </w:rPr>
        <w:lastRenderedPageBreak/>
        <w:t>构或所受保护债券主体经营情况出现变化，导致信用评级机构调整对创设机构或所保护债券的信用级别，引起信用衍生品交易价格波动，从而影响投资者的利益的风险。</w:t>
      </w:r>
    </w:p>
    <w:p w14:paraId="030A7A4F"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4402CE17"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AA91456"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037DF8C5"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12BD42A9"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01B2FD81"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4AB3E281" w14:textId="77777777" w:rsidR="009D10D8" w:rsidRDefault="009E4577">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291D91D9" w14:textId="77777777" w:rsidR="009D10D8" w:rsidRDefault="009D10D8">
      <w:pPr>
        <w:widowControl/>
        <w:spacing w:line="360" w:lineRule="auto"/>
        <w:jc w:val="left"/>
        <w:rPr>
          <w:rFonts w:asciiTheme="minorEastAsia" w:hAnsiTheme="minorEastAsia" w:cs="Times New Roman"/>
          <w:b/>
          <w:bCs/>
          <w:kern w:val="44"/>
          <w:sz w:val="24"/>
          <w:szCs w:val="24"/>
        </w:rPr>
        <w:sectPr w:rsidR="009D10D8">
          <w:footerReference w:type="default" r:id="rId16"/>
          <w:pgSz w:w="11906" w:h="16838"/>
          <w:pgMar w:top="1440" w:right="1800" w:bottom="1440" w:left="1800" w:header="851" w:footer="992" w:gutter="0"/>
          <w:pgNumType w:chapStyle="1"/>
          <w:cols w:space="720"/>
          <w:docGrid w:type="lines" w:linePitch="312"/>
        </w:sectPr>
      </w:pPr>
    </w:p>
    <w:p w14:paraId="6E70FEC8" w14:textId="77777777" w:rsidR="009D10D8" w:rsidRDefault="009E4577">
      <w:pPr>
        <w:pStyle w:val="1"/>
        <w:ind w:firstLine="600"/>
        <w:jc w:val="center"/>
      </w:pPr>
      <w:bookmarkStart w:id="328" w:name="_Toc68783446"/>
      <w:r>
        <w:rPr>
          <w:rFonts w:hint="eastAsia"/>
          <w:sz w:val="30"/>
          <w:szCs w:val="30"/>
        </w:rPr>
        <w:lastRenderedPageBreak/>
        <w:t>第十八部分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7FEB2D66" w14:textId="77777777" w:rsidR="009D10D8" w:rsidRDefault="009E4577">
      <w:pPr>
        <w:autoSpaceDE w:val="0"/>
        <w:autoSpaceDN w:val="0"/>
        <w:spacing w:line="360" w:lineRule="auto"/>
        <w:ind w:firstLineChars="200" w:firstLine="480"/>
        <w:textAlignment w:val="bottom"/>
        <w:rPr>
          <w:bCs/>
          <w:sz w:val="24"/>
        </w:rPr>
      </w:pPr>
      <w:bookmarkStart w:id="329" w:name="_Toc79392639"/>
      <w:bookmarkStart w:id="330" w:name="_Toc8512"/>
      <w:bookmarkStart w:id="331" w:name="_Toc92662709"/>
      <w:bookmarkStart w:id="332" w:name="_Toc3056"/>
      <w:bookmarkStart w:id="333" w:name="_Toc141703898"/>
      <w:bookmarkStart w:id="334" w:name="_Toc352229764"/>
      <w:bookmarkStart w:id="335" w:name="_Toc139991748"/>
      <w:bookmarkStart w:id="336" w:name="_Toc11802"/>
      <w:bookmarkStart w:id="337" w:name="_Toc31866"/>
      <w:bookmarkStart w:id="338" w:name="_Toc1421"/>
      <w:bookmarkStart w:id="339" w:name="_Toc29289"/>
      <w:bookmarkStart w:id="340" w:name="_Toc93226151"/>
      <w:bookmarkStart w:id="341" w:name="_Toc21351"/>
      <w:bookmarkStart w:id="342" w:name="_Toc1173"/>
      <w:bookmarkStart w:id="343" w:name="_Toc128310501"/>
      <w:bookmarkStart w:id="344" w:name="_Toc12028"/>
      <w:bookmarkStart w:id="345" w:name="_Toc193"/>
      <w:bookmarkStart w:id="346" w:name="_Toc11049"/>
      <w:r>
        <w:rPr>
          <w:bCs/>
          <w:sz w:val="24"/>
        </w:rPr>
        <w:t>一、《基金合同》的变更</w:t>
      </w:r>
      <w:bookmarkEnd w:id="329"/>
    </w:p>
    <w:p w14:paraId="7C398DE0"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4704B2E6"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r>
        <w:rPr>
          <w:bCs/>
          <w:sz w:val="24"/>
        </w:rPr>
        <w:t>自决议生效后</w:t>
      </w:r>
      <w:r>
        <w:rPr>
          <w:rFonts w:hint="eastAsia"/>
          <w:bCs/>
          <w:sz w:val="24"/>
        </w:rPr>
        <w:t>依照《信息披露办法》的有关规定</w:t>
      </w:r>
      <w:r>
        <w:rPr>
          <w:bCs/>
          <w:sz w:val="24"/>
        </w:rPr>
        <w:t>在</w:t>
      </w:r>
      <w:r>
        <w:rPr>
          <w:rFonts w:asciiTheme="minorEastAsia" w:hAnsiTheme="minorEastAsia" w:cs="Times New Roman" w:hint="eastAsia"/>
          <w:sz w:val="24"/>
          <w:szCs w:val="24"/>
        </w:rPr>
        <w:t>规定</w:t>
      </w:r>
      <w:r>
        <w:rPr>
          <w:bCs/>
          <w:sz w:val="24"/>
        </w:rPr>
        <w:t>媒介公告。</w:t>
      </w:r>
    </w:p>
    <w:p w14:paraId="1A500A62" w14:textId="77777777" w:rsidR="009D10D8" w:rsidRDefault="009E4577">
      <w:pPr>
        <w:autoSpaceDE w:val="0"/>
        <w:autoSpaceDN w:val="0"/>
        <w:spacing w:line="360" w:lineRule="auto"/>
        <w:ind w:firstLineChars="200" w:firstLine="480"/>
        <w:textAlignment w:val="bottom"/>
        <w:rPr>
          <w:bCs/>
          <w:sz w:val="24"/>
        </w:rPr>
      </w:pPr>
      <w:r>
        <w:rPr>
          <w:bCs/>
          <w:sz w:val="24"/>
        </w:rPr>
        <w:t>二、《基金合同》的终止事由</w:t>
      </w:r>
    </w:p>
    <w:p w14:paraId="0BAB0980" w14:textId="77777777" w:rsidR="009D10D8" w:rsidRDefault="009E4577">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3B983A4F"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5A01B520"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E8E70F5" w14:textId="77777777" w:rsidR="009D10D8" w:rsidRDefault="009E4577">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099022CD" w14:textId="77777777" w:rsidR="009D10D8" w:rsidRDefault="009E4577">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7993C3FF" w14:textId="77777777" w:rsidR="009D10D8" w:rsidRDefault="009E4577">
      <w:pPr>
        <w:autoSpaceDE w:val="0"/>
        <w:autoSpaceDN w:val="0"/>
        <w:spacing w:line="360" w:lineRule="auto"/>
        <w:ind w:firstLineChars="200" w:firstLine="480"/>
        <w:textAlignment w:val="bottom"/>
        <w:rPr>
          <w:bCs/>
          <w:sz w:val="24"/>
        </w:rPr>
      </w:pPr>
      <w:r>
        <w:rPr>
          <w:bCs/>
          <w:sz w:val="24"/>
        </w:rPr>
        <w:t>三、基金财产的清算</w:t>
      </w:r>
    </w:p>
    <w:p w14:paraId="34D31050" w14:textId="77777777" w:rsidR="009D10D8" w:rsidRDefault="009E4577">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20259E83" w14:textId="77777777" w:rsidR="009D10D8" w:rsidRDefault="009E4577">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5E3ECC13" w14:textId="77777777" w:rsidR="009D10D8" w:rsidRDefault="009E4577">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2A27CF7E" w14:textId="77777777" w:rsidR="009D10D8" w:rsidRDefault="009E4577">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544FDF6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r>
        <w:rPr>
          <w:rFonts w:hint="eastAsia"/>
          <w:bCs/>
          <w:sz w:val="24"/>
        </w:rPr>
        <w:t>财产</w:t>
      </w:r>
      <w:r>
        <w:rPr>
          <w:bCs/>
          <w:sz w:val="24"/>
        </w:rPr>
        <w:t>；</w:t>
      </w:r>
    </w:p>
    <w:p w14:paraId="173A48F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320DD757"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80AF381"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372C7FF8" w14:textId="77777777" w:rsidR="009D10D8" w:rsidRDefault="009E4577">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）聘请会计师事务所对清算报告进行外部审计，聘请律师事务所对清算报告出具法律意见书；</w:t>
      </w:r>
    </w:p>
    <w:p w14:paraId="41361A58"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539D8639" w14:textId="77777777" w:rsidR="009D10D8" w:rsidRDefault="009E4577">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5D3313E5" w14:textId="77777777" w:rsidR="009D10D8" w:rsidRDefault="009E4577">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B8F1435" w14:textId="77777777" w:rsidR="009D10D8" w:rsidRDefault="009E4577">
      <w:pPr>
        <w:autoSpaceDE w:val="0"/>
        <w:autoSpaceDN w:val="0"/>
        <w:spacing w:line="360" w:lineRule="auto"/>
        <w:ind w:firstLineChars="200" w:firstLine="480"/>
        <w:textAlignment w:val="bottom"/>
        <w:rPr>
          <w:bCs/>
          <w:sz w:val="24"/>
        </w:rPr>
      </w:pPr>
      <w:r>
        <w:rPr>
          <w:bCs/>
          <w:sz w:val="24"/>
        </w:rPr>
        <w:t>四、清算费用</w:t>
      </w:r>
    </w:p>
    <w:p w14:paraId="0B06EAD5" w14:textId="77777777" w:rsidR="009D10D8" w:rsidRDefault="009E4577">
      <w:pPr>
        <w:autoSpaceDE w:val="0"/>
        <w:autoSpaceDN w:val="0"/>
        <w:spacing w:line="360" w:lineRule="auto"/>
        <w:ind w:firstLineChars="200" w:firstLine="480"/>
        <w:textAlignment w:val="bottom"/>
        <w:rPr>
          <w:bCs/>
          <w:sz w:val="24"/>
        </w:rPr>
      </w:pPr>
      <w:r>
        <w:rPr>
          <w:bCs/>
          <w:sz w:val="24"/>
        </w:rPr>
        <w:t>清算费用是指基金财产清算小组在进行基金</w:t>
      </w:r>
      <w:r>
        <w:rPr>
          <w:rFonts w:hint="eastAsia"/>
          <w:bCs/>
          <w:sz w:val="24"/>
        </w:rPr>
        <w:t>财产</w:t>
      </w:r>
      <w:r>
        <w:rPr>
          <w:bCs/>
          <w:sz w:val="24"/>
        </w:rPr>
        <w:t>清算过程中发生的所有合理费用，清算费用由基金财产清算小组优先从基金</w:t>
      </w:r>
      <w:r>
        <w:rPr>
          <w:rFonts w:hint="eastAsia"/>
          <w:bCs/>
          <w:sz w:val="24"/>
        </w:rPr>
        <w:t>剩余</w:t>
      </w:r>
      <w:r>
        <w:rPr>
          <w:bCs/>
          <w:sz w:val="24"/>
        </w:rPr>
        <w:t>财产中支付。</w:t>
      </w:r>
    </w:p>
    <w:p w14:paraId="236B9BFD" w14:textId="77777777" w:rsidR="009D10D8" w:rsidRDefault="009E4577">
      <w:pPr>
        <w:autoSpaceDE w:val="0"/>
        <w:autoSpaceDN w:val="0"/>
        <w:spacing w:line="360" w:lineRule="auto"/>
        <w:ind w:firstLineChars="200" w:firstLine="480"/>
        <w:textAlignment w:val="bottom"/>
        <w:rPr>
          <w:bCs/>
          <w:sz w:val="24"/>
        </w:rPr>
      </w:pPr>
      <w:r>
        <w:rPr>
          <w:bCs/>
          <w:sz w:val="24"/>
        </w:rPr>
        <w:t>五、基金财产清算剩余资产的分配</w:t>
      </w:r>
    </w:p>
    <w:p w14:paraId="724BEBA2" w14:textId="77777777" w:rsidR="009D10D8" w:rsidRDefault="009E4577">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59BA4EE" w14:textId="77777777" w:rsidR="009D10D8" w:rsidRDefault="009E4577">
      <w:pPr>
        <w:autoSpaceDE w:val="0"/>
        <w:autoSpaceDN w:val="0"/>
        <w:spacing w:line="360" w:lineRule="auto"/>
        <w:ind w:firstLineChars="200" w:firstLine="480"/>
        <w:textAlignment w:val="bottom"/>
        <w:rPr>
          <w:bCs/>
          <w:sz w:val="24"/>
        </w:rPr>
      </w:pPr>
      <w:r>
        <w:rPr>
          <w:bCs/>
          <w:sz w:val="24"/>
        </w:rPr>
        <w:t>六、基金财产清算的公告</w:t>
      </w:r>
    </w:p>
    <w:p w14:paraId="1F131AB3" w14:textId="77777777" w:rsidR="009D10D8" w:rsidRDefault="009E4577">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w:t>
      </w:r>
      <w:r>
        <w:rPr>
          <w:rFonts w:hint="eastAsia"/>
          <w:bCs/>
          <w:sz w:val="24"/>
        </w:rPr>
        <w:t>符合《中华人民共和国证券法》规定的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，基金财产清算小组应当将清算报告登载在规定网站上，并将清算报告提示性公告登载在规定报刊上</w:t>
      </w:r>
      <w:r>
        <w:rPr>
          <w:bCs/>
          <w:sz w:val="24"/>
        </w:rPr>
        <w:t>。</w:t>
      </w:r>
    </w:p>
    <w:p w14:paraId="3AF40F82" w14:textId="77777777" w:rsidR="009D10D8" w:rsidRDefault="009E4577">
      <w:pPr>
        <w:autoSpaceDE w:val="0"/>
        <w:autoSpaceDN w:val="0"/>
        <w:spacing w:line="360" w:lineRule="auto"/>
        <w:ind w:firstLineChars="200" w:firstLine="480"/>
        <w:textAlignment w:val="bottom"/>
        <w:rPr>
          <w:bCs/>
          <w:sz w:val="24"/>
        </w:rPr>
      </w:pPr>
      <w:r>
        <w:rPr>
          <w:bCs/>
          <w:sz w:val="24"/>
        </w:rPr>
        <w:t>七、基金财产清算账册及文件的保存</w:t>
      </w:r>
    </w:p>
    <w:p w14:paraId="4003B6D5"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w:t>
      </w:r>
      <w:r>
        <w:rPr>
          <w:rFonts w:hint="eastAsia"/>
          <w:bCs/>
          <w:sz w:val="24"/>
        </w:rPr>
        <w:t>不低于法律法规规定的最低期限</w:t>
      </w:r>
      <w:r>
        <w:rPr>
          <w:rFonts w:asciiTheme="minorEastAsia" w:hAnsiTheme="minorEastAsia" w:cs="Times New Roman" w:hint="eastAsia"/>
          <w:sz w:val="24"/>
          <w:szCs w:val="24"/>
        </w:rPr>
        <w:t>。</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p>
    <w:p w14:paraId="1707FCB6" w14:textId="77777777" w:rsidR="009D10D8" w:rsidRDefault="009D10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9D10D8">
          <w:footerReference w:type="default" r:id="rId17"/>
          <w:pgSz w:w="11906" w:h="16838"/>
          <w:pgMar w:top="1440" w:right="1800" w:bottom="1440" w:left="1800" w:header="851" w:footer="992" w:gutter="0"/>
          <w:pgNumType w:chapStyle="1"/>
          <w:cols w:space="720"/>
          <w:docGrid w:type="lines" w:linePitch="312"/>
        </w:sectPr>
      </w:pPr>
      <w:bookmarkStart w:id="347" w:name="_Toc214873607"/>
      <w:bookmarkStart w:id="348" w:name="_Toc263092326"/>
      <w:bookmarkStart w:id="349" w:name="_Toc416264553"/>
      <w:bookmarkStart w:id="350" w:name="_Toc25647"/>
      <w:bookmarkStart w:id="351" w:name="_Toc98560364"/>
      <w:bookmarkStart w:id="352" w:name="_Toc6237"/>
      <w:bookmarkStart w:id="353" w:name="_Toc22978"/>
      <w:bookmarkStart w:id="354" w:name="_Toc7170"/>
      <w:bookmarkStart w:id="355" w:name="_Toc123051465"/>
      <w:bookmarkStart w:id="356" w:name="_Toc352229765"/>
      <w:bookmarkStart w:id="357" w:name="_Toc9005"/>
      <w:bookmarkStart w:id="358" w:name="_Toc11113"/>
      <w:bookmarkStart w:id="359" w:name="_Toc123112247"/>
      <w:bookmarkStart w:id="360" w:name="_Toc123102466"/>
      <w:bookmarkStart w:id="361" w:name="_Toc8059"/>
      <w:bookmarkStart w:id="362" w:name="_Toc139991749"/>
      <w:bookmarkStart w:id="363" w:name="_Toc10006"/>
      <w:bookmarkStart w:id="364" w:name="_Toc29891"/>
      <w:bookmarkStart w:id="365" w:name="_Toc27464"/>
      <w:bookmarkStart w:id="366" w:name="_Toc8049"/>
      <w:bookmarkStart w:id="367" w:name="_Toc141703899"/>
    </w:p>
    <w:p w14:paraId="28768C43" w14:textId="77777777" w:rsidR="009D10D8" w:rsidRDefault="009E4577">
      <w:pPr>
        <w:pStyle w:val="1"/>
        <w:jc w:val="center"/>
        <w:rPr>
          <w:sz w:val="30"/>
          <w:szCs w:val="30"/>
        </w:rPr>
      </w:pPr>
      <w:bookmarkStart w:id="368" w:name="_Toc68783447"/>
      <w:r>
        <w:rPr>
          <w:rFonts w:hint="eastAsia"/>
          <w:sz w:val="30"/>
          <w:szCs w:val="30"/>
        </w:rPr>
        <w:lastRenderedPageBreak/>
        <w:t>第十九部分</w:t>
      </w:r>
      <w:r>
        <w:rPr>
          <w:sz w:val="30"/>
          <w:szCs w:val="30"/>
        </w:rPr>
        <w:t xml:space="preserve">  </w:t>
      </w:r>
      <w:r>
        <w:rPr>
          <w:rFonts w:hint="eastAsia"/>
          <w:sz w:val="30"/>
          <w:szCs w:val="30"/>
        </w:rPr>
        <w:t>基金合同的内容摘要</w:t>
      </w:r>
      <w:bookmarkEnd w:id="347"/>
      <w:bookmarkEnd w:id="348"/>
      <w:bookmarkEnd w:id="349"/>
      <w:bookmarkEnd w:id="368"/>
    </w:p>
    <w:p w14:paraId="66EFBE61" w14:textId="77777777" w:rsidR="009D10D8" w:rsidRDefault="009E4577" w:rsidP="00212156">
      <w:pPr>
        <w:widowControl/>
        <w:spacing w:line="360" w:lineRule="auto"/>
        <w:ind w:firstLineChars="200" w:firstLine="480"/>
        <w:jc w:val="left"/>
        <w:outlineLvl w:val="1"/>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1667797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1AAC799E"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65C267A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6E0E856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3E2061D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7B56292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3376ACC4"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6ACEBA2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17C7AFE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62B2F23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06036A5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C13928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25EA0A3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（11）在《基金合同》约定的范围内，拒绝或暂停受理申购、赎回或转换申请； </w:t>
      </w:r>
    </w:p>
    <w:p w14:paraId="1E975F9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3039E0E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（13）在法律法规允许的前提下，为基金的利益依法为基金进行融资；</w:t>
      </w:r>
    </w:p>
    <w:p w14:paraId="377572E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（14）以基金管理人的名义，代表基金份额持有人的利益行使诉讼权利或者实施其他法律行为；</w:t>
      </w:r>
      <w:r>
        <w:rPr>
          <w:rFonts w:asciiTheme="minorEastAsia" w:hAnsiTheme="minorEastAsia" w:cs="Times New Roman" w:hint="eastAsia"/>
          <w:bCs/>
          <w:sz w:val="24"/>
          <w:szCs w:val="24"/>
        </w:rPr>
        <w:tab/>
      </w:r>
    </w:p>
    <w:p w14:paraId="2FC5ED3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Pr>
          <w:rFonts w:asciiTheme="minorEastAsia" w:hAnsiTheme="minorEastAsia" w:cs="Times New Roman" w:hint="eastAsia"/>
          <w:bCs/>
          <w:sz w:val="24"/>
          <w:szCs w:val="24"/>
        </w:rPr>
        <w:tab/>
      </w:r>
    </w:p>
    <w:p w14:paraId="572A6D5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（16）在符合有关法律、法规的前提下，制订和调整有关基金认购、申购、赎回、转换、非交易过户、转托管和收益分配等业务规则；</w:t>
      </w:r>
    </w:p>
    <w:p w14:paraId="11B2517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（17）法律法规及中国证监会规定的和《基金合同》约定的其他权利。</w:t>
      </w:r>
    </w:p>
    <w:p w14:paraId="00EC236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E17638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2526A4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0EC4977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26F2758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3E92E38E"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2430849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45AA18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53F4166E"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560D57F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58F5A9E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（10）编制季度报告、中期报告和年度报告；</w:t>
      </w:r>
    </w:p>
    <w:p w14:paraId="6383DBB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549091F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w:t>
      </w:r>
      <w:r>
        <w:rPr>
          <w:rFonts w:asciiTheme="minorEastAsia" w:hAnsiTheme="minorEastAsia" w:cs="Times New Roman" w:hint="eastAsia"/>
          <w:bCs/>
          <w:sz w:val="24"/>
          <w:szCs w:val="24"/>
        </w:rPr>
        <w:lastRenderedPageBreak/>
        <w:t>密，不向他人泄露，但依法向监管机构、司法机关及审计、法律等外部专业顾问提供的除外；</w:t>
      </w:r>
    </w:p>
    <w:p w14:paraId="493C50B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29F1B88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3941CFE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2CD223EB" w14:textId="10A094A6"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w:t>
      </w:r>
      <w:r w:rsidR="00D2224D" w:rsidRPr="00D2224D">
        <w:rPr>
          <w:rFonts w:asciiTheme="minorEastAsia" w:hAnsiTheme="minorEastAsia" w:cs="Times New Roman" w:hint="eastAsia"/>
          <w:bCs/>
          <w:sz w:val="24"/>
          <w:szCs w:val="24"/>
        </w:rPr>
        <w:t>不少于法定最低期限</w:t>
      </w:r>
      <w:r>
        <w:rPr>
          <w:rFonts w:asciiTheme="minorEastAsia" w:hAnsiTheme="minorEastAsia" w:cs="Times New Roman" w:hint="eastAsia"/>
          <w:bCs/>
          <w:sz w:val="24"/>
          <w:szCs w:val="24"/>
        </w:rPr>
        <w:t>；</w:t>
      </w:r>
    </w:p>
    <w:p w14:paraId="14B8B50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D05B26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2E99B944"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A6520B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74A61E5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3E60EF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4BD84E2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443A174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（24）基金在募集期间未能达到基金的备案条件，《基金合同》不能生效，基金管理人承担全部募集费用，将已募集资金并加计银行同期活期存款利息在基金募集期结束后30日内退还基金认购人；</w:t>
      </w:r>
    </w:p>
    <w:p w14:paraId="039B45E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76D64DBE"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（26）建立并保存基金份额持有人名册；</w:t>
      </w:r>
    </w:p>
    <w:p w14:paraId="1671582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154F99D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29CCFC5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7F92A1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14:paraId="6CCF71D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6D4F30A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2095D2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（4）根据相关市场规则，为基金开设证券账户及其他投资所需账户，为基金办理证券交易资金清算；</w:t>
      </w:r>
    </w:p>
    <w:p w14:paraId="0C47010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1AFF1FF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4879357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6D04288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5393EC9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6CE8D23E"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3AD68FD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4599DC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D0781C4"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（5）保管由基金管理人代表基金签订的与基金有关的重大合同及有关凭证；</w:t>
      </w:r>
    </w:p>
    <w:p w14:paraId="7409E9D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（6）按规定开设基金财产的资金账户、证券账户、期货账户等投资所需账户，按照《基金合同》、《托管协议》的约定，根据基金管理人的投资指令，及时办理清算、交割事宜；</w:t>
      </w:r>
    </w:p>
    <w:p w14:paraId="3B5C81F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66F2EF04"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（8）复核、审查基金管理人计算的基金资产净值、各类基金份额净值、基金份额申购、赎回价格；</w:t>
      </w:r>
    </w:p>
    <w:p w14:paraId="10C86A3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739E5EF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1DAE3E64"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409C443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45F0D8A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43B54CA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D495F8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2E3A4B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12333AC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5261C70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（18）面临解散、依法被撤销或者被依法宣告破产时，及时报告中国证监会和银行监管机构，并通知基金管理人；</w:t>
      </w:r>
    </w:p>
    <w:p w14:paraId="0C1CDA8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（19）因违反《基金合同》及《托管协议》导致基金财产损失时，应承担赔偿责任，其赔偿责任不因其退任而免除；</w:t>
      </w:r>
    </w:p>
    <w:p w14:paraId="49F8C42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678A458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3E9AA78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4E19010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（三）基金份额持有人的权利和义务</w:t>
      </w:r>
    </w:p>
    <w:p w14:paraId="3049BC2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的基金份额持有人和《基金合同》的当事人，直至其不再持有本基金的基金份额。基金份额持有人作为《基金合同》当事人并不以在《基金合同》上书面签章或签字为必要条件。</w:t>
      </w:r>
    </w:p>
    <w:p w14:paraId="17C487CE"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w:t>
      </w:r>
    </w:p>
    <w:p w14:paraId="699A969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6A8F235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104CE68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71349BE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（3）依照法律及基金合同的约定转让或者申请赎回其持有的基金份额；</w:t>
      </w:r>
    </w:p>
    <w:p w14:paraId="0A4E35CE"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7572D28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104B70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3CEE63C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2076BA2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05CF995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（9）法律法规及中国证监会规定的和《基金合同》约定的其他权利。</w:t>
      </w:r>
    </w:p>
    <w:p w14:paraId="0839B90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297B2984"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74F471B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60BC2FC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2E81060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（4）交纳基金认购、申购款项及法律法规和《基金合同》所规定的费用；</w:t>
      </w:r>
    </w:p>
    <w:p w14:paraId="26D24C7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6CCC0AA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6AC0B26E"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7D8A0E2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344F145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58CB28FD" w14:textId="77777777" w:rsidR="009D10D8" w:rsidRDefault="009E4577" w:rsidP="00212156">
      <w:pPr>
        <w:widowControl/>
        <w:spacing w:line="360" w:lineRule="auto"/>
        <w:ind w:firstLineChars="200" w:firstLine="480"/>
        <w:jc w:val="left"/>
        <w:outlineLvl w:val="1"/>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04F0494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11D19635" w14:textId="7B73602B" w:rsidR="0030641D" w:rsidRDefault="0030641D">
      <w:pPr>
        <w:widowControl/>
        <w:spacing w:line="360" w:lineRule="auto"/>
        <w:ind w:firstLineChars="200" w:firstLine="480"/>
        <w:jc w:val="left"/>
        <w:rPr>
          <w:rFonts w:asciiTheme="minorEastAsia" w:hAnsiTheme="minorEastAsia" w:cs="Times New Roman"/>
          <w:bCs/>
          <w:sz w:val="24"/>
          <w:szCs w:val="24"/>
        </w:rPr>
      </w:pPr>
      <w:r w:rsidRPr="0030641D">
        <w:rPr>
          <w:rFonts w:asciiTheme="minorEastAsia" w:hAnsiTheme="minorEastAsia" w:cs="Times New Roman" w:hint="eastAsia"/>
          <w:bCs/>
          <w:sz w:val="24"/>
          <w:szCs w:val="24"/>
        </w:rPr>
        <w:t>本基金未设立基金份额持有人大会的日常机构，如今后设立基金份额持有人大会的日常机构，按照相关法律法规的要求执行</w:t>
      </w:r>
      <w:r>
        <w:rPr>
          <w:rFonts w:asciiTheme="minorEastAsia" w:hAnsiTheme="minorEastAsia" w:cs="Times New Roman" w:hint="eastAsia"/>
          <w:bCs/>
          <w:sz w:val="24"/>
          <w:szCs w:val="24"/>
        </w:rPr>
        <w:t>。</w:t>
      </w:r>
    </w:p>
    <w:p w14:paraId="2B99203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2C765FA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5440A34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w:t>
      </w:r>
    </w:p>
    <w:p w14:paraId="4EC475D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61E9A8E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5C0159B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3ADAC8D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（5）调整基金管理人、基金托管人的报酬标准或提高销售服务费；</w:t>
      </w:r>
    </w:p>
    <w:p w14:paraId="7657F5B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277B236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（7）本基金与其他基金的合并；</w:t>
      </w:r>
    </w:p>
    <w:p w14:paraId="3A094AA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1180EF2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1A62D3B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5C61616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1EE1CC2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576124E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44D1384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969333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（1）法律法规要求增加的基金费用的收取；</w:t>
      </w:r>
    </w:p>
    <w:p w14:paraId="43DEB7F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（2）调整本基金的申购费率、调低赎回费率或销售服务费率；</w:t>
      </w:r>
    </w:p>
    <w:p w14:paraId="5245848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（3）因相应的法律法规发生变动而应当对《基金合同》进行修改；</w:t>
      </w:r>
    </w:p>
    <w:p w14:paraId="4FF9450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28D9A9D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41552220" w14:textId="242A8D33"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（6）基金管理人、销售机构、登记机构调整有关基金认购、申购、赎回、转换、</w:t>
      </w:r>
      <w:r w:rsidR="0030641D" w:rsidRPr="0030641D">
        <w:rPr>
          <w:rFonts w:asciiTheme="minorEastAsia" w:hAnsiTheme="minorEastAsia" w:cs="Times New Roman" w:hint="eastAsia"/>
          <w:bCs/>
          <w:sz w:val="24"/>
          <w:szCs w:val="24"/>
        </w:rPr>
        <w:t>基金交易、</w:t>
      </w:r>
      <w:r>
        <w:rPr>
          <w:rFonts w:asciiTheme="minorEastAsia" w:hAnsiTheme="minorEastAsia" w:cs="Times New Roman" w:hint="eastAsia"/>
          <w:bCs/>
          <w:sz w:val="24"/>
          <w:szCs w:val="24"/>
        </w:rPr>
        <w:t>非交易过户、转托管等业务的规则；</w:t>
      </w:r>
    </w:p>
    <w:p w14:paraId="7A0B05F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（7）推出新业务或服务；</w:t>
      </w:r>
    </w:p>
    <w:p w14:paraId="13F15EA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2DC8F8D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1200527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31675AD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6514E73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6DF7CFA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6E6E26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7287AED4"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A4AE41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061C2D2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报刊和</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网站上公告。基金份额持有人大会通知应至少载明以下内容：</w:t>
      </w:r>
    </w:p>
    <w:p w14:paraId="01FC136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3E7FE8D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（2）会议拟审议的事项、议事程序和表决方式；</w:t>
      </w:r>
    </w:p>
    <w:p w14:paraId="4C139ACE"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2726AB8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（4）授权委托证明的内容要求（包括但不限于代理人身份，代理权限和代理有效期限等）、送达时间和地点；</w:t>
      </w:r>
    </w:p>
    <w:p w14:paraId="118E1F1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144BD48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3C242B3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529A81F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C79E324"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书面表决意见的计票进行监督的，不影响表决意见的计票效力。</w:t>
      </w:r>
    </w:p>
    <w:p w14:paraId="3B0B84D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43F3FEC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280F30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27F72C6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06E55D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33E0DAD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54388F5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18DF2A7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446DADE4"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3EB4CB4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38E87A7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49AF7FE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6CCB664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w:t>
      </w:r>
      <w:r>
        <w:rPr>
          <w:rFonts w:asciiTheme="minorEastAsia" w:hAnsiTheme="minorEastAsia" w:cs="Times New Roman" w:hint="eastAsia"/>
          <w:bCs/>
          <w:sz w:val="24"/>
          <w:szCs w:val="24"/>
        </w:rPr>
        <w:lastRenderedPageBreak/>
        <w:t>明符合法律法规、《基金合同》和会议通知的规定，并与基金登记机构记录相符。</w:t>
      </w:r>
    </w:p>
    <w:p w14:paraId="521EF6E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8F2B864"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629877D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0E3A770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73F628E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58C176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A6BDE5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073E2B8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7718345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769D52E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作出的决议的效力。</w:t>
      </w:r>
    </w:p>
    <w:p w14:paraId="0C81A16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会议召集人应当制作出席会议人员的签名册。签名册载明参加会议人员姓名（或单位名称）、身份证明文件号码、持有或代表有表决权的基金份额、委托人姓名（或单位名称）和联系方式等事项。</w:t>
      </w:r>
    </w:p>
    <w:p w14:paraId="641A15F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57CA1A0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7F560C5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232502A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5DE2D93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62B30C8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09F5A90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3062850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4E953CD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E4B2CB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3500307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634F3A7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7182B1C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w:t>
      </w:r>
      <w:r>
        <w:rPr>
          <w:rFonts w:asciiTheme="minorEastAsia" w:hAnsiTheme="minorEastAsia" w:cs="Times New Roman" w:hint="eastAsia"/>
          <w:bCs/>
          <w:sz w:val="24"/>
          <w:szCs w:val="24"/>
        </w:rPr>
        <w:lastRenderedPageBreak/>
        <w:t>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DEB3B9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045A0C7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0D9CE75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576360E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1A893A2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1D89123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2E8D4B6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7D91C24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5BD7B35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基金份额持有人大会决议自生效之日起依照《信息披露办法》的有关规定在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7D076F8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214FBD2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（九）实施侧袋机制期间基金份额持有人大会的特殊约定</w:t>
      </w:r>
    </w:p>
    <w:p w14:paraId="0B196DD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6997D30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0087B26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70D3BA6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3、通讯开会的直接出具书面意见或授权他人代表出具书面意见的基金份额持有人所持有的基金份额不小于在权益登记日相关基金份额的二分之一（含二分之一）；</w:t>
      </w:r>
    </w:p>
    <w:p w14:paraId="05A23ED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C505E4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723E4DF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5B41099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6918D29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同一主侧袋账户内的每份基金份额具有平等的表决权。</w:t>
      </w:r>
    </w:p>
    <w:p w14:paraId="7854FA8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F1BBB92" w14:textId="77777777" w:rsidR="009D10D8" w:rsidRDefault="009E4577" w:rsidP="00212156">
      <w:pPr>
        <w:widowControl/>
        <w:spacing w:line="360" w:lineRule="auto"/>
        <w:ind w:firstLineChars="200" w:firstLine="480"/>
        <w:jc w:val="left"/>
        <w:outlineLvl w:val="1"/>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15F7C89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（一）《基金合同》的变更</w:t>
      </w:r>
    </w:p>
    <w:p w14:paraId="5DD7797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2E5B8294"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2、关于《基金合同》变更的基金份额持有人大会决议自生效后方可执行，并自决议生效后依照《信息披露办法》的有关规定在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媒介公告。</w:t>
      </w:r>
    </w:p>
    <w:p w14:paraId="07AD320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1A64C3E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有下列情形之一的，经履行相关程序后，《基金合同》应当终止：</w:t>
      </w:r>
    </w:p>
    <w:p w14:paraId="26BB755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0090717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405D3E7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543328F6"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49B74BB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17E0B05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21D9623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2B9A318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569BA9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54280A7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（1）《基金合同》终止情形出现时，由基金财产清算小组统一接管基金财产；</w:t>
      </w:r>
    </w:p>
    <w:p w14:paraId="1F259E3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013385E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30A524F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4A890CF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06C2A21B"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73D19D1A"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4B84F098"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60EE4B0"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（四）清算费用</w:t>
      </w:r>
    </w:p>
    <w:p w14:paraId="44681C3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清算费用是指基金财产清算小组在进行基金财产清算过程中发生的所有合理费用，清算费用由基金财产清算小组优先从基金剩余财产中支付。</w:t>
      </w:r>
    </w:p>
    <w:p w14:paraId="69102401"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（五）基金财产清算剩余资产的分配</w:t>
      </w:r>
    </w:p>
    <w:p w14:paraId="2B421E05"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2866F9F"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（六）基金财产清算的公告</w:t>
      </w:r>
    </w:p>
    <w:p w14:paraId="1A74FD62"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网站上，并将清算报告提示性公告登载在</w:t>
      </w:r>
      <w:r>
        <w:rPr>
          <w:rFonts w:asciiTheme="minorEastAsia" w:hAnsiTheme="minorEastAsia" w:cs="Times New Roman" w:hint="eastAsia"/>
          <w:sz w:val="24"/>
          <w:szCs w:val="24"/>
        </w:rPr>
        <w:t>规定</w:t>
      </w:r>
      <w:r>
        <w:rPr>
          <w:rFonts w:asciiTheme="minorEastAsia" w:hAnsiTheme="minorEastAsia" w:cs="Times New Roman" w:hint="eastAsia"/>
          <w:bCs/>
          <w:sz w:val="24"/>
          <w:szCs w:val="24"/>
        </w:rPr>
        <w:t>报刊上。</w:t>
      </w:r>
    </w:p>
    <w:p w14:paraId="15294B2E"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（七）基金财产清算账册及文件的保存</w:t>
      </w:r>
    </w:p>
    <w:p w14:paraId="6C35EE7D"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基金财产清算账册及有关文件由基金托管人保存不低于法律法规规定的最低期限。</w:t>
      </w:r>
    </w:p>
    <w:p w14:paraId="6C0B15E3" w14:textId="77777777" w:rsidR="009D10D8" w:rsidRDefault="009E4577" w:rsidP="00212156">
      <w:pPr>
        <w:widowControl/>
        <w:spacing w:line="360" w:lineRule="auto"/>
        <w:ind w:firstLineChars="200" w:firstLine="480"/>
        <w:jc w:val="left"/>
        <w:outlineLvl w:val="1"/>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005395A3"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w:t>
      </w:r>
      <w:r>
        <w:rPr>
          <w:rFonts w:asciiTheme="minorEastAsia" w:hAnsiTheme="minorEastAsia" w:cs="Times New Roman" w:hint="eastAsia"/>
          <w:bCs/>
          <w:sz w:val="24"/>
          <w:szCs w:val="24"/>
        </w:rPr>
        <w:lastRenderedPageBreak/>
        <w:t>的，对各方当事人均有约束力，除非仲裁裁决另有规定，仲裁费用由败诉方承担。</w:t>
      </w:r>
    </w:p>
    <w:p w14:paraId="21A03E8C"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B8C3A69"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《基金合同》受中国法律（为本基金合同之目的，在此不包括香港、澳门特别行政区和台湾地区法律）管辖并从其解释。</w:t>
      </w:r>
    </w:p>
    <w:p w14:paraId="6DA97CD3" w14:textId="77777777" w:rsidR="009D10D8" w:rsidRDefault="009E4577" w:rsidP="00212156">
      <w:pPr>
        <w:widowControl/>
        <w:spacing w:line="360" w:lineRule="auto"/>
        <w:ind w:firstLineChars="200" w:firstLine="480"/>
        <w:jc w:val="left"/>
        <w:outlineLvl w:val="1"/>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五、基金合同存放地和投资者取得基金合同的方式</w:t>
      </w:r>
    </w:p>
    <w:p w14:paraId="1A268AB7" w14:textId="77777777" w:rsidR="009D10D8" w:rsidRDefault="009E4577">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53A43CDC" w14:textId="77777777" w:rsidR="009D10D8" w:rsidRDefault="009E4577">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p>
    <w:p w14:paraId="5EBFAE78" w14:textId="77777777" w:rsidR="009D10D8" w:rsidRDefault="009E4577">
      <w:pPr>
        <w:pStyle w:val="1"/>
        <w:jc w:val="center"/>
        <w:rPr>
          <w:sz w:val="30"/>
          <w:szCs w:val="30"/>
        </w:rPr>
      </w:pPr>
      <w:bookmarkStart w:id="369" w:name="_Toc263092327"/>
      <w:bookmarkStart w:id="370" w:name="_Toc214873614"/>
      <w:bookmarkStart w:id="371" w:name="_Toc68783448"/>
      <w:bookmarkStart w:id="372" w:name="_Toc416264554"/>
      <w:bookmarkStart w:id="373" w:name="_Toc27058"/>
      <w:bookmarkStart w:id="374" w:name="_Toc139991750"/>
      <w:bookmarkStart w:id="375" w:name="_Toc79392641"/>
      <w:bookmarkStart w:id="376" w:name="_Toc21240"/>
      <w:bookmarkStart w:id="377" w:name="_Toc7367"/>
      <w:bookmarkStart w:id="378" w:name="_Toc23166"/>
      <w:bookmarkStart w:id="379" w:name="_Toc98560365"/>
      <w:bookmarkStart w:id="380" w:name="_Toc23022"/>
      <w:bookmarkStart w:id="381" w:name="_Toc13398"/>
      <w:bookmarkStart w:id="382" w:name="_Toc123112248"/>
      <w:bookmarkStart w:id="383" w:name="_Toc30645"/>
      <w:bookmarkStart w:id="384" w:name="_Toc12191"/>
      <w:bookmarkStart w:id="385" w:name="_Toc8710"/>
      <w:bookmarkStart w:id="386" w:name="_Toc48649720"/>
      <w:bookmarkStart w:id="387" w:name="_Toc28549"/>
      <w:bookmarkStart w:id="388" w:name="_Toc141703901"/>
      <w:bookmarkStart w:id="389" w:name="_Toc123102467"/>
      <w:bookmarkStart w:id="390" w:name="_Toc123051466"/>
      <w:bookmarkStart w:id="391" w:name="_Toc9708"/>
      <w:bookmarkStart w:id="392" w:name="_Toc352229766"/>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369"/>
      <w:bookmarkEnd w:id="370"/>
      <w:bookmarkEnd w:id="371"/>
      <w:bookmarkEnd w:id="372"/>
    </w:p>
    <w:p w14:paraId="7A9516AB" w14:textId="77777777" w:rsidR="009D10D8" w:rsidRDefault="009E4577" w:rsidP="00212156">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一、托管协议当事人</w:t>
      </w:r>
    </w:p>
    <w:p w14:paraId="44939F99" w14:textId="77777777" w:rsidR="009D10D8" w:rsidRDefault="009E457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w:t>
      </w:r>
    </w:p>
    <w:p w14:paraId="6E5E85A0" w14:textId="77777777" w:rsidR="009D10D8" w:rsidRDefault="009E457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3B392B2F" w14:textId="7CBE3E2B" w:rsidR="009D10D8" w:rsidRDefault="009E457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sidR="00023057" w:rsidRPr="00023057">
        <w:rPr>
          <w:rFonts w:asciiTheme="minorEastAsia" w:hAnsiTheme="minorEastAsia" w:cs="Arial" w:hint="eastAsia"/>
          <w:kern w:val="0"/>
          <w:sz w:val="24"/>
          <w:szCs w:val="24"/>
        </w:rPr>
        <w:t>广东省广州市南沙区横沥镇汇通二街2号3110房</w:t>
      </w:r>
    </w:p>
    <w:p w14:paraId="1B3A7ED2" w14:textId="2964034A" w:rsidR="009D10D8" w:rsidRDefault="009E457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w:t>
      </w:r>
      <w:r w:rsidR="00023057">
        <w:rPr>
          <w:rFonts w:asciiTheme="minorEastAsia" w:hAnsiTheme="minorEastAsia" w:cs="Arial" w:hint="eastAsia"/>
          <w:kern w:val="0"/>
          <w:sz w:val="24"/>
          <w:szCs w:val="24"/>
        </w:rPr>
        <w:t>王亦伟</w:t>
      </w:r>
    </w:p>
    <w:p w14:paraId="2E20027A" w14:textId="77777777" w:rsidR="009D10D8" w:rsidRDefault="009E457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设立日期：2016年1月25日</w:t>
      </w:r>
      <w:r>
        <w:rPr>
          <w:rFonts w:asciiTheme="minorEastAsia" w:hAnsiTheme="minorEastAsia" w:cs="Arial" w:hint="eastAsia"/>
          <w:kern w:val="0"/>
          <w:sz w:val="24"/>
          <w:szCs w:val="24"/>
        </w:rPr>
        <w:tab/>
      </w:r>
    </w:p>
    <w:p w14:paraId="1D0BC10A" w14:textId="77777777" w:rsidR="009D10D8" w:rsidRDefault="009E457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66F95161" w14:textId="77777777" w:rsidR="009D10D8" w:rsidRDefault="009E457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05B3F1A6" w14:textId="77777777" w:rsidR="009D10D8" w:rsidRDefault="009E457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34A26FF" w14:textId="77777777" w:rsidR="009D10D8" w:rsidRDefault="009E457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存续期限：永续经营</w:t>
      </w:r>
    </w:p>
    <w:p w14:paraId="2EC6FF98" w14:textId="77777777" w:rsidR="009D10D8" w:rsidRDefault="009E4577">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联系电话：0755-84356633</w:t>
      </w:r>
    </w:p>
    <w:p w14:paraId="234846D5" w14:textId="77777777" w:rsidR="009D10D8" w:rsidRDefault="009E4577">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26D22056" w14:textId="77777777"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名称：浙商银行股份有限公司</w:t>
      </w:r>
    </w:p>
    <w:p w14:paraId="662F5D9B" w14:textId="77777777"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住所：浙江省杭州市萧山区鸿宁路1788号</w:t>
      </w:r>
    </w:p>
    <w:p w14:paraId="4226DF65" w14:textId="103974D0"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法定代表人：张荣森（代为履行法定代表人职责）</w:t>
      </w:r>
    </w:p>
    <w:p w14:paraId="68550898" w14:textId="074308F6"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电话：0571-</w:t>
      </w:r>
      <w:r>
        <w:rPr>
          <w:rFonts w:ascii="宋体" w:hAnsi="宋体"/>
          <w:color w:val="000000"/>
          <w:sz w:val="24"/>
        </w:rPr>
        <w:t>88269636</w:t>
      </w:r>
    </w:p>
    <w:p w14:paraId="2137A66F" w14:textId="77777777"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传真：0571-88268688</w:t>
      </w:r>
    </w:p>
    <w:p w14:paraId="6EF8A36C" w14:textId="31BB7E17"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联系人：林彬</w:t>
      </w:r>
    </w:p>
    <w:p w14:paraId="53A261CA" w14:textId="77777777"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成立时间：1993年4月16日</w:t>
      </w:r>
    </w:p>
    <w:p w14:paraId="178E7075" w14:textId="77777777"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组织形式：股份有限公司（上市）</w:t>
      </w:r>
    </w:p>
    <w:p w14:paraId="4E7CE576" w14:textId="00E0FF18"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w:t>
      </w:r>
      <w:r>
        <w:rPr>
          <w:rFonts w:ascii="宋体" w:hAnsi="宋体"/>
          <w:color w:val="000000"/>
          <w:sz w:val="24"/>
        </w:rPr>
        <w:t>21,268,696,778</w:t>
      </w:r>
      <w:r>
        <w:rPr>
          <w:rFonts w:ascii="宋体" w:hAnsi="宋体" w:hint="eastAsia"/>
          <w:color w:val="000000"/>
          <w:sz w:val="24"/>
        </w:rPr>
        <w:t>元</w:t>
      </w:r>
    </w:p>
    <w:p w14:paraId="287BB91C" w14:textId="77777777"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批准设立机关和设立文号：中国银行业监督管理委员会；银监复【2004】91号</w:t>
      </w:r>
    </w:p>
    <w:p w14:paraId="2D792776" w14:textId="77777777"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1BEBADDD" w14:textId="77777777"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基金托管资格批文及文号：《关于核准浙商银行股份有限公司证券投资基金托管资格的批复》；证监许可【2013】1519号</w:t>
      </w:r>
    </w:p>
    <w:p w14:paraId="3B79C284" w14:textId="77777777" w:rsidR="009D10D8" w:rsidRDefault="009E4577">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经营范围：吸收公众存款；发放短期、中期和长期贷款；办理国内外结算；办理票据承兑与贴现；发行金融债券；代理发行、代理兑付、承销政府债券；买</w:t>
      </w:r>
      <w:r>
        <w:rPr>
          <w:rFonts w:ascii="宋体" w:hAnsi="宋体" w:hint="eastAsia"/>
          <w:color w:val="000000"/>
          <w:sz w:val="24"/>
        </w:rPr>
        <w:lastRenderedPageBreak/>
        <w:t>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依法须经批准的项目，经相关部门批准后方可开展经营活动。）</w:t>
      </w:r>
    </w:p>
    <w:p w14:paraId="49280384" w14:textId="77777777" w:rsidR="009D10D8" w:rsidRDefault="009E4577" w:rsidP="00212156">
      <w:pPr>
        <w:adjustRightInd w:val="0"/>
        <w:snapToGrid w:val="0"/>
        <w:spacing w:line="360" w:lineRule="auto"/>
        <w:ind w:leftChars="200" w:left="420"/>
        <w:outlineLvl w:val="1"/>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1F1BB652" w14:textId="77777777" w:rsidR="009D10D8" w:rsidRDefault="009E4577">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（一）基金托管人对基金管理人的投资行为行使监督权</w:t>
      </w:r>
    </w:p>
    <w:p w14:paraId="052E39B1" w14:textId="77777777" w:rsidR="009D10D8" w:rsidRDefault="009E4577">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w:t>
      </w:r>
      <w:r>
        <w:rPr>
          <w:rFonts w:asciiTheme="minorEastAsia" w:hAnsiTheme="minorEastAsia" w:cs="Arial" w:hint="eastAsia"/>
          <w:color w:val="000000"/>
          <w:sz w:val="24"/>
          <w:szCs w:val="24"/>
        </w:rPr>
        <w:t>、基金托管人根据有关法律法规的规定和基金合同的约定，对下述基金投资范围、投资对象进行监督。</w:t>
      </w:r>
    </w:p>
    <w:p w14:paraId="5967DCDE" w14:textId="77777777" w:rsidR="009D10D8" w:rsidRDefault="009E4577">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09118E1" w14:textId="77777777" w:rsidR="009D10D8" w:rsidRDefault="009E4577">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本基金将投资于以下金融工具：</w:t>
      </w:r>
    </w:p>
    <w:p w14:paraId="59741640" w14:textId="77777777" w:rsidR="009D10D8" w:rsidRDefault="009E4577">
      <w:pPr>
        <w:widowControl/>
        <w:spacing w:line="324" w:lineRule="auto"/>
        <w:ind w:firstLineChars="200" w:firstLine="480"/>
        <w:jc w:val="left"/>
        <w:rPr>
          <w:bCs/>
          <w:sz w:val="24"/>
        </w:rPr>
      </w:pPr>
      <w:r>
        <w:rPr>
          <w:rFonts w:hint="eastAsia"/>
          <w:bCs/>
          <w:sz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券（包括超短期融资券）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55867D07" w14:textId="04C24D7E" w:rsidR="009D10D8" w:rsidRDefault="009E4577">
      <w:pPr>
        <w:widowControl/>
        <w:spacing w:line="324" w:lineRule="auto"/>
        <w:ind w:firstLineChars="200" w:firstLine="480"/>
        <w:jc w:val="left"/>
        <w:rPr>
          <w:bCs/>
          <w:sz w:val="24"/>
        </w:rPr>
      </w:pPr>
      <w:r>
        <w:rPr>
          <w:rFonts w:hint="eastAsia"/>
          <w:bCs/>
          <w:sz w:val="24"/>
        </w:rPr>
        <w:t>本基金可根据相关法律法规和基金合同的约定参与融资业务。</w:t>
      </w:r>
    </w:p>
    <w:p w14:paraId="23774A70" w14:textId="77777777" w:rsidR="009D10D8" w:rsidRDefault="009E4577">
      <w:pPr>
        <w:widowControl/>
        <w:spacing w:line="324" w:lineRule="auto"/>
        <w:ind w:firstLineChars="200" w:firstLine="480"/>
        <w:jc w:val="left"/>
        <w:rPr>
          <w:bCs/>
          <w:sz w:val="24"/>
        </w:rPr>
      </w:pPr>
      <w:r>
        <w:rPr>
          <w:rFonts w:hint="eastAsia"/>
          <w:bCs/>
          <w:sz w:val="24"/>
        </w:rPr>
        <w:t>如果法律法规或监管机构以后允许基金投资其他品种，基金管理人在履行适当程序后，可以将其纳入投资范围。</w:t>
      </w:r>
    </w:p>
    <w:p w14:paraId="326F7CCF" w14:textId="77777777" w:rsidR="009D10D8" w:rsidRDefault="009E4577">
      <w:pPr>
        <w:adjustRightInd w:val="0"/>
        <w:snapToGrid w:val="0"/>
        <w:spacing w:line="360" w:lineRule="auto"/>
        <w:ind w:firstLineChars="200" w:firstLine="480"/>
        <w:rPr>
          <w:bCs/>
          <w:sz w:val="24"/>
        </w:rPr>
      </w:pPr>
      <w:r>
        <w:rPr>
          <w:rFonts w:hint="eastAsia"/>
          <w:bCs/>
          <w:sz w:val="24"/>
        </w:rPr>
        <w:t>2</w:t>
      </w:r>
      <w:r>
        <w:rPr>
          <w:rFonts w:hint="eastAsia"/>
          <w:bCs/>
          <w:sz w:val="24"/>
        </w:rPr>
        <w:t>、基金托管人根据有关法律法规的规定及基金合同的约定对下述基金投融资比例进行监督：</w:t>
      </w:r>
    </w:p>
    <w:p w14:paraId="7A13EE08" w14:textId="77777777" w:rsidR="009D10D8" w:rsidRDefault="009E4577">
      <w:pPr>
        <w:adjustRightInd w:val="0"/>
        <w:snapToGrid w:val="0"/>
        <w:spacing w:line="360" w:lineRule="auto"/>
        <w:ind w:firstLineChars="200" w:firstLine="480"/>
        <w:rPr>
          <w:bCs/>
          <w:sz w:val="24"/>
        </w:rPr>
      </w:pPr>
      <w:proofErr w:type="spellStart"/>
      <w:r>
        <w:rPr>
          <w:rFonts w:hint="eastAsia"/>
          <w:bCs/>
          <w:sz w:val="24"/>
        </w:rPr>
        <w:t>i</w:t>
      </w:r>
      <w:proofErr w:type="spellEnd"/>
      <w:r>
        <w:rPr>
          <w:rFonts w:hint="eastAsia"/>
          <w:bCs/>
          <w:sz w:val="24"/>
        </w:rPr>
        <w:t>.</w:t>
      </w:r>
      <w:r>
        <w:rPr>
          <w:rFonts w:hint="eastAsia"/>
          <w:bCs/>
          <w:sz w:val="24"/>
        </w:rPr>
        <w:t>按法律法规的规定及基金合同的约定，本基金的投资资产配置比例为：</w:t>
      </w:r>
    </w:p>
    <w:p w14:paraId="699FAB21" w14:textId="3EFBCE56" w:rsidR="009D10D8" w:rsidRDefault="009E4577">
      <w:pPr>
        <w:adjustRightInd w:val="0"/>
        <w:snapToGrid w:val="0"/>
        <w:spacing w:line="360" w:lineRule="auto"/>
        <w:ind w:firstLineChars="200" w:firstLine="480"/>
        <w:rPr>
          <w:bCs/>
          <w:sz w:val="24"/>
        </w:rPr>
      </w:pPr>
      <w:r>
        <w:rPr>
          <w:rFonts w:hint="eastAsia"/>
          <w:bCs/>
          <w:sz w:val="24"/>
        </w:rPr>
        <w:t>股票资产占基金资产的比例为</w:t>
      </w:r>
      <w:r>
        <w:rPr>
          <w:rFonts w:hint="eastAsia"/>
          <w:bCs/>
          <w:sz w:val="24"/>
        </w:rPr>
        <w:t>60%-95%</w:t>
      </w:r>
      <w:r>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Pr>
          <w:rFonts w:hint="eastAsia"/>
          <w:bCs/>
          <w:sz w:val="24"/>
        </w:rPr>
        <w:t>5%</w:t>
      </w:r>
      <w:r>
        <w:rPr>
          <w:rFonts w:hint="eastAsia"/>
          <w:bCs/>
          <w:sz w:val="24"/>
        </w:rPr>
        <w:t>，本基金所指</w:t>
      </w:r>
      <w:r>
        <w:rPr>
          <w:rFonts w:hint="eastAsia"/>
          <w:bCs/>
          <w:sz w:val="24"/>
        </w:rPr>
        <w:lastRenderedPageBreak/>
        <w:t>的现金不包括结算备付金、存出保证金、应收申购款等。</w:t>
      </w:r>
    </w:p>
    <w:p w14:paraId="2D750581" w14:textId="77777777" w:rsidR="009D10D8" w:rsidRDefault="009E4577">
      <w:pPr>
        <w:adjustRightInd w:val="0"/>
        <w:snapToGrid w:val="0"/>
        <w:spacing w:line="360" w:lineRule="auto"/>
        <w:ind w:firstLineChars="200" w:firstLine="480"/>
        <w:rPr>
          <w:bCs/>
          <w:sz w:val="24"/>
        </w:rPr>
      </w:pPr>
      <w:r>
        <w:rPr>
          <w:rFonts w:hint="eastAsia"/>
          <w:bCs/>
          <w:sz w:val="24"/>
        </w:rPr>
        <w:t>如未来法律法规或监管机构对投资比例要求有变更的，基金管理人在履行适当程序后，本基金的投资组合比例可进行相应调整。</w:t>
      </w:r>
    </w:p>
    <w:p w14:paraId="7D60EAA5" w14:textId="77777777" w:rsidR="009D10D8" w:rsidRDefault="009E4577">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ii.根据法律法规的规定及基金合同的约定，本基金投资组合遵循以下投资限制：</w:t>
      </w:r>
    </w:p>
    <w:p w14:paraId="0A16B268" w14:textId="77777777" w:rsidR="009D10D8" w:rsidRDefault="009E4577">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（1）股票资产占基金资产的比例为60%-95%；</w:t>
      </w:r>
    </w:p>
    <w:p w14:paraId="23C6FA01" w14:textId="77777777" w:rsidR="009D10D8" w:rsidRDefault="009E4577">
      <w:pPr>
        <w:spacing w:line="360" w:lineRule="auto"/>
        <w:ind w:firstLineChars="200" w:firstLine="480"/>
        <w:rPr>
          <w:bCs/>
          <w:sz w:val="24"/>
        </w:rPr>
      </w:pPr>
      <w:r>
        <w:rPr>
          <w:rFonts w:asciiTheme="minorEastAsia" w:hAnsiTheme="minorEastAsia" w:cs="Arial" w:hint="eastAsia"/>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2371B103" w14:textId="77777777" w:rsidR="009D10D8" w:rsidRDefault="009E4577">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5BA07FDA" w14:textId="77777777" w:rsidR="009D10D8" w:rsidRDefault="009E4577">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3755BE24" w14:textId="77777777" w:rsidR="009D10D8" w:rsidRDefault="009E4577">
      <w:pPr>
        <w:spacing w:line="360" w:lineRule="auto"/>
        <w:ind w:firstLineChars="200" w:firstLine="480"/>
        <w:rPr>
          <w:bCs/>
          <w:sz w:val="24"/>
        </w:rPr>
      </w:pPr>
      <w:r>
        <w:rPr>
          <w:bCs/>
          <w:sz w:val="24"/>
        </w:rPr>
        <w:t>（</w:t>
      </w:r>
      <w:r>
        <w:rPr>
          <w:bCs/>
          <w:sz w:val="24"/>
        </w:rPr>
        <w:t>5</w:t>
      </w:r>
      <w:r>
        <w:rPr>
          <w:bCs/>
          <w:sz w:val="24"/>
        </w:rPr>
        <w:t>）本基金投资于同一原始权益人的各类资产支持证券的比例，不得超过基金资产净值的</w:t>
      </w:r>
      <w:r>
        <w:rPr>
          <w:bCs/>
          <w:sz w:val="24"/>
        </w:rPr>
        <w:t>10</w:t>
      </w:r>
      <w:r>
        <w:rPr>
          <w:bCs/>
          <w:sz w:val="24"/>
        </w:rPr>
        <w:t>％；</w:t>
      </w:r>
    </w:p>
    <w:p w14:paraId="6F6C2CCA" w14:textId="77777777" w:rsidR="009D10D8" w:rsidRDefault="009E4577">
      <w:pPr>
        <w:spacing w:line="360" w:lineRule="auto"/>
        <w:ind w:firstLineChars="200" w:firstLine="480"/>
        <w:rPr>
          <w:bCs/>
          <w:sz w:val="24"/>
        </w:rPr>
      </w:pPr>
      <w:r>
        <w:rPr>
          <w:bCs/>
          <w:sz w:val="24"/>
        </w:rPr>
        <w:t>（</w:t>
      </w:r>
      <w:r>
        <w:rPr>
          <w:bCs/>
          <w:sz w:val="24"/>
        </w:rPr>
        <w:t>6</w:t>
      </w:r>
      <w:r>
        <w:rPr>
          <w:bCs/>
          <w:sz w:val="24"/>
        </w:rPr>
        <w:t>）本基金持有的全部资产支持证券，其市值不得超过基金资产净值的</w:t>
      </w:r>
      <w:r>
        <w:rPr>
          <w:bCs/>
          <w:sz w:val="24"/>
        </w:rPr>
        <w:t>20</w:t>
      </w:r>
      <w:r>
        <w:rPr>
          <w:bCs/>
          <w:sz w:val="24"/>
        </w:rPr>
        <w:t>％；</w:t>
      </w:r>
    </w:p>
    <w:p w14:paraId="23FF26B0" w14:textId="77777777" w:rsidR="009D10D8" w:rsidRDefault="009E4577">
      <w:pPr>
        <w:spacing w:line="360" w:lineRule="auto"/>
        <w:ind w:firstLineChars="200" w:firstLine="480"/>
        <w:rPr>
          <w:bCs/>
          <w:sz w:val="24"/>
        </w:rPr>
      </w:pPr>
      <w:r>
        <w:rPr>
          <w:bCs/>
          <w:sz w:val="24"/>
        </w:rPr>
        <w:t>（</w:t>
      </w:r>
      <w:r>
        <w:rPr>
          <w:bCs/>
          <w:sz w:val="24"/>
        </w:rPr>
        <w:t>7</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0E7BF798" w14:textId="77777777" w:rsidR="009D10D8" w:rsidRDefault="009E4577">
      <w:pPr>
        <w:spacing w:line="360" w:lineRule="auto"/>
        <w:ind w:firstLineChars="200" w:firstLine="480"/>
        <w:rPr>
          <w:bCs/>
          <w:sz w:val="24"/>
        </w:rPr>
      </w:pPr>
      <w:r>
        <w:rPr>
          <w:bCs/>
          <w:sz w:val="24"/>
        </w:rPr>
        <w:t>（</w:t>
      </w:r>
      <w:r>
        <w:rPr>
          <w:bCs/>
          <w:sz w:val="24"/>
        </w:rPr>
        <w:t>8</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44D64AE6" w14:textId="77777777" w:rsidR="009D10D8" w:rsidRDefault="009E4577">
      <w:pPr>
        <w:spacing w:line="360" w:lineRule="auto"/>
        <w:ind w:firstLineChars="200" w:firstLine="480"/>
        <w:rPr>
          <w:bCs/>
          <w:sz w:val="24"/>
        </w:rPr>
      </w:pPr>
      <w:r>
        <w:rPr>
          <w:bCs/>
          <w:sz w:val="24"/>
        </w:rPr>
        <w:t>（</w:t>
      </w:r>
      <w:r>
        <w:rPr>
          <w:bCs/>
          <w:sz w:val="24"/>
        </w:rPr>
        <w:t>9</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6C043ABC" w14:textId="77777777" w:rsidR="009D10D8" w:rsidRDefault="009E4577">
      <w:pPr>
        <w:spacing w:line="360" w:lineRule="auto"/>
        <w:ind w:firstLineChars="200" w:firstLine="480"/>
        <w:rPr>
          <w:bCs/>
          <w:sz w:val="24"/>
        </w:rPr>
      </w:pPr>
      <w:r>
        <w:rPr>
          <w:bCs/>
          <w:sz w:val="24"/>
        </w:rPr>
        <w:t>（</w:t>
      </w:r>
      <w:r>
        <w:rPr>
          <w:bCs/>
          <w:sz w:val="24"/>
        </w:rPr>
        <w:t>10</w:t>
      </w:r>
      <w:r>
        <w:rPr>
          <w:bCs/>
          <w:sz w:val="24"/>
        </w:rPr>
        <w:t>）基金财产参与股票发行申购，本基金所申报的金额不超过本基金的总资产，本基金所申报的股票数量不超过拟发行股票公司本次发行股票的总量；</w:t>
      </w:r>
    </w:p>
    <w:p w14:paraId="794E2EB0" w14:textId="77777777" w:rsidR="009D10D8" w:rsidRDefault="009E4577">
      <w:pPr>
        <w:spacing w:line="360" w:lineRule="auto"/>
        <w:ind w:firstLineChars="200" w:firstLine="480"/>
        <w:rPr>
          <w:bCs/>
          <w:sz w:val="24"/>
        </w:rPr>
      </w:pPr>
      <w:r>
        <w:rPr>
          <w:bCs/>
          <w:sz w:val="24"/>
        </w:rPr>
        <w:t>（</w:t>
      </w:r>
      <w:r>
        <w:rPr>
          <w:bCs/>
          <w:sz w:val="24"/>
        </w:rPr>
        <w:t>11</w:t>
      </w:r>
      <w:r>
        <w:rPr>
          <w:bCs/>
          <w:sz w:val="24"/>
        </w:rPr>
        <w:t>）本基金进入全国银行间同业市场进行债券回购的资金余额不得超过基金资产净值的</w:t>
      </w:r>
      <w:r>
        <w:rPr>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r>
        <w:rPr>
          <w:bCs/>
          <w:sz w:val="24"/>
        </w:rPr>
        <w:t>；</w:t>
      </w:r>
    </w:p>
    <w:p w14:paraId="47620176" w14:textId="77777777" w:rsidR="009D10D8" w:rsidRDefault="009E4577">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15DED886" w14:textId="77777777" w:rsidR="009D10D8" w:rsidRDefault="009E4577">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w:t>
      </w:r>
      <w:r>
        <w:rPr>
          <w:rFonts w:hint="eastAsia"/>
          <w:bCs/>
          <w:sz w:val="24"/>
        </w:rPr>
        <w:lastRenderedPageBreak/>
        <w:t>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14:paraId="21253930" w14:textId="77777777" w:rsidR="009D10D8" w:rsidRDefault="009E4577">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2C0FBC3B" w14:textId="77777777" w:rsidR="009D10D8" w:rsidRDefault="009E4577">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14:paraId="72B4FC72" w14:textId="77777777" w:rsidR="009D10D8" w:rsidRDefault="009E4577">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24459987" w14:textId="77777777" w:rsidR="009D10D8" w:rsidRDefault="009E4577">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1D1F8A1D" w14:textId="77777777" w:rsidR="009D10D8" w:rsidRDefault="009E4577">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5E024B9B" w14:textId="77777777" w:rsidR="009D10D8" w:rsidRDefault="009E4577">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）本基金不持有具有信用保护卖方属性的信用衍生品，不持有合约类信用衍生品。投资信用衍生品名义本金不得超过本基金对应受保护债券面值的</w:t>
      </w:r>
      <w:r>
        <w:rPr>
          <w:rFonts w:hint="eastAsia"/>
          <w:bCs/>
          <w:sz w:val="24"/>
        </w:rPr>
        <w:t>100%</w:t>
      </w:r>
      <w:r>
        <w:rPr>
          <w:rFonts w:hint="eastAsia"/>
          <w:bCs/>
          <w:sz w:val="24"/>
        </w:rPr>
        <w:t>，投资于同一信用保护卖方的各类信用衍生品名义本金合计不得超过基金净值的</w:t>
      </w:r>
      <w:r>
        <w:rPr>
          <w:rFonts w:hint="eastAsia"/>
          <w:bCs/>
          <w:sz w:val="24"/>
        </w:rPr>
        <w:t>10%</w:t>
      </w:r>
      <w:r>
        <w:rPr>
          <w:rFonts w:hint="eastAsia"/>
          <w:bCs/>
          <w:sz w:val="24"/>
        </w:rPr>
        <w:t>。因证券市场波动、证券发行人合并、基金规模变动等基金管理人之外的因素，致使基金投资比例不符合上述规定投资比例的，基金管理人应该在三个月内进行调整；</w:t>
      </w:r>
    </w:p>
    <w:p w14:paraId="191B67AE"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5</w:t>
      </w:r>
      <w:r>
        <w:rPr>
          <w:rFonts w:hint="eastAsia"/>
          <w:bCs/>
          <w:sz w:val="24"/>
        </w:rPr>
        <w:t>）基金总资产不得超过基金净资产的</w:t>
      </w:r>
      <w:r>
        <w:rPr>
          <w:rFonts w:hint="eastAsia"/>
          <w:bCs/>
          <w:sz w:val="24"/>
        </w:rPr>
        <w:t>140%</w:t>
      </w:r>
      <w:r>
        <w:rPr>
          <w:rFonts w:hint="eastAsia"/>
          <w:bCs/>
          <w:sz w:val="24"/>
        </w:rPr>
        <w:t>；</w:t>
      </w:r>
    </w:p>
    <w:p w14:paraId="4B65470A"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6</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076339C1" w14:textId="77777777" w:rsidR="009D10D8" w:rsidRDefault="009E4577">
      <w:pPr>
        <w:spacing w:line="360" w:lineRule="auto"/>
        <w:ind w:firstLineChars="200" w:firstLine="480"/>
        <w:rPr>
          <w:bCs/>
          <w:sz w:val="24"/>
        </w:rPr>
      </w:pPr>
      <w:r>
        <w:rPr>
          <w:rFonts w:hint="eastAsia"/>
          <w:bCs/>
          <w:sz w:val="24"/>
        </w:rPr>
        <w:lastRenderedPageBreak/>
        <w:t>（</w:t>
      </w:r>
      <w:r>
        <w:rPr>
          <w:rFonts w:hint="eastAsia"/>
          <w:bCs/>
          <w:sz w:val="24"/>
        </w:rPr>
        <w:t>1</w:t>
      </w:r>
      <w:r>
        <w:rPr>
          <w:bCs/>
          <w:sz w:val="24"/>
        </w:rPr>
        <w:t>7</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4AB62E7" w14:textId="77777777" w:rsidR="009D10D8" w:rsidRDefault="009E4577">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3DFDFDD4"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8</w:t>
      </w:r>
      <w:r>
        <w:rPr>
          <w:rFonts w:hint="eastAsia"/>
          <w:bCs/>
          <w:sz w:val="24"/>
        </w:rPr>
        <w:t>）本基金与私募类证券资管产品及中国证监会认定的其他主体为交易对手开展逆回购交易的，可接受质押品的资质要求应当与基金合同约定的投资范围保持一致；</w:t>
      </w:r>
    </w:p>
    <w:p w14:paraId="53FF738C" w14:textId="77777777" w:rsidR="009D10D8" w:rsidRDefault="009E4577">
      <w:pPr>
        <w:spacing w:line="360" w:lineRule="auto"/>
        <w:ind w:firstLineChars="200" w:firstLine="480"/>
        <w:rPr>
          <w:bCs/>
          <w:sz w:val="24"/>
        </w:rPr>
      </w:pPr>
      <w:r>
        <w:rPr>
          <w:rFonts w:hint="eastAsia"/>
          <w:bCs/>
          <w:sz w:val="24"/>
        </w:rPr>
        <w:t>（</w:t>
      </w:r>
      <w:r>
        <w:rPr>
          <w:rFonts w:hint="eastAsia"/>
          <w:bCs/>
          <w:sz w:val="24"/>
        </w:rPr>
        <w:t>1</w:t>
      </w:r>
      <w:r>
        <w:rPr>
          <w:bCs/>
          <w:sz w:val="24"/>
        </w:rPr>
        <w:t>9</w:t>
      </w:r>
      <w:r>
        <w:rPr>
          <w:rFonts w:hint="eastAsia"/>
          <w:bCs/>
          <w:sz w:val="24"/>
        </w:rPr>
        <w:t>）本基金参与股票期权交易的，需遵守下列投资比例限制：</w:t>
      </w:r>
    </w:p>
    <w:p w14:paraId="0A00B148" w14:textId="77777777" w:rsidR="009D10D8" w:rsidRDefault="009E4577">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579DCE74" w14:textId="77777777" w:rsidR="009D10D8" w:rsidRDefault="009E4577">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14:paraId="5C0613ED" w14:textId="77777777" w:rsidR="009D10D8" w:rsidRDefault="009E4577">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14:paraId="7037587E" w14:textId="77777777" w:rsidR="009D10D8" w:rsidRDefault="009E4577">
      <w:pPr>
        <w:spacing w:line="360" w:lineRule="auto"/>
        <w:ind w:firstLineChars="200" w:firstLine="480"/>
        <w:rPr>
          <w:bCs/>
          <w:sz w:val="24"/>
        </w:rPr>
      </w:pPr>
      <w:r>
        <w:rPr>
          <w:rFonts w:hint="eastAsia"/>
          <w:bCs/>
          <w:sz w:val="24"/>
        </w:rPr>
        <w:t>（</w:t>
      </w:r>
      <w:r>
        <w:rPr>
          <w:bCs/>
          <w:sz w:val="24"/>
        </w:rPr>
        <w:t>20</w:t>
      </w:r>
      <w:r>
        <w:rPr>
          <w:rFonts w:hint="eastAsia"/>
          <w:bCs/>
          <w:sz w:val="24"/>
        </w:rPr>
        <w:t>）本基金投资存托凭证的比例限制依照境内上市交易的股票执行，与境内上市交易的股票合并计算；</w:t>
      </w:r>
    </w:p>
    <w:p w14:paraId="164ABB1C" w14:textId="77777777" w:rsidR="009D10D8" w:rsidRDefault="009E4577">
      <w:pPr>
        <w:spacing w:line="360" w:lineRule="auto"/>
        <w:ind w:firstLineChars="200" w:firstLine="480"/>
        <w:rPr>
          <w:bCs/>
          <w:sz w:val="24"/>
        </w:rPr>
      </w:pPr>
      <w:r>
        <w:rPr>
          <w:rFonts w:hint="eastAsia"/>
          <w:bCs/>
          <w:sz w:val="24"/>
        </w:rPr>
        <w:t>（</w:t>
      </w:r>
      <w:r>
        <w:rPr>
          <w:rFonts w:hint="eastAsia"/>
          <w:bCs/>
          <w:sz w:val="24"/>
        </w:rPr>
        <w:t>2</w:t>
      </w:r>
      <w:r>
        <w:rPr>
          <w:bCs/>
          <w:sz w:val="24"/>
        </w:rPr>
        <w:t>1</w:t>
      </w:r>
      <w:r>
        <w:rPr>
          <w:rFonts w:hint="eastAsia"/>
          <w:bCs/>
          <w:sz w:val="24"/>
        </w:rPr>
        <w:t>）本基金参与融资的，每个交易日日终，本基金持有的融资买入股票与其他有价证券市值之和，不得超过基金资产净值的</w:t>
      </w:r>
      <w:r>
        <w:rPr>
          <w:rFonts w:hint="eastAsia"/>
          <w:bCs/>
          <w:sz w:val="24"/>
        </w:rPr>
        <w:t>95%</w:t>
      </w:r>
      <w:r>
        <w:rPr>
          <w:rFonts w:hint="eastAsia"/>
          <w:bCs/>
          <w:sz w:val="24"/>
        </w:rPr>
        <w:t>；</w:t>
      </w:r>
    </w:p>
    <w:p w14:paraId="4BF8D2D9" w14:textId="77777777" w:rsidR="009D10D8" w:rsidRDefault="009E4577">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bCs/>
          <w:sz w:val="24"/>
        </w:rPr>
        <w:t>2</w:t>
      </w:r>
      <w:r>
        <w:rPr>
          <w:rFonts w:hint="eastAsia"/>
          <w:bCs/>
          <w:sz w:val="24"/>
        </w:rPr>
        <w:t>）法律法规及中国证监会规定的和《基金合同》约定的其他投资限制。</w:t>
      </w:r>
    </w:p>
    <w:p w14:paraId="23BDB915" w14:textId="514B296C" w:rsidR="009D10D8" w:rsidRDefault="009E4577">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Pr>
          <w:rFonts w:hint="eastAsia"/>
          <w:bCs/>
          <w:sz w:val="24"/>
        </w:rPr>
        <w:t>14</w:t>
      </w:r>
      <w:r>
        <w:rPr>
          <w:rFonts w:hint="eastAsia"/>
          <w:bCs/>
          <w:sz w:val="24"/>
        </w:rPr>
        <w:t>）、（</w:t>
      </w:r>
      <w:r>
        <w:rPr>
          <w:rFonts w:hint="eastAsia"/>
          <w:bCs/>
          <w:sz w:val="24"/>
        </w:rPr>
        <w:t>1</w:t>
      </w:r>
      <w:r>
        <w:rPr>
          <w:bCs/>
          <w:sz w:val="24"/>
        </w:rPr>
        <w:t>7</w:t>
      </w:r>
      <w:r>
        <w:rPr>
          <w:rFonts w:hint="eastAsia"/>
          <w:bCs/>
          <w:sz w:val="24"/>
        </w:rPr>
        <w:t>）、（</w:t>
      </w:r>
      <w:r>
        <w:rPr>
          <w:rFonts w:hint="eastAsia"/>
          <w:bCs/>
          <w:sz w:val="24"/>
        </w:rPr>
        <w:t>1</w:t>
      </w:r>
      <w:r>
        <w:rPr>
          <w:bCs/>
          <w:sz w:val="24"/>
        </w:rPr>
        <w:t>8</w:t>
      </w:r>
      <w:r>
        <w:rPr>
          <w:rFonts w:hint="eastAsia"/>
          <w:bCs/>
          <w:sz w:val="24"/>
        </w:rPr>
        <w:t>）项情形之外，因证券、期货市场波动、证券发行人合并、基金规模变动等基金管理人之外的因素致使基金投资比例不符合上述规定投资比例的，基金管理人应当在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07223D6" w14:textId="77777777" w:rsidR="009D10D8" w:rsidRDefault="009E4577">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75D58DF9" w14:textId="77777777" w:rsidR="009D10D8" w:rsidRDefault="009E4577">
      <w:pPr>
        <w:adjustRightInd w:val="0"/>
        <w:snapToGrid w:val="0"/>
        <w:spacing w:line="360" w:lineRule="auto"/>
        <w:ind w:firstLineChars="200" w:firstLine="480"/>
        <w:rPr>
          <w:rFonts w:asciiTheme="minorEastAsia" w:hAnsiTheme="minorEastAsia" w:cs="Arial"/>
          <w:color w:val="000000"/>
          <w:sz w:val="24"/>
          <w:szCs w:val="24"/>
        </w:rPr>
      </w:pPr>
      <w:r>
        <w:rPr>
          <w:rFonts w:hint="eastAsia"/>
          <w:bCs/>
          <w:sz w:val="24"/>
        </w:rPr>
        <w:t>法律法规或监管部门取消或变更上述限制，如适用于本基金，基金管理人在履行适当程序后，则本基金投资不再受相关限制或以变更后的规定为准。</w:t>
      </w:r>
    </w:p>
    <w:p w14:paraId="1CB4835E"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lastRenderedPageBreak/>
        <w:t>3、基金托管人根据有关法律法规的规定及基金合同的约定对下述基金投资禁止行为进行监督：</w:t>
      </w:r>
    </w:p>
    <w:p w14:paraId="54207501"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为维护基金份额持有人的合法权益，基金财产不得用于下列投资或者活动：</w:t>
      </w:r>
    </w:p>
    <w:p w14:paraId="7C35889E"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（1）承销证券；</w:t>
      </w:r>
    </w:p>
    <w:p w14:paraId="2CC70CC3"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（2）违反规定向他人贷款或者提供担保；</w:t>
      </w:r>
    </w:p>
    <w:p w14:paraId="6B4155F3"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（3）从事承担无限责任的投资；</w:t>
      </w:r>
    </w:p>
    <w:p w14:paraId="448B458F"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（4）买卖其他基金份额，但是中国证监会另有规定的除外；</w:t>
      </w:r>
    </w:p>
    <w:p w14:paraId="2DF86993"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（5）向其基金管理人、基金托管人出资；</w:t>
      </w:r>
    </w:p>
    <w:p w14:paraId="2DF6F216"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（6）从事内幕交易、操纵证券交易价格及其他不正当的证券交易活动；</w:t>
      </w:r>
    </w:p>
    <w:p w14:paraId="75B20CFB"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（7）法律、行政法规和中国证监会规定禁止的其他活动。</w:t>
      </w:r>
    </w:p>
    <w:p w14:paraId="4AA8F4F7"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法律、行政法规或监管部门取消或调整上述禁止行为，如适用于本基金，基金管理人在履行适当程序后，则本基金投资按照取消或调整后的规定执行。</w:t>
      </w:r>
    </w:p>
    <w:p w14:paraId="4A410B0E"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基金托管人依据有关法律法规的规定和基金合同的约定对于基金关联投资限制进行监督。</w:t>
      </w:r>
    </w:p>
    <w:p w14:paraId="3C51F692"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F6D1AC1"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根据法律法规有关基金从事关联交易的规定，基金管理人和基金托管人应事先相互提供与本机构有控股关系的股东或与本机构有其他重大利害关系的公司名单及其更新，并确保所提供名单的真实性、准确性、完整性。</w:t>
      </w:r>
    </w:p>
    <w:p w14:paraId="07A81E2E"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4、基金托管人依据有关法律法规的规定和基金合同的约定对基金管理人参与银行间债券市场进行监督。</w:t>
      </w:r>
    </w:p>
    <w:p w14:paraId="579A89CD"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（1）基金托管人依据有关法律法规的规定和基金合同的约定对于基金管理人参与银行间债券市场交易时面临的交易对手资信风险进行监督。</w:t>
      </w:r>
    </w:p>
    <w:p w14:paraId="5EA55510"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基金管理人应在基金投资运作之前向基金托管人提供符合法律法规及行业</w:t>
      </w:r>
      <w:r>
        <w:rPr>
          <w:rFonts w:ascii="宋体" w:hAnsi="宋体" w:hint="eastAsia"/>
          <w:sz w:val="24"/>
          <w:szCs w:val="24"/>
        </w:rPr>
        <w:lastRenderedPageBreak/>
        <w:t>标准的银行间债券市场交易对手的名单，并按照审慎的风险控制原则在该名单中约定各交易对手所适用的交易结算方式。基金托管人在收到名单后2个工作日内电话确认收到该名单。基金管理人应定期或不定期对银行间债券市场现券及回购交易对手的名单进行更新，名单中增加或减少银行间债券市场交易对手时须及时通知基金托管人，基金托管人于2个工作日内电话确认收到后，对名单进行更新。基金管理人收到基金托管人书面确认后，被确认调整的名单开始生效，新名单生效前已与本次剔除的交易对手所进行但尚未结算的交易，仍应按照双方原定协议进行结算。如基金管理人在基金投资运作之前未向基金托管人提供银行间债券市场交易对手名单的，视为基金管理人认可全市场交易对手。</w:t>
      </w:r>
    </w:p>
    <w:p w14:paraId="07BD2D9E"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7F8BC1F6"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（2）基金托管人对于基金管理人参与银行间债券市场交易的交易方式的控制</w:t>
      </w:r>
    </w:p>
    <w:p w14:paraId="2F9D0A15"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36988A17"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14F6729E"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5、基金托管人对基金管理人选择存款银行进行监督。</w:t>
      </w:r>
    </w:p>
    <w:p w14:paraId="4D97DE35"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基金投资银行定期存款的，基金管理人应根据法律法规的规定及基金合同的</w:t>
      </w:r>
      <w:r>
        <w:rPr>
          <w:rFonts w:ascii="宋体" w:hAnsi="宋体" w:hint="eastAsia"/>
          <w:sz w:val="24"/>
          <w:szCs w:val="24"/>
        </w:rPr>
        <w:lastRenderedPageBreak/>
        <w:t>约定，确定符合条件的所有存款银行的名单，并及时提供给基金托管人，基金托管人应据以对基金投资银行存款的交易对手是否符合有关规定进行监督。</w:t>
      </w:r>
    </w:p>
    <w:p w14:paraId="563463AE"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如基金管理人在基金投资运作之前未向基金托管人提供存款银行名单的，视为基金管理人认可所有银行。</w:t>
      </w:r>
    </w:p>
    <w:p w14:paraId="32E0EE8B"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6、基金托管人对基金投资流通受限证券的监督</w:t>
      </w:r>
    </w:p>
    <w:p w14:paraId="7A2C0649"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1）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券等流通受限证券。</w:t>
      </w:r>
    </w:p>
    <w:p w14:paraId="05FA1CC7"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672EB450"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管理人应至少于首次执行投资指令之前2个工作日将上述资料书面发至基金托管人，保证基金托管人有足够的时间进行审核。基金托管人应在收到上述资料后2个工作日内，以书面或其他双方认可的方式确认收到上述资料。</w:t>
      </w:r>
    </w:p>
    <w:p w14:paraId="05C85FD8"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3）基金投资流通受限证券前，基金管理人应向基金托管人提供符合法律法规要求的有关必要书面信息。基金管理人应保证上述信息的真实、完整，并应至少于拟执行投资指令前将上述信息书面发至基金托管人。</w:t>
      </w:r>
    </w:p>
    <w:p w14:paraId="7311A1D4"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可能导致基金出现风险的，有权要求基金管理人在投资流通受限证券前就该风险的消除或防范措施进行补充书面说明，否则，基金托管人有权拒绝执</w:t>
      </w:r>
      <w:r>
        <w:rPr>
          <w:rFonts w:ascii="宋体" w:hAnsi="宋体" w:hint="eastAsia"/>
          <w:sz w:val="24"/>
          <w:szCs w:val="24"/>
        </w:rPr>
        <w:lastRenderedPageBreak/>
        <w:t>行有关指令。因拒绝执行该指令造成基金财产损失的，基金托管人不承担任何责任，并有权报告中国证监会。</w:t>
      </w:r>
    </w:p>
    <w:p w14:paraId="067A4359"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连带责任。</w:t>
      </w:r>
    </w:p>
    <w:p w14:paraId="1B764E3A"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（二）基金托管人应当依照法律法规和基金合同约定，对特定资产处置和信息披露等方面进行复核和监督。</w:t>
      </w:r>
    </w:p>
    <w:p w14:paraId="24A3D6F2"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三）基金托管人应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3C79CD84"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四）基金托管人发现基金管理人的投资运作及其他运作违反《基金法》、基金合同、基金托管协议有关规定时，应及时以书面形式通知基金管理人限期纠正，基金管理人收到通知后应在下一个工作日及时核对，并以书面形式向基金托管人发出回函，进行解释或举证。</w:t>
      </w:r>
    </w:p>
    <w:p w14:paraId="27CE255C"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2A7BFD2F"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基金托管人发现基金管理人的投资指令违反有关法律法规规定或者违反基金合同约定的，应当拒绝执行，立即通知基金管理人。</w:t>
      </w:r>
    </w:p>
    <w:p w14:paraId="71ACC7D7"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w:t>
      </w:r>
    </w:p>
    <w:p w14:paraId="0C7B8629"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79D67A87"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基金托管人发现基金管理人有重大违规行为，应立即报告中国证监会，同时通知基金管理人限期纠正。</w:t>
      </w:r>
    </w:p>
    <w:p w14:paraId="3427909E" w14:textId="77777777" w:rsidR="009D10D8" w:rsidRDefault="009E4577">
      <w:pPr>
        <w:adjustRightInd w:val="0"/>
        <w:snapToGrid w:val="0"/>
        <w:spacing w:line="360" w:lineRule="auto"/>
        <w:ind w:firstLineChars="200" w:firstLine="480"/>
        <w:rPr>
          <w:rFonts w:asciiTheme="minorEastAsia" w:hAnsiTheme="minorEastAsia" w:cs="Arial"/>
          <w:color w:val="000000"/>
          <w:sz w:val="24"/>
          <w:szCs w:val="24"/>
        </w:rPr>
      </w:pPr>
      <w:r>
        <w:rPr>
          <w:rFonts w:ascii="宋体" w:hAnsi="宋体" w:hint="eastAsia"/>
          <w:sz w:val="24"/>
          <w:szCs w:val="24"/>
        </w:rPr>
        <w:t>基金管理人无正当理由，拒绝、阻挠基金托管人根据本协议规定行使监督权，</w:t>
      </w:r>
      <w:r>
        <w:rPr>
          <w:rFonts w:ascii="宋体" w:hAnsi="宋体" w:hint="eastAsia"/>
          <w:sz w:val="24"/>
          <w:szCs w:val="24"/>
        </w:rPr>
        <w:lastRenderedPageBreak/>
        <w:t>或采取拖延、欺诈等手段妨碍基金托管人进行有效监督，情节严重或经基金托管人提出警告仍不改正的，基金托管人应报告中国证监会。</w:t>
      </w:r>
    </w:p>
    <w:p w14:paraId="6CE3D5BD" w14:textId="77777777" w:rsidR="009D10D8" w:rsidRDefault="009E4577" w:rsidP="00212156">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7B8B936A"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管理人对基金托管人履行托管职责情况进行核查，核查事项包括但不限于基金托管人安全保管基金财产、开设基金财产的资金账户、证券账户、期货账户等投资所需账户、复核基金管理人计算的基金资产净值和各类基金份额净值、根据基金管理人指令办理清算交收、相关信息披露和监督基金投资运作等行为。</w:t>
      </w:r>
    </w:p>
    <w:p w14:paraId="34A34F1B"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781E938D"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基金管理人发现基金托管人有重大违规行为，应立即报告中国证监会和银行业监督管理机构，同时通知基金托管人限期纠正。</w:t>
      </w:r>
    </w:p>
    <w:p w14:paraId="480F72C5"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基金托管人应积极配合基金管理人的核查行为，包括但不限于：提交相关资料以供基金管理人核查托管财产的完整性和真实性，在规定时间内答复基金管理人并改正。</w:t>
      </w:r>
    </w:p>
    <w:p w14:paraId="13B2D4CC"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4E9A58CC" w14:textId="77777777" w:rsidR="009D10D8" w:rsidRDefault="009E4577" w:rsidP="00212156">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四、基金财产的保管</w:t>
      </w:r>
    </w:p>
    <w:p w14:paraId="124D56EA"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3C0C0974"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1、基金财产应独立于基金管理人、基金托管人的固有财产。</w:t>
      </w:r>
    </w:p>
    <w:p w14:paraId="34D374B1"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2、基金托管人应安全保管基金财产。除依据法律法规规定、基金合同和本托管协议约定及基金管理人的正当指令外，不得自行运用、处分、分配基金的任何财产。</w:t>
      </w:r>
    </w:p>
    <w:p w14:paraId="2F308411"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3、基金托管人按照规定开设基金财产的资金账户、证券账户等投资所需账</w:t>
      </w:r>
      <w:r>
        <w:rPr>
          <w:rFonts w:ascii="宋体" w:hAnsi="宋体" w:hint="eastAsia"/>
          <w:sz w:val="24"/>
          <w:szCs w:val="24"/>
        </w:rPr>
        <w:lastRenderedPageBreak/>
        <w:t>户，并配合为本基金开立期货账户。</w:t>
      </w:r>
    </w:p>
    <w:p w14:paraId="73474AE0"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4、基金托管人对所托管的不同基金财产分别设置账户，独立核算，与基金托管人的其他业务和其他基金的托管业务实行严格的分账管理，确保基金财产的完整与独立。</w:t>
      </w:r>
    </w:p>
    <w:p w14:paraId="11107741"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5、基金托管人按照基金合同和本协议的约定保管基金财产，如有特殊情况双方可另行协商解决。</w:t>
      </w:r>
    </w:p>
    <w:p w14:paraId="3FBBA01A"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6、除依据法律法规和基金合同的规定外，基金托管人不得委托第三人托管基金资产。</w:t>
      </w:r>
    </w:p>
    <w:p w14:paraId="1BF9D4B9"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（二）募集资金的验证</w:t>
      </w:r>
    </w:p>
    <w:p w14:paraId="5A62776D"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募集期内销售机构按销售与服务代理协议的约定，将认购资金划入基金募集专户。该账户由登记机构管理。基金募集期满或基金管理人决定停止募集时，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登记机构应将募集的属于本基金财产的全部资金划入基金托管人为基金开立的基金托管专户中，基金托管人在收到资金当日出具确认文件。</w:t>
      </w:r>
    </w:p>
    <w:p w14:paraId="0E8C6F9C"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若基金募集期限届满，未能达到基金备案条件，由基金管理人按规定办理退款事宜，基金托管人应提供充分协助。</w:t>
      </w:r>
    </w:p>
    <w:p w14:paraId="3CA27370"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（三）基金的银行账户的开立和管理</w:t>
      </w:r>
    </w:p>
    <w:p w14:paraId="3F335944"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托管人以本基金的名义在其营业机构开立基金的银行账户，并根据基金管理人合法合规的指令办理资金收付。本基金的银行预留印鉴由基金托管人刻制、保管和使用。本基金的一切货币收支活动，均需通过基金托管人的基金托管专户进行。</w:t>
      </w:r>
    </w:p>
    <w:p w14:paraId="2FF46DC8"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基金托管专户的开立和使用，限于满足开展本基金业务的需要。基金托管人和基金管理人不得假借本基金的名义开立其他任何银行账户；亦不得使用基金的任何银行账户进行本基金业务以外的活动。</w:t>
      </w:r>
    </w:p>
    <w:p w14:paraId="4F245098"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基金托管专户的管理应符合《人民币银行结算账户管理办法》、《现金管理暂行条例》、《人民币利率管理规定》、《利率管理暂行规定》、《支付结算办法》以及</w:t>
      </w:r>
      <w:r>
        <w:rPr>
          <w:rFonts w:ascii="宋体" w:hAnsi="宋体" w:hint="eastAsia"/>
          <w:sz w:val="24"/>
          <w:szCs w:val="24"/>
        </w:rPr>
        <w:lastRenderedPageBreak/>
        <w:t>银行业监督管理机构的其他规定。</w:t>
      </w:r>
    </w:p>
    <w:p w14:paraId="3F34C73D"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（四）基金证券账户与证券交易资金账户的开设和管理</w:t>
      </w:r>
    </w:p>
    <w:p w14:paraId="66CC37D7"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1、基金证券账户的开设和管理</w:t>
      </w:r>
    </w:p>
    <w:p w14:paraId="4387144A"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基金托管人以基金托管人和本基金联名的方式在中国证券登记结算有限责任公司上海分公司/深圳分公司开设证券账户。</w:t>
      </w:r>
    </w:p>
    <w:p w14:paraId="302224EA"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28EEEA2B"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基金证券账户的开立和证券账户卡的保管由基金托管人负责，账户资产的管理和运用由基金管理人负责。</w:t>
      </w:r>
    </w:p>
    <w:p w14:paraId="709A4032"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2、基金证券交易资金账户的开设和管理</w:t>
      </w:r>
    </w:p>
    <w:p w14:paraId="689DB06D"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048645F4"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（五）债券托管账户的开立和管理</w:t>
      </w:r>
    </w:p>
    <w:p w14:paraId="2E365AE3"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自营账户，并由基金托管人负责基金的债券的后台匹配及资金的清算。如果基金管理人投资的新的债券品种不在前述市场交易，则由基金托管人协助基金管理人开立相应账户。</w:t>
      </w:r>
    </w:p>
    <w:p w14:paraId="7649879C"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2、基金管理人和基金托管人应一起负责为基金对外签订全国银行间债券市场回购主协议。</w:t>
      </w:r>
    </w:p>
    <w:p w14:paraId="7DE46102"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（六）其他账户的开设和管理</w:t>
      </w:r>
    </w:p>
    <w:p w14:paraId="3D6A74F3"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基金托管人根据有关法律法规的规定和基金合同的约定，开立有关账户。</w:t>
      </w:r>
      <w:r>
        <w:rPr>
          <w:rFonts w:ascii="宋体" w:hAnsi="宋体" w:hint="eastAsia"/>
          <w:sz w:val="24"/>
          <w:szCs w:val="24"/>
        </w:rPr>
        <w:lastRenderedPageBreak/>
        <w:t>该账户按有关规则使用并管理。</w:t>
      </w:r>
    </w:p>
    <w:p w14:paraId="3815656B"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（七）基金财产投资的有关实物证券、银行定期存款存单等有价凭证的保管</w:t>
      </w:r>
    </w:p>
    <w:p w14:paraId="27E09D3A"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财产投资的有关实物证券由基金托管人存放于基金托管人的保管库；其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6EFC8E5D"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（八）与基金财产有关的重大合同的保管</w:t>
      </w:r>
    </w:p>
    <w:p w14:paraId="69EE6CE2" w14:textId="2BA25E55"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或复印件。</w:t>
      </w:r>
    </w:p>
    <w:p w14:paraId="7AD417E7" w14:textId="77777777" w:rsidR="009D10D8" w:rsidRDefault="009E4577" w:rsidP="00212156">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35A5F826"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w:t>
      </w:r>
    </w:p>
    <w:p w14:paraId="3B2D8DC4"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1、基金资产净值的计算、复核的时间和程序</w:t>
      </w:r>
    </w:p>
    <w:p w14:paraId="5DA46860"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基金负债后的价值。本基金各类基金份额净值是指计算日该类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0745125B"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每个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w:t>
      </w:r>
      <w:r>
        <w:rPr>
          <w:rFonts w:asciiTheme="minorEastAsia" w:hAnsiTheme="minorEastAsia" w:cs="Arial" w:hint="eastAsia"/>
          <w:sz w:val="24"/>
          <w:szCs w:val="24"/>
        </w:rPr>
        <w:lastRenderedPageBreak/>
        <w:t>值并以双方认可的方式发送给基金托管人。基金托管人对净值计算结果复核后以双方认可的方式发送给基金管理人，由基金管理人按约定对基金净值予以公布。</w:t>
      </w:r>
    </w:p>
    <w:p w14:paraId="7FDDDA9D"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（二）基金资产估值方法</w:t>
      </w:r>
    </w:p>
    <w:p w14:paraId="7D18A3A8"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1、估值对象</w:t>
      </w:r>
    </w:p>
    <w:p w14:paraId="354B5027"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基金所拥有的股票、股指期货合约、国债期货合约、债券和银行存款本息、应收款项、其它投资、股票期权、信用衍生品等资产及负债。</w:t>
      </w:r>
    </w:p>
    <w:p w14:paraId="254EC634"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2、估值原则</w:t>
      </w:r>
    </w:p>
    <w:p w14:paraId="5A169128"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基金管理人在确定相关金融资产和金融负债的公允价值时，应符合《企业会计准则》、监管部门有关规定。</w:t>
      </w:r>
    </w:p>
    <w:p w14:paraId="2ECB8453"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50A020FE"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A1E9CFF"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379AB9D"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（三）如经济环境发生重大变化或证券发行人发生影响证券价格的重大事件，使潜在估值调整对前一估值日的基金资产净值的影响在0.25%以上的，应对估值进行调整并确定公允价值。</w:t>
      </w:r>
    </w:p>
    <w:p w14:paraId="1DB9A318"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3、估值方法 </w:t>
      </w:r>
    </w:p>
    <w:p w14:paraId="75B28956"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本基金的估值方法为：</w:t>
      </w:r>
    </w:p>
    <w:p w14:paraId="5D4B9C3B"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（1）证券交易所上市的有价证券的估值</w:t>
      </w:r>
    </w:p>
    <w:p w14:paraId="38B5642B"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DCCC2AA" w14:textId="0AEA1CFD" w:rsidR="00AB0C24" w:rsidRPr="00AB0C24" w:rsidRDefault="00AB0C24" w:rsidP="00AB0C24">
      <w:pPr>
        <w:adjustRightInd w:val="0"/>
        <w:snapToGrid w:val="0"/>
        <w:spacing w:line="360" w:lineRule="auto"/>
        <w:ind w:firstLineChars="200" w:firstLine="480"/>
        <w:rPr>
          <w:rFonts w:asciiTheme="minorEastAsia" w:hAnsiTheme="minorEastAsia" w:cs="Arial"/>
          <w:sz w:val="24"/>
          <w:szCs w:val="24"/>
        </w:rPr>
      </w:pPr>
      <w:r w:rsidRPr="00AB0C24">
        <w:rPr>
          <w:rFonts w:asciiTheme="minorEastAsia" w:hAnsiTheme="minorEastAsia" w:cs="Arial" w:hint="eastAsia"/>
          <w:sz w:val="24"/>
          <w:szCs w:val="24"/>
        </w:rPr>
        <w:t>2）交易所上市交易或挂牌转让的不含权固定收益品种，选取估值日第三方估值机构提供的相应品种当日的估值净价进行估值；</w:t>
      </w:r>
    </w:p>
    <w:p w14:paraId="7354C427" w14:textId="5CC8B83C" w:rsidR="00AB0C24" w:rsidRPr="00AB0C24" w:rsidRDefault="00AB0C24" w:rsidP="00AB0C24">
      <w:pPr>
        <w:adjustRightInd w:val="0"/>
        <w:snapToGrid w:val="0"/>
        <w:spacing w:line="360" w:lineRule="auto"/>
        <w:ind w:firstLineChars="200" w:firstLine="480"/>
        <w:rPr>
          <w:rFonts w:asciiTheme="minorEastAsia" w:hAnsiTheme="minorEastAsia" w:cs="Arial"/>
          <w:sz w:val="24"/>
          <w:szCs w:val="24"/>
        </w:rPr>
      </w:pPr>
      <w:r w:rsidRPr="00AB0C24">
        <w:rPr>
          <w:rFonts w:asciiTheme="minorEastAsia" w:hAnsiTheme="minorEastAsia" w:cs="Arial" w:hint="eastAsia"/>
          <w:sz w:val="24"/>
          <w:szCs w:val="24"/>
        </w:rPr>
        <w:t>3）交易所上市交易或挂牌转让的含权固定收益品种，选取估值日第三方估值机构提供的相应品种当日的唯一估值净价或推荐估值净价进行估值；</w:t>
      </w:r>
    </w:p>
    <w:p w14:paraId="15F6088D" w14:textId="6D2B6458" w:rsidR="00AB0C24" w:rsidRPr="00AB0C24" w:rsidRDefault="00AB0C24" w:rsidP="00AB0C24">
      <w:pPr>
        <w:adjustRightInd w:val="0"/>
        <w:snapToGrid w:val="0"/>
        <w:spacing w:line="360" w:lineRule="auto"/>
        <w:ind w:firstLineChars="200" w:firstLine="480"/>
        <w:rPr>
          <w:rFonts w:asciiTheme="minorEastAsia" w:hAnsiTheme="minorEastAsia" w:cs="Arial"/>
          <w:sz w:val="24"/>
          <w:szCs w:val="24"/>
        </w:rPr>
      </w:pPr>
      <w:r w:rsidRPr="00AB0C24">
        <w:rPr>
          <w:rFonts w:asciiTheme="minorEastAsia" w:hAnsiTheme="minorEastAsia" w:cs="Arial" w:hint="eastAsia"/>
          <w:sz w:val="24"/>
          <w:szCs w:val="24"/>
        </w:rPr>
        <w:t>4）交易所上市交易的可转换债券以每日收盘价作为估值全价；</w:t>
      </w:r>
    </w:p>
    <w:p w14:paraId="227A04CC" w14:textId="066D7EAA" w:rsidR="009D10D8" w:rsidRDefault="00AB0C24">
      <w:pPr>
        <w:adjustRightInd w:val="0"/>
        <w:snapToGrid w:val="0"/>
        <w:spacing w:line="360" w:lineRule="auto"/>
        <w:ind w:firstLineChars="200" w:firstLine="480"/>
        <w:rPr>
          <w:rFonts w:asciiTheme="minorEastAsia" w:hAnsiTheme="minorEastAsia" w:cs="Arial"/>
          <w:sz w:val="24"/>
          <w:szCs w:val="24"/>
        </w:rPr>
      </w:pPr>
      <w:r w:rsidRPr="00AB0C24">
        <w:rPr>
          <w:rFonts w:asciiTheme="minorEastAsia" w:hAnsiTheme="minorEastAsia" w:cs="Arial" w:hint="eastAsia"/>
          <w:sz w:val="24"/>
          <w:szCs w:val="24"/>
        </w:rPr>
        <w:t>5）交易所上市不存在活跃市场的有价证券，采用估值技术确定公允价值。交易所市场挂牌转让的资产支持证券，采用估值技术确定公允价值</w:t>
      </w:r>
      <w:r w:rsidR="00007F8E">
        <w:rPr>
          <w:rFonts w:asciiTheme="minorEastAsia" w:hAnsiTheme="minorEastAsia" w:cs="Arial" w:hint="eastAsia"/>
          <w:sz w:val="24"/>
          <w:szCs w:val="24"/>
        </w:rPr>
        <w:t>；</w:t>
      </w:r>
    </w:p>
    <w:p w14:paraId="3E16C247"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A27F22A"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（2）处于未上市期间的有价证券应区分如下情况处理：</w:t>
      </w:r>
    </w:p>
    <w:p w14:paraId="3981FCF7"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4AD2630D"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42EC2F7"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10FA3E06" w14:textId="04081459"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AB0C24" w:rsidRPr="00AB0C24">
        <w:rPr>
          <w:rFonts w:asciiTheme="minorEastAsia" w:hAnsiTheme="minorEastAsia" w:cs="Arial" w:hint="eastAsia"/>
          <w:sz w:val="24"/>
          <w:szCs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w:t>
      </w:r>
      <w:r w:rsidR="00AB0C24" w:rsidRPr="00AB0C24">
        <w:rPr>
          <w:rFonts w:asciiTheme="minorEastAsia" w:hAnsiTheme="minorEastAsia" w:cs="Arial" w:hint="eastAsia"/>
          <w:sz w:val="24"/>
          <w:szCs w:val="24"/>
        </w:rPr>
        <w:lastRenderedPageBreak/>
        <w:t>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6B2A19CF"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（4）同一债券同时在两个或两个以上市场交易的，按债券所处的市场分别估值。</w:t>
      </w:r>
    </w:p>
    <w:p w14:paraId="492D0BCA"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602A2C4F"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信用衍生品按估值日第三方机构提供的估值净价估值；选定的第三方估值机构未提供估值价格的：对于存在活跃市场的情况下，应以活跃市场上未经调整的报价作为计量日的公允价值；对于活跃市场报价未能代表计量日公允价值的情况下，应当对市场报价进行调整以确认计量日的公允价值；非活跃市场下采用估值技术确定公允价值。</w:t>
      </w:r>
    </w:p>
    <w:p w14:paraId="4CF2AA11"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）本基金投资存托凭证的估值核算，依照境内上市交易的股票执行。</w:t>
      </w:r>
    </w:p>
    <w:p w14:paraId="14732013"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8</w:t>
      </w:r>
      <w:r>
        <w:rPr>
          <w:rFonts w:asciiTheme="minorEastAsia" w:hAnsiTheme="minorEastAsia" w:cs="Arial" w:hint="eastAsia"/>
          <w:sz w:val="24"/>
          <w:szCs w:val="24"/>
        </w:rPr>
        <w:t>）其他资产按法律法规或监管机构有关规定进行估值。</w:t>
      </w:r>
    </w:p>
    <w:p w14:paraId="1FA240D6"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9</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2E9E139B"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w:t>
      </w:r>
      <w:r>
        <w:rPr>
          <w:rFonts w:asciiTheme="minorEastAsia" w:hAnsiTheme="minorEastAsia" w:cs="Arial"/>
          <w:sz w:val="24"/>
          <w:szCs w:val="24"/>
        </w:rPr>
        <w:t>10</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0162EE30"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r>
        <w:rPr>
          <w:rFonts w:asciiTheme="minorEastAsia" w:hAnsiTheme="minorEastAsia" w:cs="Arial" w:hint="eastAsia"/>
          <w:sz w:val="24"/>
          <w:szCs w:val="24"/>
        </w:rPr>
        <w:t>）相关法律法规以及监管部门有强制规定的，从其规定。如有新增事项，按国家最新规定估值。</w:t>
      </w:r>
    </w:p>
    <w:p w14:paraId="4B5868D9"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9BB3CA1"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w:t>
      </w:r>
      <w:r>
        <w:rPr>
          <w:rFonts w:asciiTheme="minorEastAsia" w:hAnsiTheme="minorEastAsia" w:cs="Arial" w:hint="eastAsia"/>
          <w:sz w:val="24"/>
          <w:szCs w:val="24"/>
        </w:rPr>
        <w:lastRenderedPageBreak/>
        <w:t>由此给基金份额持有人和基金造成的损失以及因该交易日基金资产净值计算顺延错误而引起的损失，由基金管理人负责赔付。</w:t>
      </w:r>
    </w:p>
    <w:p w14:paraId="3F11ABBA"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（三）估值差错处理</w:t>
      </w:r>
    </w:p>
    <w:p w14:paraId="23F5E41A"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基金管理人和基金托管人将采取必要、适当、合理的措施确保基金资产估值的准确性、及时性。当某一类基金份额净值小数点后4位以内(含第4位)发生估值错误时，视为该类基金份额净值错误。</w:t>
      </w:r>
    </w:p>
    <w:p w14:paraId="2B3C71A5"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基金合同的当事人应按照以下约定处理：</w:t>
      </w:r>
    </w:p>
    <w:p w14:paraId="48E08342"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1、估值错误类型</w:t>
      </w:r>
    </w:p>
    <w:p w14:paraId="68185D48"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09BF78FD"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1912F9F"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2、估值错误处理原则</w:t>
      </w:r>
    </w:p>
    <w:p w14:paraId="09DC9299"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DF0B505"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465D7EEC"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w:t>
      </w:r>
      <w:r>
        <w:rPr>
          <w:rFonts w:asciiTheme="minorEastAsia" w:hAnsiTheme="minorEastAsia" w:cs="Arial" w:hint="eastAsia"/>
          <w:sz w:val="24"/>
          <w:szCs w:val="24"/>
        </w:rPr>
        <w:lastRenderedPageBreak/>
        <w:t>得利返还的总和超过其实际损失的差额部分支付给估值错误责任方。</w:t>
      </w:r>
    </w:p>
    <w:p w14:paraId="0BDAF230"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（4）估值错误调整采用尽量恢复至假设未发生估值错误的正确情形的方式。</w:t>
      </w:r>
    </w:p>
    <w:p w14:paraId="6989D5BB"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3、估值错误处理程序</w:t>
      </w:r>
    </w:p>
    <w:p w14:paraId="67D94CE9"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估值错误被发现后，有关的当事人应当及时进行处理，处理的程序如下：</w:t>
      </w:r>
    </w:p>
    <w:p w14:paraId="166868A7"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（1）查明估值错误发生的原因，列明所有的当事人，并根据估值错误发生的原因确定估值错误的责任方；</w:t>
      </w:r>
    </w:p>
    <w:p w14:paraId="3E83989F"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（2）根据估值错误处理原则或当事人协商的方法对因估值错误造成的损失进行评估；</w:t>
      </w:r>
    </w:p>
    <w:p w14:paraId="5982F050"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（3）根据估值错误处理原则或当事人协商的方法由估值错误的责任方进行更正和赔偿损失；</w:t>
      </w:r>
    </w:p>
    <w:p w14:paraId="0F4A2420"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2A58AB28"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4、基金份额净值估值错误处理的方法如下：</w:t>
      </w:r>
    </w:p>
    <w:p w14:paraId="26AAD49B"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02AB0532"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75F2FC31"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（3）前述内容如法律法规或监管机关另有规定的，从其规定处理。</w:t>
      </w:r>
    </w:p>
    <w:p w14:paraId="05C1EA61"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（四）特殊情况的处理</w:t>
      </w:r>
    </w:p>
    <w:p w14:paraId="7B49381E" w14:textId="4501463D"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1、基金管理人、基金托管人按估值方法的第（9）项进行估值时，所造成的误差不作为基金资产估值错误处理。</w:t>
      </w:r>
    </w:p>
    <w:p w14:paraId="42FACF88"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AF87F55"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1A399B13"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w:t>
      </w:r>
      <w:r>
        <w:rPr>
          <w:rFonts w:asciiTheme="minorEastAsia" w:hAnsiTheme="minorEastAsia" w:cs="Arial" w:hint="eastAsia"/>
          <w:sz w:val="24"/>
          <w:szCs w:val="24"/>
        </w:rPr>
        <w:lastRenderedPageBreak/>
        <w:t>关各方各自的账册定期进行核对，互相监督，以保证基金资产的安全。若双方对会计处理方法存在分歧，应以基金管理人的处理方法为准。</w:t>
      </w:r>
    </w:p>
    <w:p w14:paraId="2EFEEE69"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信息的计算和公告的，以基金管理人的账册为准。</w:t>
      </w:r>
    </w:p>
    <w:p w14:paraId="050D0911"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（六）基金相关报告的编制和复核</w:t>
      </w:r>
    </w:p>
    <w:p w14:paraId="60217943"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基金财务报表由基金管理人和基金托管人每月分别独立编制。月度报表的编制，应于每月终了后5个工作日内完成。</w:t>
      </w:r>
    </w:p>
    <w:p w14:paraId="7F35DFFE"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基金合同生效后，基金招募说明书的信息发生重大变更的，基金管理人应当在3个工作日内完成更新并登载在规定网站上，除重大变更之外，基金招募说明书其他信息发生变更的，应当至少每年更新一次，基金终止运作的，基金管理人不再更新基金招募说明书。基金管理人在季度结束之日起15个工作日内完成季度报告编制，将季度报告登载在规定网站上，并将季度报告提示性公告登载在规定报刊上；基金管理人在上半年结束之日起两个月内完成中期报告的编制，将中期报告登载在规定网站上，并将中期报告提示性公告登载在规定报刊上；基金管理人在每年结束之日起三个月内完成年度报告的编制，将年度报告登载在规定网站上，并将年度报告提示性公告登载在规定报刊上。如果基金合同生效不足2个月的，基金管理人可以不编制当期季度报告、中期报告或者年度报告。</w:t>
      </w:r>
    </w:p>
    <w:p w14:paraId="50DF1F9D"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中期报告的复核；在收到报告之日起30日内完成基金年度报告的复核。基金托管人在复核过程中，发现双方的报表存在不符时，基金管理人和基金托管人应共同查明原因，进行调整，调整以国家有关规定为准。</w:t>
      </w:r>
    </w:p>
    <w:p w14:paraId="1ACCAC1E"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核对无误后，基金托管人在基金管理人提供的报告上加盖业务印鉴或者出具加盖托管业务部门公章的复核意见书，相关各方各自留存一份，或通过电子方式复核确认。</w:t>
      </w:r>
    </w:p>
    <w:p w14:paraId="38F3CBD2"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基金托管人在对财务会计报告、季度、中期报告或年度报告复核完毕后，需盖章确认、出具相应的复核确认书或通过电子方式进行确认，以备有权机构对相</w:t>
      </w:r>
      <w:r>
        <w:rPr>
          <w:rFonts w:asciiTheme="minorEastAsia" w:hAnsiTheme="minorEastAsia" w:cs="Arial" w:hint="eastAsia"/>
          <w:sz w:val="24"/>
          <w:szCs w:val="24"/>
        </w:rPr>
        <w:lastRenderedPageBreak/>
        <w:t>关文件审核时提示，监管机构另有要求的，从其要求。</w:t>
      </w:r>
    </w:p>
    <w:p w14:paraId="7BDF17B8"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（七）暂停估值的情形</w:t>
      </w:r>
    </w:p>
    <w:p w14:paraId="389DE548"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1、基金投资所涉及的证券、期货交易市场遇法定节假日或因其他原因暂停营业时；</w:t>
      </w:r>
    </w:p>
    <w:p w14:paraId="1C71C351"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2、因不可抗力或其他情形致使基金管理人、基金托管人无法准确评估基金资产价值时；</w:t>
      </w:r>
    </w:p>
    <w:p w14:paraId="535EAAD4"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3、当特定资产占前一估值日基金资产净值50%以上的，经与基金托管人协商确认后，基金管理人应当暂停估值；</w:t>
      </w:r>
    </w:p>
    <w:p w14:paraId="71CC6DE4"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4、法律法规规定、中国证监会和基金合同认定的其它情形。</w:t>
      </w:r>
    </w:p>
    <w:p w14:paraId="4AA0ACBA" w14:textId="77777777" w:rsidR="009D10D8" w:rsidRDefault="009E4577" w:rsidP="00212156">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10F40CD"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1135BB29"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基金份额持有人名册由登记机构编制，由基金管理人审核并提交基金托管人保管。基金托管人有权要求基金管理人提供基金份额持有人名册，基金管理人应及时提供，不得拖延或拒绝提供。</w:t>
      </w:r>
    </w:p>
    <w:p w14:paraId="5559E0B2"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740DED78" w14:textId="77777777" w:rsidR="009D10D8" w:rsidRDefault="009E4577">
      <w:pPr>
        <w:adjustRightInd w:val="0"/>
        <w:snapToGrid w:val="0"/>
        <w:spacing w:line="360" w:lineRule="auto"/>
        <w:ind w:firstLineChars="200" w:firstLine="480"/>
        <w:rPr>
          <w:rFonts w:asciiTheme="minorEastAsia" w:hAnsiTheme="minorEastAsia" w:cs="Arial"/>
          <w:sz w:val="24"/>
          <w:szCs w:val="24"/>
        </w:rPr>
      </w:pPr>
      <w:r>
        <w:rPr>
          <w:rFonts w:ascii="宋体" w:hAnsi="宋体" w:hint="eastAsia"/>
          <w:sz w:val="24"/>
          <w:szCs w:val="24"/>
        </w:rPr>
        <w:t>基金管理人和基金托管人应妥善保管基金份额持有人名册，保存期限为20年，法律法规另有规定的，从其规定。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555C0882" w14:textId="77777777" w:rsidR="009D10D8" w:rsidRDefault="009E4577" w:rsidP="00212156">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七、争议解决方式</w:t>
      </w:r>
    </w:p>
    <w:p w14:paraId="46BF3D11" w14:textId="77777777" w:rsidR="009D10D8" w:rsidRDefault="009E4577">
      <w:pPr>
        <w:adjustRightInd w:val="0"/>
        <w:snapToGrid w:val="0"/>
        <w:spacing w:line="360" w:lineRule="auto"/>
        <w:ind w:firstLineChars="200" w:firstLine="480"/>
        <w:rPr>
          <w:rFonts w:ascii="宋体" w:hAnsi="宋体"/>
          <w:sz w:val="24"/>
          <w:szCs w:val="24"/>
        </w:rPr>
      </w:pPr>
      <w:r>
        <w:rPr>
          <w:rFonts w:ascii="宋体" w:hAnsi="宋体" w:hint="eastAsia"/>
          <w:sz w:val="24"/>
          <w:szCs w:val="24"/>
        </w:rPr>
        <w:t>双方当事人同意，因本协议而产生的或与本协议有关的一切争议，除经友好协商可以解决的，应提交深圳国际仲裁院，根据深圳国际仲裁院当时有效的仲裁规则进行仲裁，仲裁地点为深圳市。仲裁裁决是终局性的，对双方当事人均有约</w:t>
      </w:r>
      <w:r>
        <w:rPr>
          <w:rFonts w:ascii="宋体" w:hAnsi="宋体" w:hint="eastAsia"/>
          <w:sz w:val="24"/>
          <w:szCs w:val="24"/>
        </w:rPr>
        <w:lastRenderedPageBreak/>
        <w:t>束力，除非仲裁裁决另有决定，仲裁费和律师费由败诉方承担。</w:t>
      </w:r>
    </w:p>
    <w:p w14:paraId="319686D9" w14:textId="77777777" w:rsidR="009D10D8" w:rsidRDefault="009E4577">
      <w:pPr>
        <w:adjustRightInd w:val="0"/>
        <w:snapToGrid w:val="0"/>
        <w:spacing w:line="360" w:lineRule="auto"/>
        <w:ind w:firstLineChars="200" w:firstLine="480"/>
        <w:rPr>
          <w:rFonts w:ascii="宋体" w:hAnsi="宋体"/>
          <w:sz w:val="24"/>
          <w:szCs w:val="24"/>
        </w:rPr>
      </w:pPr>
      <w:r>
        <w:rPr>
          <w:rFonts w:ascii="宋体" w:hAnsi="宋体" w:hint="eastAsia"/>
          <w:sz w:val="24"/>
          <w:szCs w:val="24"/>
        </w:rPr>
        <w:t>争议处理期间，本协议当事人应恪守各自的职责，继续忠实、勤勉、尽责地履行基金合同和本协议规定的义务，维护基金份额持有人的合法权益。</w:t>
      </w:r>
    </w:p>
    <w:p w14:paraId="76C00C38" w14:textId="77777777" w:rsidR="009D10D8" w:rsidRDefault="009E4577">
      <w:pPr>
        <w:adjustRightInd w:val="0"/>
        <w:snapToGrid w:val="0"/>
        <w:spacing w:line="360" w:lineRule="auto"/>
        <w:ind w:firstLineChars="200" w:firstLine="480"/>
        <w:rPr>
          <w:rFonts w:asciiTheme="minorEastAsia" w:hAnsiTheme="minorEastAsia" w:cs="Times New Roman"/>
          <w:sz w:val="24"/>
          <w:szCs w:val="24"/>
        </w:rPr>
      </w:pPr>
      <w:r>
        <w:rPr>
          <w:rFonts w:ascii="宋体" w:hAnsi="宋体" w:hint="eastAsia"/>
          <w:sz w:val="24"/>
          <w:szCs w:val="24"/>
        </w:rPr>
        <w:t>本托管协议受中国法律（为本托管协议之目的，不包括香港特别行政区、澳门特别行政区和台湾地区法律）管辖。</w:t>
      </w:r>
    </w:p>
    <w:p w14:paraId="40A1B4EF" w14:textId="77777777" w:rsidR="009D10D8" w:rsidRDefault="009E4577" w:rsidP="00212156">
      <w:pPr>
        <w:adjustRightInd w:val="0"/>
        <w:snapToGrid w:val="0"/>
        <w:spacing w:line="360" w:lineRule="auto"/>
        <w:ind w:firstLineChars="200" w:firstLine="482"/>
        <w:outlineLvl w:val="1"/>
        <w:rPr>
          <w:rFonts w:asciiTheme="minorEastAsia" w:hAnsiTheme="minorEastAsia" w:cs="Arial"/>
          <w:b/>
          <w:sz w:val="24"/>
          <w:szCs w:val="24"/>
        </w:rPr>
      </w:pPr>
      <w:r>
        <w:rPr>
          <w:rFonts w:asciiTheme="minorEastAsia" w:hAnsiTheme="minorEastAsia" w:cs="Arial" w:hint="eastAsia"/>
          <w:b/>
          <w:sz w:val="24"/>
          <w:szCs w:val="24"/>
        </w:rPr>
        <w:t>八、</w:t>
      </w:r>
      <w:r w:rsidRPr="00212156">
        <w:rPr>
          <w:rFonts w:asciiTheme="minorEastAsia" w:hAnsiTheme="minorEastAsia" w:cs="Arial" w:hint="eastAsia"/>
          <w:b/>
          <w:sz w:val="24"/>
          <w:szCs w:val="24"/>
        </w:rPr>
        <w:t>托管协议的变更、终止与基金财产的清算</w:t>
      </w:r>
    </w:p>
    <w:p w14:paraId="16A70094"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（一）托管协议的变更与终止</w:t>
      </w:r>
    </w:p>
    <w:p w14:paraId="1FCDF9BF"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1、托管协议的变更程序</w:t>
      </w:r>
    </w:p>
    <w:p w14:paraId="3BF2CEE8" w14:textId="5CF07CEE" w:rsidR="009D10D8" w:rsidRDefault="009E4577">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本协议双方当事人经协商一致，可以对协议的内容进行变更。变更后的托管协议，其内容不得与基金合同的规定有任何冲突。基金托管协议的变更报中国证监会注册或备案。</w:t>
      </w:r>
    </w:p>
    <w:p w14:paraId="6CF86ECC"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2、基金托管协议终止的情形</w:t>
      </w:r>
    </w:p>
    <w:p w14:paraId="11BF841E"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发生以下情况，本托管协议终止：</w:t>
      </w:r>
    </w:p>
    <w:p w14:paraId="7B3C3E0C"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（1）基金合同终止；</w:t>
      </w:r>
    </w:p>
    <w:p w14:paraId="512559AE"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（2）基金托管人解散、依法被撤销、破产或有其他基金托管人接管基金资产；</w:t>
      </w:r>
    </w:p>
    <w:p w14:paraId="20EE43DA"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（3）基金管理人解散、依法被撤销、破产或有其他基金管理人接管基金管理权；</w:t>
      </w:r>
    </w:p>
    <w:p w14:paraId="6FADBB4A"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（4）发生法律法规或基金合同规定的终止事项。</w:t>
      </w:r>
    </w:p>
    <w:p w14:paraId="76F6EF74"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（二）基金财产的清算</w:t>
      </w:r>
    </w:p>
    <w:p w14:paraId="7A4D32CB"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7EA2871C"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3C2636A2"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3、基金财产清算小组职责：基金财产清算小组负责基金财产的保管、清理、估价、变现和分配。基金财产清算小组可以依法进行必要的民事活动。</w:t>
      </w:r>
    </w:p>
    <w:p w14:paraId="210AA943"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4、基金财产清算程序：</w:t>
      </w:r>
    </w:p>
    <w:p w14:paraId="310C42F6"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（1）基金合同终止情形出现时，由基金财产清算小组统一接管基金财产；</w:t>
      </w:r>
    </w:p>
    <w:p w14:paraId="3E71A61E"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lastRenderedPageBreak/>
        <w:t>（2）对基金财产和债权债务进行清理和确认；</w:t>
      </w:r>
    </w:p>
    <w:p w14:paraId="28FEA311"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（3）对基金财产进行估值和变现；</w:t>
      </w:r>
    </w:p>
    <w:p w14:paraId="4BC298AB"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（4）制作清算报告；</w:t>
      </w:r>
    </w:p>
    <w:p w14:paraId="0367BBA1"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（5）聘请符合《中华人民共和国证券法》规定的会计师事务所对清算报告进行外部审计，聘请律师事务所对清算报告出具法律意见书；</w:t>
      </w:r>
    </w:p>
    <w:p w14:paraId="3D95CB5B"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（6）将清算报告报中国证监会备案并公告；</w:t>
      </w:r>
    </w:p>
    <w:p w14:paraId="36A740EB"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（7）对基金剩余财产进行分配。</w:t>
      </w:r>
    </w:p>
    <w:p w14:paraId="49724F90"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5、基金财产清算的期限为6个月，但因本基金所持证券的流动性受到限制而不能及时变现的，清算期限相应顺延。</w:t>
      </w:r>
    </w:p>
    <w:p w14:paraId="41631922"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6、清算费用</w:t>
      </w:r>
    </w:p>
    <w:p w14:paraId="11C814AE"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清算费用是指基金财产清算小组在进行基金清算过程中发生的所有合理费用，清算费用由基金财产清算小组优先从基金剩余财产中支付。</w:t>
      </w:r>
    </w:p>
    <w:p w14:paraId="43CE1D32"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7、基金财产按下列顺序清偿：</w:t>
      </w:r>
    </w:p>
    <w:p w14:paraId="5542D3AA"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（1）支付清算费用；</w:t>
      </w:r>
    </w:p>
    <w:p w14:paraId="7FBF0C0D"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（2）交纳所欠税款；</w:t>
      </w:r>
    </w:p>
    <w:p w14:paraId="5F3E531F"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（3）清偿基金债务；</w:t>
      </w:r>
    </w:p>
    <w:p w14:paraId="7507A499" w14:textId="77777777" w:rsidR="009D10D8" w:rsidRDefault="009E4577">
      <w:pPr>
        <w:spacing w:line="360" w:lineRule="auto"/>
        <w:ind w:firstLineChars="200" w:firstLine="480"/>
        <w:rPr>
          <w:rFonts w:ascii="宋体" w:hAnsi="宋体"/>
          <w:sz w:val="24"/>
          <w:szCs w:val="24"/>
        </w:rPr>
      </w:pPr>
      <w:r>
        <w:rPr>
          <w:rFonts w:ascii="宋体" w:hAnsi="宋体" w:hint="eastAsia"/>
          <w:sz w:val="24"/>
          <w:szCs w:val="24"/>
        </w:rPr>
        <w:t>（4）按基金份额持有人持有的基金份额比例进行分配。</w:t>
      </w:r>
    </w:p>
    <w:p w14:paraId="43AEEC4E" w14:textId="455CFBAF" w:rsidR="009D10D8" w:rsidRDefault="009E4577">
      <w:pPr>
        <w:adjustRightInd w:val="0"/>
        <w:snapToGrid w:val="0"/>
        <w:spacing w:line="360" w:lineRule="auto"/>
        <w:ind w:firstLineChars="200" w:firstLine="480"/>
        <w:rPr>
          <w:rFonts w:ascii="宋体" w:hAnsi="宋体"/>
          <w:sz w:val="24"/>
          <w:szCs w:val="24"/>
        </w:rPr>
      </w:pPr>
      <w:r>
        <w:rPr>
          <w:rFonts w:ascii="宋体" w:hAnsi="宋体" w:hint="eastAsia"/>
          <w:sz w:val="24"/>
          <w:szCs w:val="24"/>
        </w:rPr>
        <w:t>基金财产未按前款（1）－（3）项规定清偿前，不分配给基金份额持有人。</w:t>
      </w:r>
    </w:p>
    <w:p w14:paraId="67949512" w14:textId="77777777" w:rsidR="007903C5" w:rsidRPr="007903C5" w:rsidRDefault="007903C5" w:rsidP="007903C5">
      <w:pPr>
        <w:adjustRightInd w:val="0"/>
        <w:snapToGrid w:val="0"/>
        <w:spacing w:line="360" w:lineRule="auto"/>
        <w:ind w:firstLineChars="200" w:firstLine="480"/>
        <w:rPr>
          <w:rFonts w:ascii="宋体" w:hAnsi="宋体"/>
          <w:sz w:val="24"/>
          <w:szCs w:val="24"/>
        </w:rPr>
      </w:pPr>
      <w:r w:rsidRPr="007903C5">
        <w:rPr>
          <w:rFonts w:ascii="宋体" w:hAnsi="宋体" w:hint="eastAsia"/>
          <w:sz w:val="24"/>
          <w:szCs w:val="24"/>
        </w:rPr>
        <w:t>（三）基金财产清算的公告</w:t>
      </w:r>
    </w:p>
    <w:p w14:paraId="4A27C6EE" w14:textId="77777777" w:rsidR="007903C5" w:rsidRPr="007903C5" w:rsidRDefault="007903C5" w:rsidP="007903C5">
      <w:pPr>
        <w:adjustRightInd w:val="0"/>
        <w:snapToGrid w:val="0"/>
        <w:spacing w:line="360" w:lineRule="auto"/>
        <w:ind w:firstLineChars="200" w:firstLine="480"/>
        <w:rPr>
          <w:rFonts w:ascii="宋体" w:hAnsi="宋体"/>
          <w:sz w:val="24"/>
          <w:szCs w:val="24"/>
        </w:rPr>
      </w:pPr>
      <w:r w:rsidRPr="007903C5">
        <w:rPr>
          <w:rFonts w:ascii="宋体" w:hAnsi="宋体" w:hint="eastAsia"/>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730767CF" w14:textId="77777777" w:rsidR="007903C5" w:rsidRPr="007903C5" w:rsidRDefault="007903C5" w:rsidP="007903C5">
      <w:pPr>
        <w:adjustRightInd w:val="0"/>
        <w:snapToGrid w:val="0"/>
        <w:spacing w:line="360" w:lineRule="auto"/>
        <w:ind w:firstLineChars="200" w:firstLine="480"/>
        <w:rPr>
          <w:rFonts w:ascii="宋体" w:hAnsi="宋体"/>
          <w:sz w:val="24"/>
          <w:szCs w:val="24"/>
        </w:rPr>
      </w:pPr>
      <w:r w:rsidRPr="007903C5">
        <w:rPr>
          <w:rFonts w:ascii="宋体" w:hAnsi="宋体" w:hint="eastAsia"/>
          <w:sz w:val="24"/>
          <w:szCs w:val="24"/>
        </w:rPr>
        <w:t>（四）基金财产清算完毕后，基金托管人负责注销基金财产的资金账户、证券账户、债券托管专户账户以及其他相关账户。基金管理人应给予必要的配合。</w:t>
      </w:r>
    </w:p>
    <w:p w14:paraId="7E2657BF" w14:textId="77777777" w:rsidR="007903C5" w:rsidRPr="007903C5" w:rsidRDefault="007903C5" w:rsidP="007903C5">
      <w:pPr>
        <w:adjustRightInd w:val="0"/>
        <w:snapToGrid w:val="0"/>
        <w:spacing w:line="360" w:lineRule="auto"/>
        <w:ind w:firstLineChars="200" w:firstLine="480"/>
        <w:rPr>
          <w:rFonts w:ascii="宋体" w:hAnsi="宋体"/>
          <w:sz w:val="24"/>
          <w:szCs w:val="24"/>
        </w:rPr>
      </w:pPr>
      <w:r w:rsidRPr="007903C5">
        <w:rPr>
          <w:rFonts w:ascii="宋体" w:hAnsi="宋体" w:hint="eastAsia"/>
          <w:sz w:val="24"/>
          <w:szCs w:val="24"/>
        </w:rPr>
        <w:t>（五）基金财产清算账册及文件的保存</w:t>
      </w:r>
    </w:p>
    <w:p w14:paraId="28AC40C8" w14:textId="7B7B6C0E" w:rsidR="009D10D8" w:rsidRDefault="007903C5">
      <w:pPr>
        <w:adjustRightInd w:val="0"/>
        <w:snapToGrid w:val="0"/>
        <w:spacing w:line="360" w:lineRule="auto"/>
        <w:ind w:firstLineChars="200" w:firstLine="480"/>
        <w:rPr>
          <w:rFonts w:ascii="宋体" w:hAnsi="宋体"/>
          <w:sz w:val="24"/>
          <w:szCs w:val="24"/>
        </w:rPr>
      </w:pPr>
      <w:r w:rsidRPr="007903C5">
        <w:rPr>
          <w:rFonts w:ascii="宋体" w:hAnsi="宋体" w:hint="eastAsia"/>
          <w:sz w:val="24"/>
          <w:szCs w:val="24"/>
        </w:rPr>
        <w:t>基金财产清算账册及有关文件由基金托管人保存不低于法律法规规定的最低期限。</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p>
    <w:p w14:paraId="5C1C01BD" w14:textId="77777777" w:rsidR="009D10D8" w:rsidRDefault="009D10D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9D10D8">
          <w:footerReference w:type="default" r:id="rId18"/>
          <w:pgSz w:w="11906" w:h="16838"/>
          <w:pgMar w:top="1440" w:right="1800" w:bottom="1440" w:left="1800" w:header="851" w:footer="992" w:gutter="0"/>
          <w:pgNumType w:chapStyle="1"/>
          <w:cols w:space="720"/>
          <w:docGrid w:type="lines" w:linePitch="312"/>
        </w:sectPr>
      </w:pPr>
      <w:bookmarkStart w:id="393" w:name="_Toc416264555"/>
      <w:bookmarkStart w:id="394" w:name="_Toc214873621"/>
      <w:bookmarkStart w:id="395" w:name="_Toc21073396"/>
      <w:bookmarkStart w:id="396" w:name="_Toc12357176"/>
      <w:bookmarkStart w:id="397" w:name="_Toc147463123"/>
      <w:bookmarkStart w:id="398" w:name="_Toc263092328"/>
      <w:bookmarkStart w:id="399" w:name="_Toc6110"/>
      <w:bookmarkStart w:id="400" w:name="_Toc6202"/>
      <w:bookmarkStart w:id="401" w:name="_Toc30350"/>
      <w:bookmarkStart w:id="402" w:name="_Toc8636"/>
      <w:bookmarkStart w:id="403" w:name="_Toc21983"/>
      <w:bookmarkStart w:id="404" w:name="_Toc1790"/>
      <w:bookmarkStart w:id="405" w:name="_Toc352229767"/>
      <w:bookmarkStart w:id="406" w:name="_Toc7288"/>
      <w:bookmarkStart w:id="407" w:name="_Toc3319"/>
      <w:bookmarkStart w:id="408" w:name="_Toc98560366"/>
      <w:bookmarkStart w:id="409" w:name="_Toc123051467"/>
      <w:bookmarkStart w:id="410" w:name="_Toc139991751"/>
      <w:bookmarkStart w:id="411" w:name="_Toc141703902"/>
      <w:bookmarkStart w:id="412" w:name="_Toc23999"/>
      <w:bookmarkStart w:id="413" w:name="_Toc123102468"/>
      <w:bookmarkStart w:id="414" w:name="_Toc25651"/>
      <w:bookmarkStart w:id="415" w:name="_Toc123112249"/>
      <w:bookmarkStart w:id="416" w:name="_Toc24923"/>
    </w:p>
    <w:p w14:paraId="397B914B" w14:textId="77777777" w:rsidR="009D10D8" w:rsidRDefault="009E4577">
      <w:pPr>
        <w:pStyle w:val="1"/>
        <w:jc w:val="center"/>
        <w:rPr>
          <w:sz w:val="30"/>
          <w:szCs w:val="30"/>
        </w:rPr>
      </w:pPr>
      <w:bookmarkStart w:id="417" w:name="_Toc68783449"/>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17"/>
    </w:p>
    <w:p w14:paraId="5481B7B9"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0F720702"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24838031"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3D98E92"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2C3F6EC7"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88985D0"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6EDF34E8"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03FD98E7"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32DF89B2"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4B238D9"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043BA5BE"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7F521361"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0ABE7AA2"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48735F36"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对于工作日期间受理的投诉，以“及时回复”为处理原则，对于不能及时回复的投诉，基金管理人承诺在 3 个工作日之内对基金投资人的投诉做出回复。</w:t>
      </w:r>
      <w:r>
        <w:rPr>
          <w:rFonts w:asciiTheme="minorEastAsia" w:hAnsiTheme="minorEastAsia" w:cs="Arial" w:hint="eastAsia"/>
          <w:sz w:val="24"/>
          <w:szCs w:val="24"/>
        </w:rPr>
        <w:lastRenderedPageBreak/>
        <w:t>对于非工作日提出的投诉，基金管理人将在顺延到下 1 个工作日进行回复。</w:t>
      </w:r>
    </w:p>
    <w:p w14:paraId="0D18639A"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7BB1BB45"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6C6A4C56"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44FF6C43"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15E92B45"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2D2DC33E" w14:textId="77777777" w:rsidR="009D10D8" w:rsidRDefault="009E457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423335D2" w14:textId="77777777" w:rsidR="009D10D8" w:rsidRDefault="009E4577">
      <w:pPr>
        <w:spacing w:line="360" w:lineRule="auto"/>
        <w:ind w:firstLineChars="200" w:firstLine="480"/>
        <w:rPr>
          <w:rFonts w:asciiTheme="minorEastAsia" w:hAnsiTheme="minorEastAsia"/>
          <w:sz w:val="24"/>
          <w:szCs w:val="24"/>
        </w:rPr>
        <w:sectPr w:rsidR="009D10D8">
          <w:footerReference w:type="default" r:id="rId19"/>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（八）如本招募说明书存在任何您/贵机构无法理解的内容，请通过上述联系方式联系基金管理人。请确保投资前，您/贵机构已经全面理解了本招募说明书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bookmarkEnd w:id="393"/>
      <w:bookmarkEnd w:id="394"/>
      <w:bookmarkEnd w:id="395"/>
      <w:bookmarkEnd w:id="396"/>
      <w:bookmarkEnd w:id="397"/>
      <w:bookmarkEnd w:id="398"/>
    </w:p>
    <w:p w14:paraId="41A48378" w14:textId="77777777" w:rsidR="009D10D8" w:rsidRDefault="009E4577">
      <w:pPr>
        <w:pStyle w:val="1"/>
        <w:jc w:val="center"/>
        <w:rPr>
          <w:sz w:val="30"/>
          <w:szCs w:val="30"/>
        </w:rPr>
      </w:pPr>
      <w:bookmarkStart w:id="418" w:name="_Toc214873622"/>
      <w:bookmarkStart w:id="419" w:name="_Toc416264556"/>
      <w:bookmarkStart w:id="420" w:name="_Toc530223198"/>
      <w:bookmarkStart w:id="421" w:name="_Toc263092329"/>
      <w:bookmarkStart w:id="422" w:name="_Toc68783450"/>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18"/>
      <w:bookmarkEnd w:id="419"/>
      <w:bookmarkEnd w:id="420"/>
      <w:bookmarkEnd w:id="421"/>
      <w:bookmarkEnd w:id="422"/>
    </w:p>
    <w:p w14:paraId="5F5465B0"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3CDFBA3"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503B68DE"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08ED46E" w14:textId="77777777" w:rsidR="009D10D8" w:rsidRDefault="009D10D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9D10D8">
          <w:footerReference w:type="default" r:id="rId20"/>
          <w:pgSz w:w="11906" w:h="16838"/>
          <w:pgMar w:top="1440" w:right="1800" w:bottom="1440" w:left="1800" w:header="851" w:footer="992" w:gutter="0"/>
          <w:cols w:space="425"/>
          <w:docGrid w:type="lines" w:linePitch="312"/>
        </w:sectPr>
      </w:pPr>
      <w:bookmarkStart w:id="423" w:name="_Toc416268879"/>
      <w:bookmarkStart w:id="424" w:name="_Toc263092330"/>
      <w:bookmarkEnd w:id="60"/>
      <w:bookmarkEnd w:id="61"/>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23"/>
      <w:bookmarkEnd w:id="424"/>
    </w:p>
    <w:p w14:paraId="72784C16" w14:textId="77777777" w:rsidR="009D10D8" w:rsidRDefault="009E4577">
      <w:pPr>
        <w:pStyle w:val="1"/>
        <w:jc w:val="center"/>
      </w:pPr>
      <w:bookmarkStart w:id="425" w:name="_Toc68783451"/>
      <w:r>
        <w:rPr>
          <w:sz w:val="30"/>
          <w:szCs w:val="30"/>
        </w:rPr>
        <w:lastRenderedPageBreak/>
        <w:t>第二十</w:t>
      </w:r>
      <w:r>
        <w:rPr>
          <w:rFonts w:hint="eastAsia"/>
          <w:sz w:val="30"/>
          <w:szCs w:val="30"/>
        </w:rPr>
        <w:t>三</w:t>
      </w:r>
      <w:r>
        <w:rPr>
          <w:sz w:val="30"/>
          <w:szCs w:val="30"/>
        </w:rPr>
        <w:t>部分  备查文件</w:t>
      </w:r>
      <w:bookmarkEnd w:id="425"/>
    </w:p>
    <w:p w14:paraId="0C0BD6D1"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3D3CB5EA"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5D1BAF5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（二）《富荣研究优选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 xml:space="preserve">证券投资基金基金合同》 </w:t>
      </w:r>
    </w:p>
    <w:p w14:paraId="0A238F6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（三）《富荣研究优选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 xml:space="preserve">证券投资基金托管协议》 </w:t>
      </w:r>
    </w:p>
    <w:p w14:paraId="1142201E"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30D6D85F"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3D377434"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富荣研究优选</w:t>
      </w:r>
      <w:r>
        <w:rPr>
          <w:rFonts w:asciiTheme="minorEastAsia" w:hAnsiTheme="minorEastAsia" w:cs="Arial" w:hint="eastAsia"/>
          <w:kern w:val="0"/>
          <w:sz w:val="24"/>
          <w:szCs w:val="24"/>
        </w:rPr>
        <w:t>混合型</w:t>
      </w:r>
      <w:r>
        <w:rPr>
          <w:rFonts w:asciiTheme="minorEastAsia" w:hAnsiTheme="minorEastAsia" w:cs="Arial"/>
          <w:kern w:val="0"/>
          <w:sz w:val="24"/>
          <w:szCs w:val="24"/>
        </w:rPr>
        <w:t>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1371B181"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0BB367B3" w14:textId="77777777"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7C9DFC97"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3F02065"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E17A021"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66D8DF"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39AB669"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15493FE"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4BE3371"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FC84A6C" w14:textId="77777777" w:rsidR="009D10D8" w:rsidRDefault="009D10D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31DBE472" w14:textId="77777777" w:rsidR="009D10D8" w:rsidRDefault="009E4577">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14:paraId="5BD7A505" w14:textId="630B2901" w:rsidR="009D10D8" w:rsidRDefault="009E4577">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（本页无正文，为《富荣研究优选混合型证券投资基金招募说明书》签章页。）</w:t>
      </w:r>
    </w:p>
    <w:p w14:paraId="7AE28A77"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5FE6F110"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39BADA24"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504F5D0F"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0FB1FB51"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3A03175C"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23A40275"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65FF1AC4"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06B2D05C"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14F01644"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5992F50F"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75D02FCA"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4EC65570"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29C889AC"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0D56591D"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44A567E8"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188FF5DE"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65D7FD2B"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2A184B51"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010E1D19"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157F042D"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44CFFFC0"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7A934013"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7E0E20D2"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7F0E054E"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57EE8CA0"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7595C9BD" w14:textId="77777777" w:rsidR="009D10D8" w:rsidRDefault="009D10D8">
      <w:pPr>
        <w:widowControl/>
        <w:adjustRightInd w:val="0"/>
        <w:snapToGrid w:val="0"/>
        <w:spacing w:line="360" w:lineRule="auto"/>
        <w:ind w:rightChars="-85" w:right="-178" w:firstLineChars="200" w:firstLine="420"/>
        <w:rPr>
          <w:rFonts w:ascii="Arial" w:eastAsia="宋体" w:hAnsi="Arial" w:cs="Arial"/>
          <w:kern w:val="0"/>
          <w:szCs w:val="21"/>
        </w:rPr>
      </w:pPr>
    </w:p>
    <w:p w14:paraId="0E693BEB" w14:textId="77777777" w:rsidR="009D10D8" w:rsidRDefault="009E4577">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62C5B58" w14:textId="3EFC27D0" w:rsidR="009D10D8" w:rsidRDefault="009E4577">
      <w:pPr>
        <w:widowControl/>
        <w:adjustRightInd w:val="0"/>
        <w:snapToGrid w:val="0"/>
        <w:spacing w:line="360" w:lineRule="auto"/>
        <w:ind w:rightChars="-85" w:right="-178"/>
        <w:jc w:val="right"/>
      </w:pPr>
      <w:r>
        <w:rPr>
          <w:rFonts w:asciiTheme="minorEastAsia" w:hAnsiTheme="minorEastAsia" w:cs="Arial" w:hint="eastAsia"/>
          <w:kern w:val="0"/>
          <w:sz w:val="24"/>
          <w:szCs w:val="24"/>
        </w:rPr>
        <w:t>202</w:t>
      </w:r>
      <w:r w:rsidR="00023057">
        <w:rPr>
          <w:rFonts w:asciiTheme="minorEastAsia" w:hAnsiTheme="minorEastAsia" w:cs="Arial"/>
          <w:kern w:val="0"/>
          <w:sz w:val="24"/>
          <w:szCs w:val="24"/>
        </w:rPr>
        <w:t>3</w:t>
      </w:r>
      <w:r>
        <w:rPr>
          <w:rFonts w:asciiTheme="minorEastAsia" w:hAnsiTheme="minorEastAsia" w:cs="Arial" w:hint="eastAsia"/>
          <w:kern w:val="0"/>
          <w:sz w:val="24"/>
          <w:szCs w:val="24"/>
        </w:rPr>
        <w:t>年  月  日</w:t>
      </w:r>
    </w:p>
    <w:p w14:paraId="1EB928EB" w14:textId="77777777" w:rsidR="009D10D8" w:rsidRDefault="009D10D8">
      <w:pPr>
        <w:widowControl/>
        <w:jc w:val="left"/>
        <w:rPr>
          <w:rFonts w:asciiTheme="minorEastAsia" w:hAnsiTheme="minorEastAsia" w:cs="Arial"/>
          <w:kern w:val="0"/>
          <w:sz w:val="24"/>
          <w:szCs w:val="24"/>
        </w:rPr>
      </w:pPr>
    </w:p>
    <w:p w14:paraId="40639337" w14:textId="77777777" w:rsidR="009D10D8" w:rsidRDefault="009D10D8">
      <w:pPr>
        <w:widowControl/>
        <w:adjustRightInd w:val="0"/>
        <w:snapToGrid w:val="0"/>
        <w:spacing w:line="360" w:lineRule="auto"/>
        <w:ind w:rightChars="-85" w:right="-178" w:firstLineChars="200" w:firstLine="420"/>
        <w:jc w:val="right"/>
        <w:rPr>
          <w:rFonts w:ascii="Arial" w:eastAsia="宋体" w:hAnsi="Arial" w:cs="Arial"/>
          <w:kern w:val="0"/>
          <w:szCs w:val="21"/>
        </w:rPr>
      </w:pPr>
    </w:p>
    <w:sectPr w:rsidR="009D10D8">
      <w:footerReference w:type="default" r:id="rId21"/>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4B37E" w14:textId="77777777" w:rsidR="00C02AAA" w:rsidRDefault="00C02AAA">
      <w:r>
        <w:separator/>
      </w:r>
    </w:p>
  </w:endnote>
  <w:endnote w:type="continuationSeparator" w:id="0">
    <w:p w14:paraId="05E37888" w14:textId="77777777" w:rsidR="00C02AAA" w:rsidRDefault="00C02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08632575"/>
    </w:sdtPr>
    <w:sdtEndPr/>
    <w:sdtContent>
      <w:p w14:paraId="10050DFB" w14:textId="7A15F232"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3</w:t>
        </w:r>
        <w:r>
          <w:rPr>
            <w:lang w:val="zh-CN"/>
          </w:rPr>
          <w:fldChar w:fldCharType="end"/>
        </w:r>
      </w:p>
    </w:sdtContent>
  </w:sdt>
  <w:p w14:paraId="48923DB7" w14:textId="77777777" w:rsidR="009E4577" w:rsidRDefault="009E4577">
    <w:pPr>
      <w:pStyle w:val="af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1473134"/>
    </w:sdtPr>
    <w:sdtEndPr/>
    <w:sdtContent>
      <w:p w14:paraId="4FBE80E4" w14:textId="19734C7B"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4</w:t>
        </w:r>
        <w:r>
          <w:rPr>
            <w:lang w:val="zh-CN"/>
          </w:rPr>
          <w:fldChar w:fldCharType="end"/>
        </w:r>
      </w:p>
    </w:sdtContent>
  </w:sdt>
  <w:p w14:paraId="5A638F15" w14:textId="77777777" w:rsidR="009E4577" w:rsidRDefault="009E4577">
    <w:pPr>
      <w:pStyle w:val="af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3926611"/>
    </w:sdtPr>
    <w:sdtEndPr/>
    <w:sdtContent>
      <w:p w14:paraId="3F505121" w14:textId="1F4A8E6A"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10</w:t>
        </w:r>
        <w:r>
          <w:rPr>
            <w:lang w:val="zh-CN"/>
          </w:rPr>
          <w:fldChar w:fldCharType="end"/>
        </w:r>
      </w:p>
    </w:sdtContent>
  </w:sdt>
  <w:p w14:paraId="6BCBAF61" w14:textId="77777777" w:rsidR="009E4577" w:rsidRDefault="009E4577">
    <w:pPr>
      <w:pStyle w:val="af2"/>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20737179"/>
    </w:sdtPr>
    <w:sdtEndPr/>
    <w:sdtContent>
      <w:p w14:paraId="0DC7373C" w14:textId="50DC1D25"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20</w:t>
        </w:r>
        <w:r>
          <w:rPr>
            <w:lang w:val="zh-CN"/>
          </w:rPr>
          <w:fldChar w:fldCharType="end"/>
        </w:r>
      </w:p>
    </w:sdtContent>
  </w:sdt>
  <w:p w14:paraId="2E9EA502" w14:textId="77777777" w:rsidR="009E4577" w:rsidRDefault="009E4577">
    <w:pPr>
      <w:pStyle w:val="af2"/>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2465510"/>
    </w:sdtPr>
    <w:sdtEndPr/>
    <w:sdtContent>
      <w:p w14:paraId="7C9EA6D5" w14:textId="379E1458"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27</w:t>
        </w:r>
        <w:r>
          <w:rPr>
            <w:lang w:val="zh-CN"/>
          </w:rPr>
          <w:fldChar w:fldCharType="end"/>
        </w:r>
      </w:p>
    </w:sdtContent>
  </w:sdt>
  <w:p w14:paraId="5D9ECF58" w14:textId="77777777" w:rsidR="009E4577" w:rsidRDefault="009E4577">
    <w:pPr>
      <w:pStyle w:val="af2"/>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72677094"/>
    </w:sdtPr>
    <w:sdtEndPr/>
    <w:sdtContent>
      <w:p w14:paraId="28516696" w14:textId="21670901"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31</w:t>
        </w:r>
        <w:r>
          <w:rPr>
            <w:lang w:val="zh-CN"/>
          </w:rPr>
          <w:fldChar w:fldCharType="end"/>
        </w:r>
      </w:p>
    </w:sdtContent>
  </w:sdt>
  <w:p w14:paraId="55D94CAD" w14:textId="77777777" w:rsidR="009E4577" w:rsidRDefault="009E4577">
    <w:pPr>
      <w:pStyle w:val="af2"/>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0824264"/>
    </w:sdtPr>
    <w:sdtEndPr/>
    <w:sdtContent>
      <w:p w14:paraId="17313BF5" w14:textId="5BC0D6F2"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32</w:t>
        </w:r>
        <w:r>
          <w:rPr>
            <w:lang w:val="zh-CN"/>
          </w:rPr>
          <w:fldChar w:fldCharType="end"/>
        </w:r>
      </w:p>
    </w:sdtContent>
  </w:sdt>
  <w:p w14:paraId="56D5F25B" w14:textId="77777777" w:rsidR="009E4577" w:rsidRDefault="009E4577">
    <w:pPr>
      <w:pStyle w:val="af2"/>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30503540"/>
    </w:sdtPr>
    <w:sdtEndPr/>
    <w:sdtContent>
      <w:p w14:paraId="4EBD75D5" w14:textId="49D95C0E"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82</w:t>
        </w:r>
        <w:r>
          <w:rPr>
            <w:lang w:val="zh-CN"/>
          </w:rPr>
          <w:fldChar w:fldCharType="end"/>
        </w:r>
      </w:p>
    </w:sdtContent>
  </w:sdt>
  <w:p w14:paraId="1D49891B" w14:textId="77777777" w:rsidR="009E4577" w:rsidRDefault="009E4577">
    <w:pPr>
      <w:pStyle w:val="af2"/>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6314526"/>
    </w:sdtPr>
    <w:sdtEndPr/>
    <w:sdtContent>
      <w:p w14:paraId="69ED0C5E" w14:textId="01616C69"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84</w:t>
        </w:r>
        <w:r>
          <w:rPr>
            <w:lang w:val="zh-CN"/>
          </w:rPr>
          <w:fldChar w:fldCharType="end"/>
        </w:r>
      </w:p>
    </w:sdtContent>
  </w:sdt>
  <w:p w14:paraId="46005D4C" w14:textId="77777777" w:rsidR="009E4577" w:rsidRDefault="009E4577">
    <w:pPr>
      <w:pStyle w:val="af2"/>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391200"/>
    </w:sdtPr>
    <w:sdtEndPr/>
    <w:sdtContent>
      <w:p w14:paraId="2DAC1714" w14:textId="51F6F827"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124</w:t>
        </w:r>
        <w:r>
          <w:rPr>
            <w:lang w:val="zh-CN"/>
          </w:rPr>
          <w:fldChar w:fldCharType="end"/>
        </w:r>
      </w:p>
    </w:sdtContent>
  </w:sdt>
  <w:p w14:paraId="3DFE33F5" w14:textId="77777777" w:rsidR="009E4577" w:rsidRDefault="009E4577">
    <w:pPr>
      <w:pStyle w:val="af2"/>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7491673"/>
    </w:sdtPr>
    <w:sdtEndPr/>
    <w:sdtContent>
      <w:p w14:paraId="7AE72A81" w14:textId="1C70560C"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126</w:t>
        </w:r>
        <w:r>
          <w:rPr>
            <w:lang w:val="zh-CN"/>
          </w:rPr>
          <w:fldChar w:fldCharType="end"/>
        </w:r>
      </w:p>
    </w:sdtContent>
  </w:sdt>
  <w:p w14:paraId="115698DE" w14:textId="77777777" w:rsidR="009E4577" w:rsidRDefault="009E4577">
    <w:pPr>
      <w:pStyle w:val="af2"/>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4161046"/>
    </w:sdtPr>
    <w:sdtEndPr/>
    <w:sdtContent>
      <w:p w14:paraId="44B5C71C" w14:textId="08943786" w:rsidR="009E4577" w:rsidRDefault="009E4577">
        <w:pPr>
          <w:pStyle w:val="af2"/>
          <w:jc w:val="center"/>
        </w:pPr>
        <w:r>
          <w:rPr>
            <w:lang w:val="zh-CN"/>
          </w:rPr>
          <w:fldChar w:fldCharType="begin"/>
        </w:r>
        <w:r>
          <w:rPr>
            <w:lang w:val="zh-CN"/>
          </w:rPr>
          <w:instrText>PAGE   \* MERGEFORMAT</w:instrText>
        </w:r>
        <w:r>
          <w:rPr>
            <w:lang w:val="zh-CN"/>
          </w:rPr>
          <w:fldChar w:fldCharType="separate"/>
        </w:r>
        <w:r w:rsidR="006C62CD">
          <w:rPr>
            <w:noProof/>
            <w:lang w:val="zh-CN"/>
          </w:rPr>
          <w:t>127</w:t>
        </w:r>
        <w:r>
          <w:rPr>
            <w:lang w:val="zh-CN"/>
          </w:rPr>
          <w:fldChar w:fldCharType="end"/>
        </w:r>
      </w:p>
    </w:sdtContent>
  </w:sdt>
  <w:p w14:paraId="5450886E" w14:textId="77777777" w:rsidR="009E4577" w:rsidRDefault="009E4577">
    <w:pPr>
      <w:pStyle w:val="af2"/>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D9F05" w14:textId="77777777" w:rsidR="009E4577" w:rsidRDefault="009E4577">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457D1E" w14:textId="77777777" w:rsidR="00C02AAA" w:rsidRDefault="00C02AAA">
      <w:r>
        <w:separator/>
      </w:r>
    </w:p>
  </w:footnote>
  <w:footnote w:type="continuationSeparator" w:id="0">
    <w:p w14:paraId="654EB17B" w14:textId="77777777" w:rsidR="00C02AAA" w:rsidRDefault="00C02A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EA5BBE" w14:textId="0E4BA3B8" w:rsidR="009E4577" w:rsidRDefault="009E4577">
    <w:pPr>
      <w:pStyle w:val="af4"/>
      <w:jc w:val="both"/>
    </w:pPr>
    <w:r>
      <w:rPr>
        <w:rFonts w:ascii="Arial" w:hAnsi="Arial" w:cs="Arial" w:hint="eastAsia"/>
        <w:szCs w:val="21"/>
      </w:rPr>
      <w:t>富荣研究优选混合型证券投资基金</w:t>
    </w:r>
    <w:r>
      <w:rPr>
        <w:rFonts w:ascii="Arial" w:hAnsi="Arial" w:cs="Arial" w:hint="eastAsia"/>
        <w:szCs w:val="21"/>
      </w:rPr>
      <w:t xml:space="preserve">                                        </w:t>
    </w:r>
    <w:r>
      <w:rPr>
        <w:rFonts w:ascii="Arial" w:hAnsi="Arial" w:cs="Arial"/>
        <w:szCs w:val="21"/>
      </w:rPr>
      <w:t xml:space="preserve">  </w:t>
    </w:r>
    <w:r>
      <w:rPr>
        <w:rFonts w:ascii="Arial" w:hAnsi="Arial" w:cs="Arial" w:hint="eastAsia"/>
        <w:szCs w:val="21"/>
      </w:rPr>
      <w:t xml:space="preserve">  </w:t>
    </w:r>
    <w:r>
      <w:rPr>
        <w:rFonts w:ascii="Arial" w:hAnsi="Arial" w:cs="Arial"/>
        <w:szCs w:val="21"/>
      </w:rPr>
      <w:t xml:space="preserve">  </w:t>
    </w:r>
    <w:r w:rsidR="00EB3716">
      <w:rPr>
        <w:rFonts w:ascii="Arial" w:hAnsi="Arial" w:cs="Arial"/>
        <w:szCs w:val="21"/>
      </w:rPr>
      <w:t xml:space="preserve">      </w:t>
    </w:r>
    <w:r>
      <w:rPr>
        <w:rFonts w:hint="eastAsia"/>
      </w:rPr>
      <w:t>招募说明书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multilevel"/>
    <w:tmpl w:val="13473C0F"/>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756243303">
    <w:abstractNumId w:val="0"/>
  </w:num>
  <w:num w:numId="2" w16cid:durableId="923492090">
    <w:abstractNumId w:val="1"/>
  </w:num>
  <w:num w:numId="3" w16cid:durableId="1939171788">
    <w:abstractNumId w:val="2"/>
  </w:num>
  <w:num w:numId="4" w16cid:durableId="129140215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623048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F7FFB5BE"/>
    <w:rsid w:val="00001E24"/>
    <w:rsid w:val="0000336D"/>
    <w:rsid w:val="00007E80"/>
    <w:rsid w:val="00007F8E"/>
    <w:rsid w:val="0001082F"/>
    <w:rsid w:val="00011E0C"/>
    <w:rsid w:val="00014A4A"/>
    <w:rsid w:val="000150A1"/>
    <w:rsid w:val="0001528A"/>
    <w:rsid w:val="00016B2F"/>
    <w:rsid w:val="000213BB"/>
    <w:rsid w:val="00021C6F"/>
    <w:rsid w:val="00023057"/>
    <w:rsid w:val="00024EED"/>
    <w:rsid w:val="00024F19"/>
    <w:rsid w:val="00025ADD"/>
    <w:rsid w:val="00026A47"/>
    <w:rsid w:val="000304DE"/>
    <w:rsid w:val="00030CC5"/>
    <w:rsid w:val="000324C3"/>
    <w:rsid w:val="00032C15"/>
    <w:rsid w:val="00034D9A"/>
    <w:rsid w:val="00036415"/>
    <w:rsid w:val="0003661E"/>
    <w:rsid w:val="00040033"/>
    <w:rsid w:val="000417AB"/>
    <w:rsid w:val="00041CC2"/>
    <w:rsid w:val="00041F00"/>
    <w:rsid w:val="000437AF"/>
    <w:rsid w:val="00043AE3"/>
    <w:rsid w:val="00043E2F"/>
    <w:rsid w:val="000455CE"/>
    <w:rsid w:val="00045DF2"/>
    <w:rsid w:val="000507C1"/>
    <w:rsid w:val="00050E32"/>
    <w:rsid w:val="000515D1"/>
    <w:rsid w:val="0005270F"/>
    <w:rsid w:val="0005295B"/>
    <w:rsid w:val="00053F56"/>
    <w:rsid w:val="00053FD5"/>
    <w:rsid w:val="00055889"/>
    <w:rsid w:val="00055F60"/>
    <w:rsid w:val="000570B2"/>
    <w:rsid w:val="000579D5"/>
    <w:rsid w:val="00057A6D"/>
    <w:rsid w:val="0006090B"/>
    <w:rsid w:val="00061EFE"/>
    <w:rsid w:val="00062169"/>
    <w:rsid w:val="00062C1B"/>
    <w:rsid w:val="00063460"/>
    <w:rsid w:val="00063887"/>
    <w:rsid w:val="00063FB4"/>
    <w:rsid w:val="0006474E"/>
    <w:rsid w:val="00065FA9"/>
    <w:rsid w:val="00066597"/>
    <w:rsid w:val="00070358"/>
    <w:rsid w:val="00071C0B"/>
    <w:rsid w:val="00072066"/>
    <w:rsid w:val="00072559"/>
    <w:rsid w:val="000740F2"/>
    <w:rsid w:val="00075112"/>
    <w:rsid w:val="00076BAE"/>
    <w:rsid w:val="00076E9C"/>
    <w:rsid w:val="000776EE"/>
    <w:rsid w:val="000807B7"/>
    <w:rsid w:val="000817BB"/>
    <w:rsid w:val="000820F4"/>
    <w:rsid w:val="00084A9D"/>
    <w:rsid w:val="00092FE3"/>
    <w:rsid w:val="00093B11"/>
    <w:rsid w:val="00094942"/>
    <w:rsid w:val="0009505B"/>
    <w:rsid w:val="0009610D"/>
    <w:rsid w:val="00096D0E"/>
    <w:rsid w:val="000A07FA"/>
    <w:rsid w:val="000A1798"/>
    <w:rsid w:val="000A2809"/>
    <w:rsid w:val="000A3482"/>
    <w:rsid w:val="000A34E4"/>
    <w:rsid w:val="000A4496"/>
    <w:rsid w:val="000A53A9"/>
    <w:rsid w:val="000B0075"/>
    <w:rsid w:val="000B0476"/>
    <w:rsid w:val="000B3BDB"/>
    <w:rsid w:val="000B467C"/>
    <w:rsid w:val="000B4DA0"/>
    <w:rsid w:val="000B6836"/>
    <w:rsid w:val="000B720D"/>
    <w:rsid w:val="000B7428"/>
    <w:rsid w:val="000B7ACE"/>
    <w:rsid w:val="000C00C5"/>
    <w:rsid w:val="000C0BDF"/>
    <w:rsid w:val="000C1E78"/>
    <w:rsid w:val="000C2A62"/>
    <w:rsid w:val="000C3020"/>
    <w:rsid w:val="000C36FD"/>
    <w:rsid w:val="000C3CAB"/>
    <w:rsid w:val="000C4C8F"/>
    <w:rsid w:val="000C6964"/>
    <w:rsid w:val="000D13F2"/>
    <w:rsid w:val="000D1C20"/>
    <w:rsid w:val="000D2964"/>
    <w:rsid w:val="000D2A86"/>
    <w:rsid w:val="000D2BAE"/>
    <w:rsid w:val="000D3337"/>
    <w:rsid w:val="000D525E"/>
    <w:rsid w:val="000E1E9B"/>
    <w:rsid w:val="000E3D34"/>
    <w:rsid w:val="000E4187"/>
    <w:rsid w:val="000E7BCA"/>
    <w:rsid w:val="000F1852"/>
    <w:rsid w:val="000F4000"/>
    <w:rsid w:val="000F4E57"/>
    <w:rsid w:val="000F5114"/>
    <w:rsid w:val="000F5C40"/>
    <w:rsid w:val="000F63F5"/>
    <w:rsid w:val="000F685B"/>
    <w:rsid w:val="000F6B6F"/>
    <w:rsid w:val="00100EB0"/>
    <w:rsid w:val="00101ED0"/>
    <w:rsid w:val="00102D5B"/>
    <w:rsid w:val="0010455F"/>
    <w:rsid w:val="00105BC6"/>
    <w:rsid w:val="00107B18"/>
    <w:rsid w:val="00110756"/>
    <w:rsid w:val="00111FD3"/>
    <w:rsid w:val="00112609"/>
    <w:rsid w:val="00112ACF"/>
    <w:rsid w:val="00115947"/>
    <w:rsid w:val="00116670"/>
    <w:rsid w:val="0012019B"/>
    <w:rsid w:val="001209F5"/>
    <w:rsid w:val="001225F3"/>
    <w:rsid w:val="0012332B"/>
    <w:rsid w:val="00127ED5"/>
    <w:rsid w:val="00127EE7"/>
    <w:rsid w:val="00132839"/>
    <w:rsid w:val="00135275"/>
    <w:rsid w:val="00136502"/>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2A1"/>
    <w:rsid w:val="001704C2"/>
    <w:rsid w:val="001705BF"/>
    <w:rsid w:val="0017094D"/>
    <w:rsid w:val="00170C44"/>
    <w:rsid w:val="00171B39"/>
    <w:rsid w:val="00173C75"/>
    <w:rsid w:val="001745C9"/>
    <w:rsid w:val="001756AE"/>
    <w:rsid w:val="00175EFD"/>
    <w:rsid w:val="001815D7"/>
    <w:rsid w:val="00181F45"/>
    <w:rsid w:val="00184AAE"/>
    <w:rsid w:val="00184E9F"/>
    <w:rsid w:val="00185220"/>
    <w:rsid w:val="00185938"/>
    <w:rsid w:val="00186FFA"/>
    <w:rsid w:val="001939DE"/>
    <w:rsid w:val="001943FC"/>
    <w:rsid w:val="00194D9A"/>
    <w:rsid w:val="001952E5"/>
    <w:rsid w:val="00196862"/>
    <w:rsid w:val="00196FB7"/>
    <w:rsid w:val="00197F8C"/>
    <w:rsid w:val="001A0D71"/>
    <w:rsid w:val="001A0F3B"/>
    <w:rsid w:val="001A1315"/>
    <w:rsid w:val="001A1C76"/>
    <w:rsid w:val="001A3539"/>
    <w:rsid w:val="001A41F8"/>
    <w:rsid w:val="001A4CAD"/>
    <w:rsid w:val="001A6505"/>
    <w:rsid w:val="001A670B"/>
    <w:rsid w:val="001B0FE2"/>
    <w:rsid w:val="001B101B"/>
    <w:rsid w:val="001B1C13"/>
    <w:rsid w:val="001B23ED"/>
    <w:rsid w:val="001B56E7"/>
    <w:rsid w:val="001B598D"/>
    <w:rsid w:val="001B5B83"/>
    <w:rsid w:val="001B716E"/>
    <w:rsid w:val="001C08B6"/>
    <w:rsid w:val="001C1D11"/>
    <w:rsid w:val="001C275F"/>
    <w:rsid w:val="001C404F"/>
    <w:rsid w:val="001C66FB"/>
    <w:rsid w:val="001C71D3"/>
    <w:rsid w:val="001C79DE"/>
    <w:rsid w:val="001C7D92"/>
    <w:rsid w:val="001D24DB"/>
    <w:rsid w:val="001D3C2F"/>
    <w:rsid w:val="001D4772"/>
    <w:rsid w:val="001E05E8"/>
    <w:rsid w:val="001E0E1D"/>
    <w:rsid w:val="001E3ADC"/>
    <w:rsid w:val="001E3B99"/>
    <w:rsid w:val="001E48AE"/>
    <w:rsid w:val="001E7C1E"/>
    <w:rsid w:val="001F029F"/>
    <w:rsid w:val="001F0DEC"/>
    <w:rsid w:val="001F141D"/>
    <w:rsid w:val="001F2A1F"/>
    <w:rsid w:val="001F2EE0"/>
    <w:rsid w:val="001F32BF"/>
    <w:rsid w:val="001F670C"/>
    <w:rsid w:val="001F6CAF"/>
    <w:rsid w:val="001F7512"/>
    <w:rsid w:val="00201AB5"/>
    <w:rsid w:val="0020279D"/>
    <w:rsid w:val="00203D74"/>
    <w:rsid w:val="002040A3"/>
    <w:rsid w:val="002078F3"/>
    <w:rsid w:val="00207B12"/>
    <w:rsid w:val="00207C5C"/>
    <w:rsid w:val="00207CD5"/>
    <w:rsid w:val="00207EFA"/>
    <w:rsid w:val="00210437"/>
    <w:rsid w:val="00211085"/>
    <w:rsid w:val="00211B75"/>
    <w:rsid w:val="00212156"/>
    <w:rsid w:val="00212167"/>
    <w:rsid w:val="002126B2"/>
    <w:rsid w:val="002138DB"/>
    <w:rsid w:val="002210DF"/>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507FE"/>
    <w:rsid w:val="0025184A"/>
    <w:rsid w:val="002518DB"/>
    <w:rsid w:val="00252C86"/>
    <w:rsid w:val="0025398C"/>
    <w:rsid w:val="00257F94"/>
    <w:rsid w:val="002601E9"/>
    <w:rsid w:val="00260AE0"/>
    <w:rsid w:val="0026217C"/>
    <w:rsid w:val="002622A9"/>
    <w:rsid w:val="00263BCA"/>
    <w:rsid w:val="00266917"/>
    <w:rsid w:val="00266A12"/>
    <w:rsid w:val="002701CE"/>
    <w:rsid w:val="00272867"/>
    <w:rsid w:val="00272F3A"/>
    <w:rsid w:val="00273FCA"/>
    <w:rsid w:val="002752C2"/>
    <w:rsid w:val="00275C95"/>
    <w:rsid w:val="002775A2"/>
    <w:rsid w:val="00282732"/>
    <w:rsid w:val="002834CB"/>
    <w:rsid w:val="00283A8E"/>
    <w:rsid w:val="00283E0C"/>
    <w:rsid w:val="00283F15"/>
    <w:rsid w:val="002841F3"/>
    <w:rsid w:val="002863C8"/>
    <w:rsid w:val="00291943"/>
    <w:rsid w:val="00291D52"/>
    <w:rsid w:val="00292E84"/>
    <w:rsid w:val="00293582"/>
    <w:rsid w:val="002940A2"/>
    <w:rsid w:val="00294C41"/>
    <w:rsid w:val="00295C02"/>
    <w:rsid w:val="00295EF8"/>
    <w:rsid w:val="002966EC"/>
    <w:rsid w:val="002A18EC"/>
    <w:rsid w:val="002A1DD0"/>
    <w:rsid w:val="002A6E10"/>
    <w:rsid w:val="002A7CB9"/>
    <w:rsid w:val="002B01D8"/>
    <w:rsid w:val="002B1A83"/>
    <w:rsid w:val="002B3FE1"/>
    <w:rsid w:val="002B435D"/>
    <w:rsid w:val="002B4DD9"/>
    <w:rsid w:val="002B64A8"/>
    <w:rsid w:val="002C29A4"/>
    <w:rsid w:val="002C385C"/>
    <w:rsid w:val="002C3C29"/>
    <w:rsid w:val="002C438F"/>
    <w:rsid w:val="002C60D4"/>
    <w:rsid w:val="002C6368"/>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641D"/>
    <w:rsid w:val="00307617"/>
    <w:rsid w:val="003079B5"/>
    <w:rsid w:val="00307A3B"/>
    <w:rsid w:val="00307AB6"/>
    <w:rsid w:val="003155E3"/>
    <w:rsid w:val="00315D57"/>
    <w:rsid w:val="0032059A"/>
    <w:rsid w:val="00324E41"/>
    <w:rsid w:val="00326A72"/>
    <w:rsid w:val="00326E04"/>
    <w:rsid w:val="00327DF4"/>
    <w:rsid w:val="00327F7E"/>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67DD"/>
    <w:rsid w:val="00357378"/>
    <w:rsid w:val="00357882"/>
    <w:rsid w:val="00361F09"/>
    <w:rsid w:val="00364E7A"/>
    <w:rsid w:val="00365C58"/>
    <w:rsid w:val="0036675B"/>
    <w:rsid w:val="0036697D"/>
    <w:rsid w:val="00367003"/>
    <w:rsid w:val="00367074"/>
    <w:rsid w:val="00367E2C"/>
    <w:rsid w:val="00370B4F"/>
    <w:rsid w:val="00371EC6"/>
    <w:rsid w:val="00371ED5"/>
    <w:rsid w:val="00376750"/>
    <w:rsid w:val="00377542"/>
    <w:rsid w:val="00381810"/>
    <w:rsid w:val="00381F92"/>
    <w:rsid w:val="003857A0"/>
    <w:rsid w:val="00386A86"/>
    <w:rsid w:val="0038750D"/>
    <w:rsid w:val="00390719"/>
    <w:rsid w:val="00391651"/>
    <w:rsid w:val="003928DF"/>
    <w:rsid w:val="00392C0F"/>
    <w:rsid w:val="00394FC2"/>
    <w:rsid w:val="003962D5"/>
    <w:rsid w:val="0039785F"/>
    <w:rsid w:val="00397AF5"/>
    <w:rsid w:val="003A1C92"/>
    <w:rsid w:val="003A2622"/>
    <w:rsid w:val="003A3022"/>
    <w:rsid w:val="003A6148"/>
    <w:rsid w:val="003A733C"/>
    <w:rsid w:val="003A78F9"/>
    <w:rsid w:val="003B2407"/>
    <w:rsid w:val="003B2B86"/>
    <w:rsid w:val="003B2C1E"/>
    <w:rsid w:val="003B318D"/>
    <w:rsid w:val="003B374D"/>
    <w:rsid w:val="003B3D76"/>
    <w:rsid w:val="003B42BB"/>
    <w:rsid w:val="003B55CE"/>
    <w:rsid w:val="003C0A28"/>
    <w:rsid w:val="003C12F6"/>
    <w:rsid w:val="003C3BD4"/>
    <w:rsid w:val="003C4E68"/>
    <w:rsid w:val="003C6950"/>
    <w:rsid w:val="003C71FB"/>
    <w:rsid w:val="003D25AE"/>
    <w:rsid w:val="003D32C5"/>
    <w:rsid w:val="003D3E7F"/>
    <w:rsid w:val="003D4F54"/>
    <w:rsid w:val="003E33DE"/>
    <w:rsid w:val="003E7547"/>
    <w:rsid w:val="003F024E"/>
    <w:rsid w:val="003F07F0"/>
    <w:rsid w:val="003F0D6B"/>
    <w:rsid w:val="003F1495"/>
    <w:rsid w:val="003F1645"/>
    <w:rsid w:val="003F2C03"/>
    <w:rsid w:val="003F2F14"/>
    <w:rsid w:val="003F3EBD"/>
    <w:rsid w:val="003F7179"/>
    <w:rsid w:val="003F71BA"/>
    <w:rsid w:val="0040162C"/>
    <w:rsid w:val="00402349"/>
    <w:rsid w:val="004052E3"/>
    <w:rsid w:val="004055CF"/>
    <w:rsid w:val="00405A20"/>
    <w:rsid w:val="00407289"/>
    <w:rsid w:val="0041093D"/>
    <w:rsid w:val="0041206B"/>
    <w:rsid w:val="00412850"/>
    <w:rsid w:val="00413B26"/>
    <w:rsid w:val="00416668"/>
    <w:rsid w:val="0041693E"/>
    <w:rsid w:val="00416A03"/>
    <w:rsid w:val="00416A30"/>
    <w:rsid w:val="00417728"/>
    <w:rsid w:val="00417E3F"/>
    <w:rsid w:val="0042002D"/>
    <w:rsid w:val="004212FB"/>
    <w:rsid w:val="00423971"/>
    <w:rsid w:val="00424206"/>
    <w:rsid w:val="004254CB"/>
    <w:rsid w:val="00427D57"/>
    <w:rsid w:val="0043056B"/>
    <w:rsid w:val="004307A3"/>
    <w:rsid w:val="00432722"/>
    <w:rsid w:val="00432BFD"/>
    <w:rsid w:val="004334EC"/>
    <w:rsid w:val="004344F1"/>
    <w:rsid w:val="00434ACE"/>
    <w:rsid w:val="00434E0A"/>
    <w:rsid w:val="004353E6"/>
    <w:rsid w:val="00436233"/>
    <w:rsid w:val="0043660A"/>
    <w:rsid w:val="004366F9"/>
    <w:rsid w:val="00436D31"/>
    <w:rsid w:val="00437669"/>
    <w:rsid w:val="004419FB"/>
    <w:rsid w:val="004459DE"/>
    <w:rsid w:val="00447A84"/>
    <w:rsid w:val="00451F4D"/>
    <w:rsid w:val="00453401"/>
    <w:rsid w:val="00456CDA"/>
    <w:rsid w:val="004570E4"/>
    <w:rsid w:val="00457A75"/>
    <w:rsid w:val="004604B4"/>
    <w:rsid w:val="004616B2"/>
    <w:rsid w:val="00461F51"/>
    <w:rsid w:val="004632CC"/>
    <w:rsid w:val="00463AC0"/>
    <w:rsid w:val="00463D15"/>
    <w:rsid w:val="004657EA"/>
    <w:rsid w:val="00465D2A"/>
    <w:rsid w:val="004665F2"/>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90E64"/>
    <w:rsid w:val="004914FA"/>
    <w:rsid w:val="004922D1"/>
    <w:rsid w:val="00493840"/>
    <w:rsid w:val="00494FA6"/>
    <w:rsid w:val="004A1E58"/>
    <w:rsid w:val="004A4445"/>
    <w:rsid w:val="004A65D7"/>
    <w:rsid w:val="004B45FA"/>
    <w:rsid w:val="004B5348"/>
    <w:rsid w:val="004B5F31"/>
    <w:rsid w:val="004B617B"/>
    <w:rsid w:val="004B72B2"/>
    <w:rsid w:val="004C13D9"/>
    <w:rsid w:val="004C1FB1"/>
    <w:rsid w:val="004C27F1"/>
    <w:rsid w:val="004C42FE"/>
    <w:rsid w:val="004C4A0F"/>
    <w:rsid w:val="004C4BF6"/>
    <w:rsid w:val="004C4EE6"/>
    <w:rsid w:val="004C7982"/>
    <w:rsid w:val="004C79C5"/>
    <w:rsid w:val="004D1712"/>
    <w:rsid w:val="004D253C"/>
    <w:rsid w:val="004D2D86"/>
    <w:rsid w:val="004D3208"/>
    <w:rsid w:val="004D5A0E"/>
    <w:rsid w:val="004D693A"/>
    <w:rsid w:val="004D719C"/>
    <w:rsid w:val="004D73CA"/>
    <w:rsid w:val="004D781D"/>
    <w:rsid w:val="004D7A1C"/>
    <w:rsid w:val="004E08FD"/>
    <w:rsid w:val="004E28F1"/>
    <w:rsid w:val="004E3FD5"/>
    <w:rsid w:val="004E411F"/>
    <w:rsid w:val="004E5BE5"/>
    <w:rsid w:val="004F02E3"/>
    <w:rsid w:val="004F4E5A"/>
    <w:rsid w:val="004F589D"/>
    <w:rsid w:val="004F7007"/>
    <w:rsid w:val="00501B74"/>
    <w:rsid w:val="00503979"/>
    <w:rsid w:val="005043F9"/>
    <w:rsid w:val="005067A5"/>
    <w:rsid w:val="00506A9D"/>
    <w:rsid w:val="00511DC2"/>
    <w:rsid w:val="00513369"/>
    <w:rsid w:val="00514E09"/>
    <w:rsid w:val="00515CEA"/>
    <w:rsid w:val="00516A76"/>
    <w:rsid w:val="00517167"/>
    <w:rsid w:val="00520016"/>
    <w:rsid w:val="00521864"/>
    <w:rsid w:val="00525D26"/>
    <w:rsid w:val="005266D4"/>
    <w:rsid w:val="005307B0"/>
    <w:rsid w:val="00532478"/>
    <w:rsid w:val="005339D1"/>
    <w:rsid w:val="005370C1"/>
    <w:rsid w:val="00540285"/>
    <w:rsid w:val="00540E2F"/>
    <w:rsid w:val="00541D67"/>
    <w:rsid w:val="005435FB"/>
    <w:rsid w:val="00543AAE"/>
    <w:rsid w:val="00546072"/>
    <w:rsid w:val="00550B96"/>
    <w:rsid w:val="00552750"/>
    <w:rsid w:val="0055353E"/>
    <w:rsid w:val="00553A91"/>
    <w:rsid w:val="00553C15"/>
    <w:rsid w:val="00555BA2"/>
    <w:rsid w:val="00556041"/>
    <w:rsid w:val="0055734F"/>
    <w:rsid w:val="005622B6"/>
    <w:rsid w:val="0056275F"/>
    <w:rsid w:val="00562DCF"/>
    <w:rsid w:val="00563324"/>
    <w:rsid w:val="00563426"/>
    <w:rsid w:val="00564640"/>
    <w:rsid w:val="00565760"/>
    <w:rsid w:val="00566F0E"/>
    <w:rsid w:val="005677AD"/>
    <w:rsid w:val="00571308"/>
    <w:rsid w:val="005730A9"/>
    <w:rsid w:val="00573164"/>
    <w:rsid w:val="0057704C"/>
    <w:rsid w:val="00577C24"/>
    <w:rsid w:val="005801AA"/>
    <w:rsid w:val="005803F4"/>
    <w:rsid w:val="00581D26"/>
    <w:rsid w:val="0058289A"/>
    <w:rsid w:val="005829AA"/>
    <w:rsid w:val="00582E8F"/>
    <w:rsid w:val="00585A88"/>
    <w:rsid w:val="005878CD"/>
    <w:rsid w:val="0059102D"/>
    <w:rsid w:val="005916C4"/>
    <w:rsid w:val="00592ACD"/>
    <w:rsid w:val="00592B7E"/>
    <w:rsid w:val="00592F1D"/>
    <w:rsid w:val="00593DBE"/>
    <w:rsid w:val="0059486A"/>
    <w:rsid w:val="00595A44"/>
    <w:rsid w:val="00597B85"/>
    <w:rsid w:val="005A098B"/>
    <w:rsid w:val="005A2417"/>
    <w:rsid w:val="005A304E"/>
    <w:rsid w:val="005A3605"/>
    <w:rsid w:val="005A4328"/>
    <w:rsid w:val="005A4878"/>
    <w:rsid w:val="005A4D49"/>
    <w:rsid w:val="005A6549"/>
    <w:rsid w:val="005A66E5"/>
    <w:rsid w:val="005A7462"/>
    <w:rsid w:val="005A7A85"/>
    <w:rsid w:val="005B1DAC"/>
    <w:rsid w:val="005B38F6"/>
    <w:rsid w:val="005B5C87"/>
    <w:rsid w:val="005B766D"/>
    <w:rsid w:val="005B7F6F"/>
    <w:rsid w:val="005C0239"/>
    <w:rsid w:val="005C5145"/>
    <w:rsid w:val="005D19A9"/>
    <w:rsid w:val="005D51A1"/>
    <w:rsid w:val="005D6453"/>
    <w:rsid w:val="005E0189"/>
    <w:rsid w:val="005E29FB"/>
    <w:rsid w:val="005F0253"/>
    <w:rsid w:val="005F27B9"/>
    <w:rsid w:val="005F3AD5"/>
    <w:rsid w:val="005F4F71"/>
    <w:rsid w:val="005F62D9"/>
    <w:rsid w:val="005F6C53"/>
    <w:rsid w:val="005F7A57"/>
    <w:rsid w:val="00600D85"/>
    <w:rsid w:val="00601DA1"/>
    <w:rsid w:val="00601E16"/>
    <w:rsid w:val="006020EA"/>
    <w:rsid w:val="00602B88"/>
    <w:rsid w:val="006038C3"/>
    <w:rsid w:val="0060438B"/>
    <w:rsid w:val="00604F83"/>
    <w:rsid w:val="0060620F"/>
    <w:rsid w:val="00606E9A"/>
    <w:rsid w:val="006105E9"/>
    <w:rsid w:val="00611CEA"/>
    <w:rsid w:val="006132D5"/>
    <w:rsid w:val="00613D11"/>
    <w:rsid w:val="006140CC"/>
    <w:rsid w:val="0061438B"/>
    <w:rsid w:val="006162F5"/>
    <w:rsid w:val="006207D7"/>
    <w:rsid w:val="00620DB5"/>
    <w:rsid w:val="006212EC"/>
    <w:rsid w:val="006218FD"/>
    <w:rsid w:val="00621934"/>
    <w:rsid w:val="0062238B"/>
    <w:rsid w:val="00622A23"/>
    <w:rsid w:val="00624228"/>
    <w:rsid w:val="006259CB"/>
    <w:rsid w:val="00626C8D"/>
    <w:rsid w:val="00626D65"/>
    <w:rsid w:val="00627DBF"/>
    <w:rsid w:val="00627E38"/>
    <w:rsid w:val="00632249"/>
    <w:rsid w:val="00634B85"/>
    <w:rsid w:val="00634E01"/>
    <w:rsid w:val="00635709"/>
    <w:rsid w:val="006367A1"/>
    <w:rsid w:val="00636857"/>
    <w:rsid w:val="00637A2B"/>
    <w:rsid w:val="006404E1"/>
    <w:rsid w:val="006411B1"/>
    <w:rsid w:val="00641394"/>
    <w:rsid w:val="006424F1"/>
    <w:rsid w:val="0064443C"/>
    <w:rsid w:val="006447F2"/>
    <w:rsid w:val="006448EE"/>
    <w:rsid w:val="0064498B"/>
    <w:rsid w:val="00644FA5"/>
    <w:rsid w:val="006459AC"/>
    <w:rsid w:val="00645FCE"/>
    <w:rsid w:val="0064649E"/>
    <w:rsid w:val="00646DF1"/>
    <w:rsid w:val="00647036"/>
    <w:rsid w:val="00647304"/>
    <w:rsid w:val="00647998"/>
    <w:rsid w:val="00647B84"/>
    <w:rsid w:val="006500C3"/>
    <w:rsid w:val="006504A9"/>
    <w:rsid w:val="00650E90"/>
    <w:rsid w:val="006541D8"/>
    <w:rsid w:val="006544D5"/>
    <w:rsid w:val="00655103"/>
    <w:rsid w:val="00656F9A"/>
    <w:rsid w:val="006610F6"/>
    <w:rsid w:val="006620BA"/>
    <w:rsid w:val="00662717"/>
    <w:rsid w:val="00664560"/>
    <w:rsid w:val="006662A1"/>
    <w:rsid w:val="00666ACE"/>
    <w:rsid w:val="00673746"/>
    <w:rsid w:val="00673BD7"/>
    <w:rsid w:val="006748D6"/>
    <w:rsid w:val="0067571F"/>
    <w:rsid w:val="00675885"/>
    <w:rsid w:val="0068149E"/>
    <w:rsid w:val="0068156F"/>
    <w:rsid w:val="006827D6"/>
    <w:rsid w:val="0068365D"/>
    <w:rsid w:val="006845DD"/>
    <w:rsid w:val="00686670"/>
    <w:rsid w:val="006866D0"/>
    <w:rsid w:val="006869A7"/>
    <w:rsid w:val="00687DC9"/>
    <w:rsid w:val="00692F77"/>
    <w:rsid w:val="0069362E"/>
    <w:rsid w:val="006A1FB2"/>
    <w:rsid w:val="006A2D71"/>
    <w:rsid w:val="006A3AEA"/>
    <w:rsid w:val="006A609D"/>
    <w:rsid w:val="006A62A6"/>
    <w:rsid w:val="006A6921"/>
    <w:rsid w:val="006B08E7"/>
    <w:rsid w:val="006B231F"/>
    <w:rsid w:val="006B2EB8"/>
    <w:rsid w:val="006B324A"/>
    <w:rsid w:val="006B3803"/>
    <w:rsid w:val="006B4675"/>
    <w:rsid w:val="006B5E4E"/>
    <w:rsid w:val="006B6220"/>
    <w:rsid w:val="006B788D"/>
    <w:rsid w:val="006C0E2C"/>
    <w:rsid w:val="006C2816"/>
    <w:rsid w:val="006C365F"/>
    <w:rsid w:val="006C4A63"/>
    <w:rsid w:val="006C62CD"/>
    <w:rsid w:val="006C632A"/>
    <w:rsid w:val="006C688D"/>
    <w:rsid w:val="006C6DCF"/>
    <w:rsid w:val="006C7F36"/>
    <w:rsid w:val="006C7F55"/>
    <w:rsid w:val="006D0194"/>
    <w:rsid w:val="006D11CD"/>
    <w:rsid w:val="006D4512"/>
    <w:rsid w:val="006D6E03"/>
    <w:rsid w:val="006E30D2"/>
    <w:rsid w:val="006E47D9"/>
    <w:rsid w:val="006E4865"/>
    <w:rsid w:val="006E52A2"/>
    <w:rsid w:val="006E55E8"/>
    <w:rsid w:val="006E567D"/>
    <w:rsid w:val="006E6B5E"/>
    <w:rsid w:val="006E7CCA"/>
    <w:rsid w:val="006F0F3C"/>
    <w:rsid w:val="006F0F6A"/>
    <w:rsid w:val="006F36D3"/>
    <w:rsid w:val="006F3870"/>
    <w:rsid w:val="006F4638"/>
    <w:rsid w:val="006F58A0"/>
    <w:rsid w:val="006F5C33"/>
    <w:rsid w:val="006F741E"/>
    <w:rsid w:val="00700A1F"/>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63E0"/>
    <w:rsid w:val="00716B55"/>
    <w:rsid w:val="00716D3B"/>
    <w:rsid w:val="007170B3"/>
    <w:rsid w:val="00717A34"/>
    <w:rsid w:val="00722704"/>
    <w:rsid w:val="00723B1D"/>
    <w:rsid w:val="00723EE3"/>
    <w:rsid w:val="007270B2"/>
    <w:rsid w:val="00732DA2"/>
    <w:rsid w:val="00733A2D"/>
    <w:rsid w:val="00736608"/>
    <w:rsid w:val="00736F54"/>
    <w:rsid w:val="00740060"/>
    <w:rsid w:val="00740281"/>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1CB"/>
    <w:rsid w:val="00760DC1"/>
    <w:rsid w:val="0076181C"/>
    <w:rsid w:val="00762387"/>
    <w:rsid w:val="00766DBF"/>
    <w:rsid w:val="00767E9E"/>
    <w:rsid w:val="00771C0C"/>
    <w:rsid w:val="00771D0E"/>
    <w:rsid w:val="00773E87"/>
    <w:rsid w:val="00774210"/>
    <w:rsid w:val="007743FF"/>
    <w:rsid w:val="00774BE4"/>
    <w:rsid w:val="00775ABC"/>
    <w:rsid w:val="00780A15"/>
    <w:rsid w:val="00780CE8"/>
    <w:rsid w:val="0078316E"/>
    <w:rsid w:val="007834DB"/>
    <w:rsid w:val="00785310"/>
    <w:rsid w:val="00785A76"/>
    <w:rsid w:val="00787C08"/>
    <w:rsid w:val="00787D48"/>
    <w:rsid w:val="007903C5"/>
    <w:rsid w:val="00790FC7"/>
    <w:rsid w:val="007929DD"/>
    <w:rsid w:val="007942D9"/>
    <w:rsid w:val="0079445F"/>
    <w:rsid w:val="00794997"/>
    <w:rsid w:val="00795893"/>
    <w:rsid w:val="00795A6A"/>
    <w:rsid w:val="00796706"/>
    <w:rsid w:val="007967A8"/>
    <w:rsid w:val="007A0133"/>
    <w:rsid w:val="007A266B"/>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30A7"/>
    <w:rsid w:val="007C384C"/>
    <w:rsid w:val="007C51A5"/>
    <w:rsid w:val="007C5BF3"/>
    <w:rsid w:val="007C6BA1"/>
    <w:rsid w:val="007C7B4E"/>
    <w:rsid w:val="007C7D83"/>
    <w:rsid w:val="007D3214"/>
    <w:rsid w:val="007D3B33"/>
    <w:rsid w:val="007D5378"/>
    <w:rsid w:val="007D7248"/>
    <w:rsid w:val="007E0DDF"/>
    <w:rsid w:val="007E174A"/>
    <w:rsid w:val="007E36BF"/>
    <w:rsid w:val="007E6165"/>
    <w:rsid w:val="007E6BA9"/>
    <w:rsid w:val="007E7483"/>
    <w:rsid w:val="007F0C2B"/>
    <w:rsid w:val="007F0F86"/>
    <w:rsid w:val="007F3034"/>
    <w:rsid w:val="007F3452"/>
    <w:rsid w:val="007F4D1F"/>
    <w:rsid w:val="007F5FFE"/>
    <w:rsid w:val="007F610C"/>
    <w:rsid w:val="007F72A0"/>
    <w:rsid w:val="007F7416"/>
    <w:rsid w:val="007F7827"/>
    <w:rsid w:val="00800633"/>
    <w:rsid w:val="0080091B"/>
    <w:rsid w:val="008101DA"/>
    <w:rsid w:val="0081243C"/>
    <w:rsid w:val="00815169"/>
    <w:rsid w:val="008170B0"/>
    <w:rsid w:val="00817FFC"/>
    <w:rsid w:val="0082084A"/>
    <w:rsid w:val="0082089D"/>
    <w:rsid w:val="00821726"/>
    <w:rsid w:val="008246FF"/>
    <w:rsid w:val="00824FDE"/>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003E"/>
    <w:rsid w:val="00853093"/>
    <w:rsid w:val="0085407A"/>
    <w:rsid w:val="00855EC3"/>
    <w:rsid w:val="00861559"/>
    <w:rsid w:val="008641EB"/>
    <w:rsid w:val="00864D27"/>
    <w:rsid w:val="0086578E"/>
    <w:rsid w:val="00865A22"/>
    <w:rsid w:val="008667D3"/>
    <w:rsid w:val="00866878"/>
    <w:rsid w:val="00870D12"/>
    <w:rsid w:val="00871622"/>
    <w:rsid w:val="008733D4"/>
    <w:rsid w:val="00874351"/>
    <w:rsid w:val="008744E1"/>
    <w:rsid w:val="00874CE7"/>
    <w:rsid w:val="00874DD2"/>
    <w:rsid w:val="00884B02"/>
    <w:rsid w:val="0088622D"/>
    <w:rsid w:val="00886530"/>
    <w:rsid w:val="0088667C"/>
    <w:rsid w:val="00886EAA"/>
    <w:rsid w:val="00887898"/>
    <w:rsid w:val="00890371"/>
    <w:rsid w:val="0089172A"/>
    <w:rsid w:val="00891F50"/>
    <w:rsid w:val="00892775"/>
    <w:rsid w:val="008929A7"/>
    <w:rsid w:val="0089384B"/>
    <w:rsid w:val="00895CF9"/>
    <w:rsid w:val="00896041"/>
    <w:rsid w:val="008A0316"/>
    <w:rsid w:val="008A06C3"/>
    <w:rsid w:val="008A0CB5"/>
    <w:rsid w:val="008A2FA6"/>
    <w:rsid w:val="008A35AA"/>
    <w:rsid w:val="008A3BFA"/>
    <w:rsid w:val="008A3D44"/>
    <w:rsid w:val="008A6710"/>
    <w:rsid w:val="008B23EF"/>
    <w:rsid w:val="008B2C70"/>
    <w:rsid w:val="008B2FEF"/>
    <w:rsid w:val="008B3FD5"/>
    <w:rsid w:val="008B4D5A"/>
    <w:rsid w:val="008B4D9A"/>
    <w:rsid w:val="008B657B"/>
    <w:rsid w:val="008B6C7F"/>
    <w:rsid w:val="008B6C99"/>
    <w:rsid w:val="008B7004"/>
    <w:rsid w:val="008B7206"/>
    <w:rsid w:val="008B7336"/>
    <w:rsid w:val="008C3F19"/>
    <w:rsid w:val="008C709A"/>
    <w:rsid w:val="008C72FF"/>
    <w:rsid w:val="008C7978"/>
    <w:rsid w:val="008D25BC"/>
    <w:rsid w:val="008D2EA1"/>
    <w:rsid w:val="008D355E"/>
    <w:rsid w:val="008D3588"/>
    <w:rsid w:val="008D3884"/>
    <w:rsid w:val="008D4285"/>
    <w:rsid w:val="008D4429"/>
    <w:rsid w:val="008D62D7"/>
    <w:rsid w:val="008D682A"/>
    <w:rsid w:val="008D696E"/>
    <w:rsid w:val="008D769B"/>
    <w:rsid w:val="008E103C"/>
    <w:rsid w:val="008E12EB"/>
    <w:rsid w:val="008E18A6"/>
    <w:rsid w:val="008E4607"/>
    <w:rsid w:val="008E59EB"/>
    <w:rsid w:val="008E5FF6"/>
    <w:rsid w:val="008E6D3B"/>
    <w:rsid w:val="008F2FAF"/>
    <w:rsid w:val="008F3918"/>
    <w:rsid w:val="008F412E"/>
    <w:rsid w:val="008F6E8B"/>
    <w:rsid w:val="008F7348"/>
    <w:rsid w:val="008F78A8"/>
    <w:rsid w:val="00900E8E"/>
    <w:rsid w:val="00902224"/>
    <w:rsid w:val="00903CB1"/>
    <w:rsid w:val="00904611"/>
    <w:rsid w:val="009046B4"/>
    <w:rsid w:val="00904B70"/>
    <w:rsid w:val="00904EB3"/>
    <w:rsid w:val="0090511D"/>
    <w:rsid w:val="00905381"/>
    <w:rsid w:val="00906588"/>
    <w:rsid w:val="00907531"/>
    <w:rsid w:val="00911A0B"/>
    <w:rsid w:val="00911C03"/>
    <w:rsid w:val="009127E2"/>
    <w:rsid w:val="009129A5"/>
    <w:rsid w:val="00913D49"/>
    <w:rsid w:val="00916A1B"/>
    <w:rsid w:val="00917135"/>
    <w:rsid w:val="00917A8E"/>
    <w:rsid w:val="009202B7"/>
    <w:rsid w:val="009225A6"/>
    <w:rsid w:val="00922978"/>
    <w:rsid w:val="009229B7"/>
    <w:rsid w:val="00923BA5"/>
    <w:rsid w:val="009249C5"/>
    <w:rsid w:val="00927435"/>
    <w:rsid w:val="00927495"/>
    <w:rsid w:val="009277AE"/>
    <w:rsid w:val="00927EC4"/>
    <w:rsid w:val="00932586"/>
    <w:rsid w:val="00933594"/>
    <w:rsid w:val="00943D86"/>
    <w:rsid w:val="00943DCD"/>
    <w:rsid w:val="00943E94"/>
    <w:rsid w:val="00944DDE"/>
    <w:rsid w:val="009463F2"/>
    <w:rsid w:val="009467B9"/>
    <w:rsid w:val="00947662"/>
    <w:rsid w:val="0095094F"/>
    <w:rsid w:val="00953446"/>
    <w:rsid w:val="00953A8B"/>
    <w:rsid w:val="0095414F"/>
    <w:rsid w:val="00954913"/>
    <w:rsid w:val="00955037"/>
    <w:rsid w:val="00955C3E"/>
    <w:rsid w:val="00956FD1"/>
    <w:rsid w:val="00961263"/>
    <w:rsid w:val="00961907"/>
    <w:rsid w:val="00961F52"/>
    <w:rsid w:val="00962247"/>
    <w:rsid w:val="009639D8"/>
    <w:rsid w:val="00965D95"/>
    <w:rsid w:val="00965E53"/>
    <w:rsid w:val="00970002"/>
    <w:rsid w:val="00970058"/>
    <w:rsid w:val="00971061"/>
    <w:rsid w:val="00971DE0"/>
    <w:rsid w:val="00972CC9"/>
    <w:rsid w:val="00974B2D"/>
    <w:rsid w:val="009768C7"/>
    <w:rsid w:val="009775BB"/>
    <w:rsid w:val="00977E6D"/>
    <w:rsid w:val="00980EE0"/>
    <w:rsid w:val="00981602"/>
    <w:rsid w:val="009816B8"/>
    <w:rsid w:val="00981EA6"/>
    <w:rsid w:val="009824BA"/>
    <w:rsid w:val="0098279D"/>
    <w:rsid w:val="00982B15"/>
    <w:rsid w:val="00982F8A"/>
    <w:rsid w:val="00986F18"/>
    <w:rsid w:val="0098753F"/>
    <w:rsid w:val="00990375"/>
    <w:rsid w:val="00990719"/>
    <w:rsid w:val="009922A6"/>
    <w:rsid w:val="00992BC7"/>
    <w:rsid w:val="00993AC8"/>
    <w:rsid w:val="00994C45"/>
    <w:rsid w:val="009974C2"/>
    <w:rsid w:val="00997664"/>
    <w:rsid w:val="00997906"/>
    <w:rsid w:val="009A1160"/>
    <w:rsid w:val="009A4AE9"/>
    <w:rsid w:val="009A5C6A"/>
    <w:rsid w:val="009B2161"/>
    <w:rsid w:val="009B2AFA"/>
    <w:rsid w:val="009B33F0"/>
    <w:rsid w:val="009B41BB"/>
    <w:rsid w:val="009B5534"/>
    <w:rsid w:val="009C148D"/>
    <w:rsid w:val="009C1ADC"/>
    <w:rsid w:val="009C4CCC"/>
    <w:rsid w:val="009C5CAD"/>
    <w:rsid w:val="009C7EC3"/>
    <w:rsid w:val="009D10D8"/>
    <w:rsid w:val="009D11EF"/>
    <w:rsid w:val="009D2B1D"/>
    <w:rsid w:val="009D39E5"/>
    <w:rsid w:val="009D6C7B"/>
    <w:rsid w:val="009D7B45"/>
    <w:rsid w:val="009E0008"/>
    <w:rsid w:val="009E0EA7"/>
    <w:rsid w:val="009E0EEA"/>
    <w:rsid w:val="009E19E9"/>
    <w:rsid w:val="009E2D8D"/>
    <w:rsid w:val="009E4577"/>
    <w:rsid w:val="009E71B1"/>
    <w:rsid w:val="009F05AC"/>
    <w:rsid w:val="009F2352"/>
    <w:rsid w:val="009F527B"/>
    <w:rsid w:val="00A01319"/>
    <w:rsid w:val="00A0497F"/>
    <w:rsid w:val="00A06F1A"/>
    <w:rsid w:val="00A10026"/>
    <w:rsid w:val="00A105D3"/>
    <w:rsid w:val="00A10B82"/>
    <w:rsid w:val="00A13228"/>
    <w:rsid w:val="00A15FE7"/>
    <w:rsid w:val="00A233EB"/>
    <w:rsid w:val="00A23F1B"/>
    <w:rsid w:val="00A24011"/>
    <w:rsid w:val="00A25BD3"/>
    <w:rsid w:val="00A25F53"/>
    <w:rsid w:val="00A268F2"/>
    <w:rsid w:val="00A27A58"/>
    <w:rsid w:val="00A30939"/>
    <w:rsid w:val="00A317E0"/>
    <w:rsid w:val="00A32B7B"/>
    <w:rsid w:val="00A36D05"/>
    <w:rsid w:val="00A406B6"/>
    <w:rsid w:val="00A40719"/>
    <w:rsid w:val="00A41DC4"/>
    <w:rsid w:val="00A4419B"/>
    <w:rsid w:val="00A441D8"/>
    <w:rsid w:val="00A478C6"/>
    <w:rsid w:val="00A509FC"/>
    <w:rsid w:val="00A515EC"/>
    <w:rsid w:val="00A52083"/>
    <w:rsid w:val="00A54334"/>
    <w:rsid w:val="00A56D34"/>
    <w:rsid w:val="00A617C7"/>
    <w:rsid w:val="00A62D68"/>
    <w:rsid w:val="00A64091"/>
    <w:rsid w:val="00A66633"/>
    <w:rsid w:val="00A70800"/>
    <w:rsid w:val="00A70CD3"/>
    <w:rsid w:val="00A72F96"/>
    <w:rsid w:val="00A737CD"/>
    <w:rsid w:val="00A76477"/>
    <w:rsid w:val="00A80A75"/>
    <w:rsid w:val="00A81E6E"/>
    <w:rsid w:val="00A8232E"/>
    <w:rsid w:val="00A84026"/>
    <w:rsid w:val="00A84DEF"/>
    <w:rsid w:val="00A85BF2"/>
    <w:rsid w:val="00A86555"/>
    <w:rsid w:val="00A870EE"/>
    <w:rsid w:val="00A902FD"/>
    <w:rsid w:val="00A90C15"/>
    <w:rsid w:val="00A90E33"/>
    <w:rsid w:val="00A919E1"/>
    <w:rsid w:val="00A91A75"/>
    <w:rsid w:val="00A94EE3"/>
    <w:rsid w:val="00A9718B"/>
    <w:rsid w:val="00A9733E"/>
    <w:rsid w:val="00AA00C1"/>
    <w:rsid w:val="00AA06B3"/>
    <w:rsid w:val="00AA1B86"/>
    <w:rsid w:val="00AA1D46"/>
    <w:rsid w:val="00AA1DCC"/>
    <w:rsid w:val="00AA23F2"/>
    <w:rsid w:val="00AA5B81"/>
    <w:rsid w:val="00AB0C24"/>
    <w:rsid w:val="00AB178E"/>
    <w:rsid w:val="00AB7834"/>
    <w:rsid w:val="00AB7A62"/>
    <w:rsid w:val="00AC06BC"/>
    <w:rsid w:val="00AC365A"/>
    <w:rsid w:val="00AC3A9B"/>
    <w:rsid w:val="00AC48B9"/>
    <w:rsid w:val="00AC6648"/>
    <w:rsid w:val="00AC683E"/>
    <w:rsid w:val="00AC6ACB"/>
    <w:rsid w:val="00AC76DE"/>
    <w:rsid w:val="00AC7FFA"/>
    <w:rsid w:val="00AD2515"/>
    <w:rsid w:val="00AD352B"/>
    <w:rsid w:val="00AD4A06"/>
    <w:rsid w:val="00AD5119"/>
    <w:rsid w:val="00AD54D7"/>
    <w:rsid w:val="00AD7C5A"/>
    <w:rsid w:val="00AE3BBE"/>
    <w:rsid w:val="00AE58E1"/>
    <w:rsid w:val="00AE760D"/>
    <w:rsid w:val="00AF0459"/>
    <w:rsid w:val="00AF0CC0"/>
    <w:rsid w:val="00AF234D"/>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2EFE"/>
    <w:rsid w:val="00B17162"/>
    <w:rsid w:val="00B208BE"/>
    <w:rsid w:val="00B230AC"/>
    <w:rsid w:val="00B2428E"/>
    <w:rsid w:val="00B257F8"/>
    <w:rsid w:val="00B2607C"/>
    <w:rsid w:val="00B26126"/>
    <w:rsid w:val="00B26AC4"/>
    <w:rsid w:val="00B30835"/>
    <w:rsid w:val="00B31A82"/>
    <w:rsid w:val="00B3218B"/>
    <w:rsid w:val="00B33233"/>
    <w:rsid w:val="00B3614F"/>
    <w:rsid w:val="00B378E1"/>
    <w:rsid w:val="00B4339A"/>
    <w:rsid w:val="00B444DB"/>
    <w:rsid w:val="00B462B0"/>
    <w:rsid w:val="00B507A8"/>
    <w:rsid w:val="00B51CC3"/>
    <w:rsid w:val="00B53466"/>
    <w:rsid w:val="00B54D6B"/>
    <w:rsid w:val="00B550E5"/>
    <w:rsid w:val="00B57A86"/>
    <w:rsid w:val="00B57E1F"/>
    <w:rsid w:val="00B60627"/>
    <w:rsid w:val="00B60CAE"/>
    <w:rsid w:val="00B612FE"/>
    <w:rsid w:val="00B6279C"/>
    <w:rsid w:val="00B6555E"/>
    <w:rsid w:val="00B6572D"/>
    <w:rsid w:val="00B657B2"/>
    <w:rsid w:val="00B65864"/>
    <w:rsid w:val="00B66964"/>
    <w:rsid w:val="00B67F9E"/>
    <w:rsid w:val="00B701CC"/>
    <w:rsid w:val="00B70C00"/>
    <w:rsid w:val="00B713F9"/>
    <w:rsid w:val="00B725B9"/>
    <w:rsid w:val="00B7322D"/>
    <w:rsid w:val="00B7394E"/>
    <w:rsid w:val="00B74125"/>
    <w:rsid w:val="00B74DE5"/>
    <w:rsid w:val="00B75320"/>
    <w:rsid w:val="00B762B2"/>
    <w:rsid w:val="00B76A24"/>
    <w:rsid w:val="00B76C5D"/>
    <w:rsid w:val="00B80137"/>
    <w:rsid w:val="00B807F6"/>
    <w:rsid w:val="00B8145F"/>
    <w:rsid w:val="00B8243F"/>
    <w:rsid w:val="00B841A9"/>
    <w:rsid w:val="00B84727"/>
    <w:rsid w:val="00B874F3"/>
    <w:rsid w:val="00B904EB"/>
    <w:rsid w:val="00B91090"/>
    <w:rsid w:val="00B9156C"/>
    <w:rsid w:val="00B93190"/>
    <w:rsid w:val="00B94070"/>
    <w:rsid w:val="00B9434C"/>
    <w:rsid w:val="00B94D03"/>
    <w:rsid w:val="00B9537A"/>
    <w:rsid w:val="00B96AA3"/>
    <w:rsid w:val="00BA2179"/>
    <w:rsid w:val="00BA2D3A"/>
    <w:rsid w:val="00BA6526"/>
    <w:rsid w:val="00BA6A61"/>
    <w:rsid w:val="00BB0E10"/>
    <w:rsid w:val="00BB3BBE"/>
    <w:rsid w:val="00BB6706"/>
    <w:rsid w:val="00BC0CD9"/>
    <w:rsid w:val="00BC0ECB"/>
    <w:rsid w:val="00BC1664"/>
    <w:rsid w:val="00BC23F7"/>
    <w:rsid w:val="00BD1034"/>
    <w:rsid w:val="00BD3B97"/>
    <w:rsid w:val="00BE059D"/>
    <w:rsid w:val="00BE3049"/>
    <w:rsid w:val="00BE31E8"/>
    <w:rsid w:val="00BE52BC"/>
    <w:rsid w:val="00BE5886"/>
    <w:rsid w:val="00BF1CE5"/>
    <w:rsid w:val="00BF303E"/>
    <w:rsid w:val="00BF5CAD"/>
    <w:rsid w:val="00BF6D52"/>
    <w:rsid w:val="00BF7B8F"/>
    <w:rsid w:val="00C01DB3"/>
    <w:rsid w:val="00C01FDA"/>
    <w:rsid w:val="00C02AAA"/>
    <w:rsid w:val="00C02B65"/>
    <w:rsid w:val="00C03236"/>
    <w:rsid w:val="00C04900"/>
    <w:rsid w:val="00C056B1"/>
    <w:rsid w:val="00C07554"/>
    <w:rsid w:val="00C079CB"/>
    <w:rsid w:val="00C126A1"/>
    <w:rsid w:val="00C13C8B"/>
    <w:rsid w:val="00C14229"/>
    <w:rsid w:val="00C15154"/>
    <w:rsid w:val="00C151E8"/>
    <w:rsid w:val="00C169CD"/>
    <w:rsid w:val="00C2125F"/>
    <w:rsid w:val="00C22EC5"/>
    <w:rsid w:val="00C30FD2"/>
    <w:rsid w:val="00C3180D"/>
    <w:rsid w:val="00C325B9"/>
    <w:rsid w:val="00C32A46"/>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5A70"/>
    <w:rsid w:val="00C5687A"/>
    <w:rsid w:val="00C569CB"/>
    <w:rsid w:val="00C57D04"/>
    <w:rsid w:val="00C61360"/>
    <w:rsid w:val="00C61A87"/>
    <w:rsid w:val="00C62978"/>
    <w:rsid w:val="00C63530"/>
    <w:rsid w:val="00C63584"/>
    <w:rsid w:val="00C70DA5"/>
    <w:rsid w:val="00C71655"/>
    <w:rsid w:val="00C716C4"/>
    <w:rsid w:val="00C71CCE"/>
    <w:rsid w:val="00C72C6C"/>
    <w:rsid w:val="00C735C3"/>
    <w:rsid w:val="00C73B18"/>
    <w:rsid w:val="00C756DC"/>
    <w:rsid w:val="00C76B96"/>
    <w:rsid w:val="00C7780F"/>
    <w:rsid w:val="00C855B0"/>
    <w:rsid w:val="00C855E8"/>
    <w:rsid w:val="00C86460"/>
    <w:rsid w:val="00C873FB"/>
    <w:rsid w:val="00C8745B"/>
    <w:rsid w:val="00C87F34"/>
    <w:rsid w:val="00C9350B"/>
    <w:rsid w:val="00C94615"/>
    <w:rsid w:val="00C959B1"/>
    <w:rsid w:val="00C96251"/>
    <w:rsid w:val="00C96BD8"/>
    <w:rsid w:val="00CA1FB8"/>
    <w:rsid w:val="00CA3D1C"/>
    <w:rsid w:val="00CA503F"/>
    <w:rsid w:val="00CA55C9"/>
    <w:rsid w:val="00CA6AE2"/>
    <w:rsid w:val="00CA7D51"/>
    <w:rsid w:val="00CB3441"/>
    <w:rsid w:val="00CB483E"/>
    <w:rsid w:val="00CB6322"/>
    <w:rsid w:val="00CB6A88"/>
    <w:rsid w:val="00CB7CC8"/>
    <w:rsid w:val="00CB7FDF"/>
    <w:rsid w:val="00CC016C"/>
    <w:rsid w:val="00CC1524"/>
    <w:rsid w:val="00CC38A4"/>
    <w:rsid w:val="00CC38BC"/>
    <w:rsid w:val="00CC3DEA"/>
    <w:rsid w:val="00CC3FD6"/>
    <w:rsid w:val="00CC4646"/>
    <w:rsid w:val="00CC4BBF"/>
    <w:rsid w:val="00CC5211"/>
    <w:rsid w:val="00CC65D6"/>
    <w:rsid w:val="00CC661A"/>
    <w:rsid w:val="00CC6F62"/>
    <w:rsid w:val="00CC7326"/>
    <w:rsid w:val="00CD0E38"/>
    <w:rsid w:val="00CD14EE"/>
    <w:rsid w:val="00CD3951"/>
    <w:rsid w:val="00CD6407"/>
    <w:rsid w:val="00CD7625"/>
    <w:rsid w:val="00CE0741"/>
    <w:rsid w:val="00CE087B"/>
    <w:rsid w:val="00CE33BB"/>
    <w:rsid w:val="00CE433D"/>
    <w:rsid w:val="00CE5C34"/>
    <w:rsid w:val="00CE6B61"/>
    <w:rsid w:val="00CF05B4"/>
    <w:rsid w:val="00CF1BA6"/>
    <w:rsid w:val="00CF1D49"/>
    <w:rsid w:val="00CF2220"/>
    <w:rsid w:val="00CF24F4"/>
    <w:rsid w:val="00CF48EF"/>
    <w:rsid w:val="00CF5831"/>
    <w:rsid w:val="00D00216"/>
    <w:rsid w:val="00D0390E"/>
    <w:rsid w:val="00D03BF9"/>
    <w:rsid w:val="00D040E4"/>
    <w:rsid w:val="00D04116"/>
    <w:rsid w:val="00D052E5"/>
    <w:rsid w:val="00D05AD2"/>
    <w:rsid w:val="00D05E9B"/>
    <w:rsid w:val="00D076A0"/>
    <w:rsid w:val="00D12E4A"/>
    <w:rsid w:val="00D13E48"/>
    <w:rsid w:val="00D153A1"/>
    <w:rsid w:val="00D15D01"/>
    <w:rsid w:val="00D201F4"/>
    <w:rsid w:val="00D20D5E"/>
    <w:rsid w:val="00D21C3E"/>
    <w:rsid w:val="00D220CB"/>
    <w:rsid w:val="00D2224D"/>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5BCE"/>
    <w:rsid w:val="00D466C1"/>
    <w:rsid w:val="00D5008E"/>
    <w:rsid w:val="00D50BF6"/>
    <w:rsid w:val="00D51298"/>
    <w:rsid w:val="00D51F1D"/>
    <w:rsid w:val="00D5367C"/>
    <w:rsid w:val="00D539D0"/>
    <w:rsid w:val="00D54704"/>
    <w:rsid w:val="00D55835"/>
    <w:rsid w:val="00D56867"/>
    <w:rsid w:val="00D579D9"/>
    <w:rsid w:val="00D60C57"/>
    <w:rsid w:val="00D61184"/>
    <w:rsid w:val="00D62D7A"/>
    <w:rsid w:val="00D646EF"/>
    <w:rsid w:val="00D65047"/>
    <w:rsid w:val="00D65943"/>
    <w:rsid w:val="00D678EB"/>
    <w:rsid w:val="00D67A9A"/>
    <w:rsid w:val="00D67B99"/>
    <w:rsid w:val="00D72EC7"/>
    <w:rsid w:val="00D72F9D"/>
    <w:rsid w:val="00D73195"/>
    <w:rsid w:val="00D73D18"/>
    <w:rsid w:val="00D746F0"/>
    <w:rsid w:val="00D74935"/>
    <w:rsid w:val="00D767F4"/>
    <w:rsid w:val="00D80B74"/>
    <w:rsid w:val="00D83FBD"/>
    <w:rsid w:val="00D8716B"/>
    <w:rsid w:val="00D879F9"/>
    <w:rsid w:val="00D87E19"/>
    <w:rsid w:val="00D90250"/>
    <w:rsid w:val="00D9048A"/>
    <w:rsid w:val="00D9445F"/>
    <w:rsid w:val="00D9458E"/>
    <w:rsid w:val="00D94904"/>
    <w:rsid w:val="00D963EA"/>
    <w:rsid w:val="00D97EAA"/>
    <w:rsid w:val="00DA019A"/>
    <w:rsid w:val="00DA1D15"/>
    <w:rsid w:val="00DA314E"/>
    <w:rsid w:val="00DA3702"/>
    <w:rsid w:val="00DA3803"/>
    <w:rsid w:val="00DA3916"/>
    <w:rsid w:val="00DA3E33"/>
    <w:rsid w:val="00DA40AA"/>
    <w:rsid w:val="00DA4881"/>
    <w:rsid w:val="00DA53A0"/>
    <w:rsid w:val="00DA5FBF"/>
    <w:rsid w:val="00DA6765"/>
    <w:rsid w:val="00DA6AD8"/>
    <w:rsid w:val="00DA6EE3"/>
    <w:rsid w:val="00DA79A0"/>
    <w:rsid w:val="00DB36A1"/>
    <w:rsid w:val="00DB6A8E"/>
    <w:rsid w:val="00DC09FD"/>
    <w:rsid w:val="00DC0DB5"/>
    <w:rsid w:val="00DC0E66"/>
    <w:rsid w:val="00DC18B9"/>
    <w:rsid w:val="00DC45FE"/>
    <w:rsid w:val="00DC7717"/>
    <w:rsid w:val="00DC7978"/>
    <w:rsid w:val="00DD0A4B"/>
    <w:rsid w:val="00DD0C64"/>
    <w:rsid w:val="00DD1AFB"/>
    <w:rsid w:val="00DD27F1"/>
    <w:rsid w:val="00DD3BE2"/>
    <w:rsid w:val="00DD4528"/>
    <w:rsid w:val="00DD53A7"/>
    <w:rsid w:val="00DD56A4"/>
    <w:rsid w:val="00DD5DCA"/>
    <w:rsid w:val="00DD6105"/>
    <w:rsid w:val="00DD72CD"/>
    <w:rsid w:val="00DE05E1"/>
    <w:rsid w:val="00DE3476"/>
    <w:rsid w:val="00DE4379"/>
    <w:rsid w:val="00DE50F1"/>
    <w:rsid w:val="00DE633F"/>
    <w:rsid w:val="00DF0229"/>
    <w:rsid w:val="00DF304F"/>
    <w:rsid w:val="00DF38F8"/>
    <w:rsid w:val="00DF45B1"/>
    <w:rsid w:val="00DF6319"/>
    <w:rsid w:val="00DF6BD8"/>
    <w:rsid w:val="00DF783A"/>
    <w:rsid w:val="00E02500"/>
    <w:rsid w:val="00E02857"/>
    <w:rsid w:val="00E03248"/>
    <w:rsid w:val="00E1034C"/>
    <w:rsid w:val="00E106B1"/>
    <w:rsid w:val="00E10CD8"/>
    <w:rsid w:val="00E11B05"/>
    <w:rsid w:val="00E12766"/>
    <w:rsid w:val="00E139AD"/>
    <w:rsid w:val="00E141FF"/>
    <w:rsid w:val="00E14466"/>
    <w:rsid w:val="00E174CD"/>
    <w:rsid w:val="00E176A7"/>
    <w:rsid w:val="00E17756"/>
    <w:rsid w:val="00E2140F"/>
    <w:rsid w:val="00E240DA"/>
    <w:rsid w:val="00E2460D"/>
    <w:rsid w:val="00E24BAE"/>
    <w:rsid w:val="00E26015"/>
    <w:rsid w:val="00E27A70"/>
    <w:rsid w:val="00E30609"/>
    <w:rsid w:val="00E33A83"/>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1132"/>
    <w:rsid w:val="00E5173A"/>
    <w:rsid w:val="00E51C3F"/>
    <w:rsid w:val="00E52137"/>
    <w:rsid w:val="00E52176"/>
    <w:rsid w:val="00E52A7D"/>
    <w:rsid w:val="00E54C08"/>
    <w:rsid w:val="00E54E26"/>
    <w:rsid w:val="00E552BF"/>
    <w:rsid w:val="00E55E4E"/>
    <w:rsid w:val="00E57235"/>
    <w:rsid w:val="00E57A93"/>
    <w:rsid w:val="00E61D84"/>
    <w:rsid w:val="00E62684"/>
    <w:rsid w:val="00E63ED8"/>
    <w:rsid w:val="00E669D9"/>
    <w:rsid w:val="00E674AD"/>
    <w:rsid w:val="00E70940"/>
    <w:rsid w:val="00E7129C"/>
    <w:rsid w:val="00E717B9"/>
    <w:rsid w:val="00E7399B"/>
    <w:rsid w:val="00E748C9"/>
    <w:rsid w:val="00E74B49"/>
    <w:rsid w:val="00E76519"/>
    <w:rsid w:val="00E80778"/>
    <w:rsid w:val="00E80F55"/>
    <w:rsid w:val="00E81500"/>
    <w:rsid w:val="00E82762"/>
    <w:rsid w:val="00E83BA2"/>
    <w:rsid w:val="00E85501"/>
    <w:rsid w:val="00E86E07"/>
    <w:rsid w:val="00E87192"/>
    <w:rsid w:val="00E91FD1"/>
    <w:rsid w:val="00E93FC3"/>
    <w:rsid w:val="00E94FCE"/>
    <w:rsid w:val="00E954C7"/>
    <w:rsid w:val="00E96579"/>
    <w:rsid w:val="00E973A1"/>
    <w:rsid w:val="00EA118C"/>
    <w:rsid w:val="00EA21B1"/>
    <w:rsid w:val="00EA303A"/>
    <w:rsid w:val="00EA440C"/>
    <w:rsid w:val="00EA48DF"/>
    <w:rsid w:val="00EA61A5"/>
    <w:rsid w:val="00EA663F"/>
    <w:rsid w:val="00EB099E"/>
    <w:rsid w:val="00EB3716"/>
    <w:rsid w:val="00EB393D"/>
    <w:rsid w:val="00EB4E35"/>
    <w:rsid w:val="00EB59F8"/>
    <w:rsid w:val="00EB7500"/>
    <w:rsid w:val="00EB7A6E"/>
    <w:rsid w:val="00EC00EA"/>
    <w:rsid w:val="00EC055C"/>
    <w:rsid w:val="00EC1AE2"/>
    <w:rsid w:val="00EC3E1C"/>
    <w:rsid w:val="00EC3E30"/>
    <w:rsid w:val="00EC42CA"/>
    <w:rsid w:val="00EC5578"/>
    <w:rsid w:val="00ED00EB"/>
    <w:rsid w:val="00ED1535"/>
    <w:rsid w:val="00ED161A"/>
    <w:rsid w:val="00ED215A"/>
    <w:rsid w:val="00ED28A0"/>
    <w:rsid w:val="00ED6DD5"/>
    <w:rsid w:val="00ED6E64"/>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6043"/>
    <w:rsid w:val="00F0657B"/>
    <w:rsid w:val="00F07C7F"/>
    <w:rsid w:val="00F1136A"/>
    <w:rsid w:val="00F123C7"/>
    <w:rsid w:val="00F13903"/>
    <w:rsid w:val="00F14E8B"/>
    <w:rsid w:val="00F152EA"/>
    <w:rsid w:val="00F16B98"/>
    <w:rsid w:val="00F170B8"/>
    <w:rsid w:val="00F21671"/>
    <w:rsid w:val="00F225F5"/>
    <w:rsid w:val="00F24306"/>
    <w:rsid w:val="00F27A37"/>
    <w:rsid w:val="00F31116"/>
    <w:rsid w:val="00F32B8F"/>
    <w:rsid w:val="00F36309"/>
    <w:rsid w:val="00F36E5E"/>
    <w:rsid w:val="00F37574"/>
    <w:rsid w:val="00F40855"/>
    <w:rsid w:val="00F40B47"/>
    <w:rsid w:val="00F414AC"/>
    <w:rsid w:val="00F418FA"/>
    <w:rsid w:val="00F4197A"/>
    <w:rsid w:val="00F42888"/>
    <w:rsid w:val="00F46275"/>
    <w:rsid w:val="00F46DF6"/>
    <w:rsid w:val="00F4785D"/>
    <w:rsid w:val="00F47904"/>
    <w:rsid w:val="00F502CB"/>
    <w:rsid w:val="00F52598"/>
    <w:rsid w:val="00F53671"/>
    <w:rsid w:val="00F549C9"/>
    <w:rsid w:val="00F559B1"/>
    <w:rsid w:val="00F562CC"/>
    <w:rsid w:val="00F5696E"/>
    <w:rsid w:val="00F579C1"/>
    <w:rsid w:val="00F57AF4"/>
    <w:rsid w:val="00F57BAE"/>
    <w:rsid w:val="00F61A63"/>
    <w:rsid w:val="00F61F55"/>
    <w:rsid w:val="00F718F5"/>
    <w:rsid w:val="00F72EA2"/>
    <w:rsid w:val="00F802F6"/>
    <w:rsid w:val="00F80437"/>
    <w:rsid w:val="00F8118C"/>
    <w:rsid w:val="00F81A31"/>
    <w:rsid w:val="00F81B60"/>
    <w:rsid w:val="00F82480"/>
    <w:rsid w:val="00F8348C"/>
    <w:rsid w:val="00F8358E"/>
    <w:rsid w:val="00F8366C"/>
    <w:rsid w:val="00F84877"/>
    <w:rsid w:val="00F85F0C"/>
    <w:rsid w:val="00F86EA6"/>
    <w:rsid w:val="00F87422"/>
    <w:rsid w:val="00F919AC"/>
    <w:rsid w:val="00F92CCB"/>
    <w:rsid w:val="00F974D6"/>
    <w:rsid w:val="00F978F4"/>
    <w:rsid w:val="00FA073A"/>
    <w:rsid w:val="00FA1CEB"/>
    <w:rsid w:val="00FA20B1"/>
    <w:rsid w:val="00FA20E0"/>
    <w:rsid w:val="00FA387A"/>
    <w:rsid w:val="00FA44A3"/>
    <w:rsid w:val="00FA4D06"/>
    <w:rsid w:val="00FA4FF0"/>
    <w:rsid w:val="00FA6603"/>
    <w:rsid w:val="00FA6BC6"/>
    <w:rsid w:val="00FB0928"/>
    <w:rsid w:val="00FB0F8C"/>
    <w:rsid w:val="00FB3241"/>
    <w:rsid w:val="00FB360B"/>
    <w:rsid w:val="00FB389B"/>
    <w:rsid w:val="00FB5322"/>
    <w:rsid w:val="00FB53B6"/>
    <w:rsid w:val="00FB5917"/>
    <w:rsid w:val="00FB72D8"/>
    <w:rsid w:val="00FC0EC4"/>
    <w:rsid w:val="00FC0FC7"/>
    <w:rsid w:val="00FC2B2D"/>
    <w:rsid w:val="00FC3827"/>
    <w:rsid w:val="00FC761C"/>
    <w:rsid w:val="00FD02A4"/>
    <w:rsid w:val="00FD0980"/>
    <w:rsid w:val="00FD13AE"/>
    <w:rsid w:val="00FD2447"/>
    <w:rsid w:val="00FD3125"/>
    <w:rsid w:val="00FD3C51"/>
    <w:rsid w:val="00FD3D2B"/>
    <w:rsid w:val="00FD40A6"/>
    <w:rsid w:val="00FD7D3B"/>
    <w:rsid w:val="00FE09BA"/>
    <w:rsid w:val="00FE0A3A"/>
    <w:rsid w:val="00FE351A"/>
    <w:rsid w:val="00FE6303"/>
    <w:rsid w:val="00FE71D4"/>
    <w:rsid w:val="00FE7430"/>
    <w:rsid w:val="00FF171F"/>
    <w:rsid w:val="00FF180E"/>
    <w:rsid w:val="00FF1AC9"/>
    <w:rsid w:val="00FF252B"/>
    <w:rsid w:val="00FF284A"/>
    <w:rsid w:val="00FF3DF2"/>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24C4EC43"/>
  <w15:docId w15:val="{359B2487-8980-C041-AA67-502FD337F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rPr>
  </w:style>
  <w:style w:type="paragraph" w:styleId="a4">
    <w:name w:val="annotation text"/>
    <w:basedOn w:val="a"/>
    <w:link w:val="a6"/>
    <w:unhideWhenUsed/>
    <w:qFormat/>
    <w:pPr>
      <w:jc w:val="left"/>
    </w:pPr>
    <w:rPr>
      <w:rFonts w:ascii="Times New Roman" w:eastAsia="宋体" w:hAnsi="Times New Roman" w:cs="Times New Roman"/>
      <w:szCs w:val="20"/>
    </w:rPr>
  </w:style>
  <w:style w:type="paragraph" w:styleId="a7">
    <w:name w:val="Normal Indent"/>
    <w:basedOn w:val="a"/>
    <w:unhideWhenUsed/>
    <w:qFormat/>
    <w:pPr>
      <w:ind w:firstLineChars="200" w:firstLine="420"/>
    </w:pPr>
    <w:rPr>
      <w:rFonts w:ascii="Times New Roman" w:eastAsia="宋体" w:hAnsi="Times New Roman" w:cs="Times New Roman"/>
      <w:szCs w:val="20"/>
    </w:rPr>
  </w:style>
  <w:style w:type="paragraph" w:styleId="a8">
    <w:name w:val="Document Map"/>
    <w:basedOn w:val="a"/>
    <w:link w:val="a9"/>
    <w:unhideWhenUsed/>
    <w:qFormat/>
    <w:pPr>
      <w:shd w:val="clear" w:color="auto" w:fill="000080"/>
    </w:pPr>
    <w:rPr>
      <w:rFonts w:ascii="Times New Roman" w:eastAsia="宋体" w:hAnsi="Times New Roman" w:cs="Times New Roman"/>
      <w:szCs w:val="20"/>
    </w:rPr>
  </w:style>
  <w:style w:type="paragraph" w:styleId="aa">
    <w:name w:val="Body Text"/>
    <w:basedOn w:val="a"/>
    <w:link w:val="ab"/>
    <w:unhideWhenUsed/>
    <w:qFormat/>
    <w:pPr>
      <w:autoSpaceDE w:val="0"/>
      <w:autoSpaceDN w:val="0"/>
      <w:adjustRightInd w:val="0"/>
      <w:spacing w:line="360" w:lineRule="auto"/>
      <w:jc w:val="left"/>
    </w:pPr>
    <w:rPr>
      <w:rFonts w:ascii="宋体" w:eastAsia="宋体" w:hAnsi="Calibri" w:cs="Times New Roman"/>
      <w:kern w:val="0"/>
    </w:rPr>
  </w:style>
  <w:style w:type="paragraph" w:styleId="ac">
    <w:name w:val="Body Text Indent"/>
    <w:basedOn w:val="a"/>
    <w:link w:val="ad"/>
    <w:uiPriority w:val="99"/>
    <w:unhideWhenUsed/>
    <w:qFormat/>
    <w:pPr>
      <w:spacing w:after="120"/>
      <w:ind w:leftChars="200" w:left="420"/>
    </w:pPr>
  </w:style>
  <w:style w:type="paragraph" w:styleId="TOC3">
    <w:name w:val="toc 3"/>
    <w:basedOn w:val="a"/>
    <w:next w:val="a"/>
    <w:unhideWhenUsed/>
    <w:qFormat/>
    <w:pPr>
      <w:ind w:leftChars="400" w:left="840"/>
    </w:pPr>
    <w:rPr>
      <w:rFonts w:ascii="Times New Roman" w:eastAsia="宋体" w:hAnsi="Times New Roman" w:cs="Times New Roman"/>
      <w:szCs w:val="20"/>
    </w:rPr>
  </w:style>
  <w:style w:type="paragraph" w:styleId="ae">
    <w:name w:val="Plain Text"/>
    <w:basedOn w:val="a"/>
    <w:link w:val="af"/>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unhideWhenUsed/>
    <w:qFormat/>
    <w:pPr>
      <w:spacing w:line="360" w:lineRule="auto"/>
      <w:ind w:firstLine="425"/>
    </w:pPr>
    <w:rPr>
      <w:rFonts w:ascii="仿宋_GB2312" w:eastAsia="仿宋_GB2312" w:hAnsi="Times New Roman" w:cs="Times New Roman"/>
      <w:sz w:val="28"/>
      <w:szCs w:val="20"/>
    </w:rPr>
  </w:style>
  <w:style w:type="paragraph" w:styleId="af0">
    <w:name w:val="Balloon Text"/>
    <w:basedOn w:val="a"/>
    <w:link w:val="af1"/>
    <w:unhideWhenUsed/>
    <w:qFormat/>
    <w:rPr>
      <w:rFonts w:ascii="Times New Roman" w:eastAsia="宋体" w:hAnsi="Times New Roman" w:cs="Times New Roman"/>
      <w:sz w:val="18"/>
      <w:szCs w:val="20"/>
    </w:rPr>
  </w:style>
  <w:style w:type="paragraph" w:styleId="af2">
    <w:name w:val="footer"/>
    <w:basedOn w:val="a"/>
    <w:link w:val="af3"/>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4">
    <w:name w:val="header"/>
    <w:basedOn w:val="a"/>
    <w:link w:val="af5"/>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6">
    <w:name w:val="footnote text"/>
    <w:basedOn w:val="a"/>
    <w:link w:val="af7"/>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8">
    <w:name w:val="Title"/>
    <w:basedOn w:val="a"/>
    <w:next w:val="a"/>
    <w:link w:val="af9"/>
    <w:qFormat/>
    <w:pPr>
      <w:spacing w:before="240" w:after="60"/>
      <w:jc w:val="center"/>
      <w:outlineLvl w:val="0"/>
    </w:pPr>
    <w:rPr>
      <w:rFonts w:ascii="Cambria" w:eastAsia="宋体" w:hAnsi="Cambria" w:cs="Times New Roman"/>
      <w:b/>
      <w:sz w:val="32"/>
    </w:rPr>
  </w:style>
  <w:style w:type="character" w:styleId="afa">
    <w:name w:val="FollowedHyperlink"/>
    <w:basedOn w:val="a0"/>
    <w:uiPriority w:val="99"/>
    <w:unhideWhenUsed/>
    <w:qFormat/>
    <w:rPr>
      <w:color w:val="800080" w:themeColor="followedHyperlink"/>
      <w:u w:val="single"/>
    </w:rPr>
  </w:style>
  <w:style w:type="character" w:styleId="afb">
    <w:name w:val="Hyperlink"/>
    <w:uiPriority w:val="99"/>
    <w:unhideWhenUsed/>
    <w:qFormat/>
    <w:rPr>
      <w:color w:val="0000FF"/>
      <w:u w:val="single"/>
    </w:rPr>
  </w:style>
  <w:style w:type="character" w:styleId="afc">
    <w:name w:val="annotation reference"/>
    <w:unhideWhenUsed/>
    <w:qFormat/>
    <w:rPr>
      <w:sz w:val="21"/>
    </w:rPr>
  </w:style>
  <w:style w:type="character" w:styleId="afd">
    <w:name w:val="footnote reference"/>
    <w:unhideWhenUsed/>
    <w:qFormat/>
    <w:rPr>
      <w:vertAlign w:val="superscript"/>
    </w:rPr>
  </w:style>
  <w:style w:type="table" w:styleId="afe">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7">
    <w:name w:val="脚注文本 字符"/>
    <w:basedOn w:val="a0"/>
    <w:link w:val="af6"/>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5">
    <w:name w:val="页眉 字符"/>
    <w:basedOn w:val="a0"/>
    <w:link w:val="af4"/>
    <w:uiPriority w:val="99"/>
    <w:qFormat/>
    <w:rPr>
      <w:rFonts w:ascii="Times New Roman" w:eastAsia="宋体" w:hAnsi="Times New Roman" w:cs="Times New Roman"/>
      <w:sz w:val="18"/>
      <w:szCs w:val="18"/>
    </w:rPr>
  </w:style>
  <w:style w:type="character" w:customStyle="1" w:styleId="af3">
    <w:name w:val="页脚 字符"/>
    <w:basedOn w:val="a0"/>
    <w:link w:val="af2"/>
    <w:uiPriority w:val="99"/>
    <w:qFormat/>
    <w:rPr>
      <w:rFonts w:ascii="Times New Roman" w:eastAsia="宋体" w:hAnsi="Times New Roman" w:cs="Times New Roman"/>
      <w:sz w:val="18"/>
      <w:szCs w:val="18"/>
    </w:rPr>
  </w:style>
  <w:style w:type="character" w:customStyle="1" w:styleId="af9">
    <w:name w:val="标题 字符"/>
    <w:basedOn w:val="a0"/>
    <w:link w:val="af8"/>
    <w:qFormat/>
    <w:rPr>
      <w:rFonts w:ascii="Cambria" w:eastAsia="宋体" w:hAnsi="Cambria" w:cs="Times New Roman"/>
      <w:b/>
      <w:sz w:val="32"/>
    </w:rPr>
  </w:style>
  <w:style w:type="character" w:customStyle="1" w:styleId="ab">
    <w:name w:val="正文文本 字符"/>
    <w:basedOn w:val="a0"/>
    <w:link w:val="aa"/>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9">
    <w:name w:val="文档结构图 字符"/>
    <w:basedOn w:val="a0"/>
    <w:link w:val="a8"/>
    <w:semiHidden/>
    <w:qFormat/>
    <w:rPr>
      <w:rFonts w:ascii="Times New Roman" w:eastAsia="宋体" w:hAnsi="Times New Roman" w:cs="Times New Roman"/>
      <w:szCs w:val="20"/>
      <w:shd w:val="clear" w:color="auto" w:fill="000080"/>
    </w:rPr>
  </w:style>
  <w:style w:type="character" w:customStyle="1" w:styleId="af">
    <w:name w:val="纯文本 字符"/>
    <w:basedOn w:val="a0"/>
    <w:link w:val="ae"/>
    <w:semiHidden/>
    <w:qFormat/>
    <w:rPr>
      <w:rFonts w:ascii="宋体" w:eastAsia="宋体" w:hAnsi="Courier New" w:cs="Times New Roman"/>
      <w:kern w:val="0"/>
      <w:szCs w:val="20"/>
    </w:rPr>
  </w:style>
  <w:style w:type="character" w:customStyle="1" w:styleId="a5">
    <w:name w:val="批注主题 字符"/>
    <w:basedOn w:val="Char"/>
    <w:link w:val="a3"/>
    <w:semiHidden/>
    <w:qFormat/>
    <w:rPr>
      <w:rFonts w:ascii="Times New Roman" w:eastAsia="宋体" w:hAnsi="Times New Roman" w:cs="Times New Roman"/>
      <w:b/>
      <w:szCs w:val="20"/>
    </w:rPr>
  </w:style>
  <w:style w:type="character" w:customStyle="1" w:styleId="af1">
    <w:name w:val="批注框文本 字符"/>
    <w:basedOn w:val="a0"/>
    <w:link w:val="af0"/>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a"/>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6">
    <w:name w:val="批注文字 字符"/>
    <w:basedOn w:val="a0"/>
    <w:link w:val="a4"/>
    <w:qFormat/>
    <w:locked/>
    <w:rPr>
      <w:rFonts w:ascii="Times New Roman" w:eastAsia="宋体" w:hAnsi="Times New Roman" w:cs="Times New Roman"/>
      <w:szCs w:val="20"/>
    </w:rPr>
  </w:style>
  <w:style w:type="character" w:customStyle="1" w:styleId="Char12">
    <w:name w:val="批注主题 Char1"/>
    <w:basedOn w:val="a6"/>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customStyle="1" w:styleId="12">
    <w:name w:val="列表段落1"/>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d">
    <w:name w:val="正文文本缩进 字符"/>
    <w:basedOn w:val="a0"/>
    <w:link w:val="ac"/>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styleId="aff1">
    <w:name w:val="Revision"/>
    <w:hidden/>
    <w:uiPriority w:val="99"/>
    <w:semiHidden/>
    <w:rsid w:val="007903C5"/>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styles" Target="styles.xml"/><Relationship Id="rId21" Type="http://schemas.openxmlformats.org/officeDocument/2006/relationships/footer" Target="footer13.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9.xml"/><Relationship Id="rId2" Type="http://schemas.openxmlformats.org/officeDocument/2006/relationships/numbering" Target="numbering.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130</Pages>
  <Words>13861</Words>
  <Characters>79008</Characters>
  <Application>Microsoft Office Word</Application>
  <DocSecurity>0</DocSecurity>
  <Lines>658</Lines>
  <Paragraphs>185</Paragraphs>
  <ScaleCrop>false</ScaleCrop>
  <Company>Microsoft</Company>
  <LinksUpToDate>false</LinksUpToDate>
  <CharactersWithSpaces>92684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刘祖帆</cp:lastModifiedBy>
  <cp:revision>18</cp:revision>
  <cp:lastPrinted>2022-04-14T05:05:00Z</cp:lastPrinted>
  <dcterms:created xsi:type="dcterms:W3CDTF">2023-07-21T11:23:00Z</dcterms:created>
  <dcterms:modified xsi:type="dcterms:W3CDTF">2023-08-07T07:35:00Z</dcterms:modified>
  <cp:contentStatus>浙商银行*回复: 3-公告-富荣研究优选混合型证券投资基金招募说明书*linbin@czbank.com*liuzf@furamc.com.cn * * *2023-07-21 19:24:34;</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