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before="345" w:after="100" w:afterAutospacing="1"/>
        <w:jc w:val="center"/>
        <w:outlineLvl w:val="1"/>
        <w:rPr>
          <w:rFonts w:ascii="Verdana" w:hAnsi="Verdana"/>
          <w:b/>
          <w:bCs/>
          <w:kern w:val="36"/>
          <w:sz w:val="39"/>
          <w:szCs w:val="39"/>
        </w:rPr>
      </w:pPr>
      <w:r>
        <w:rPr>
          <w:rFonts w:hint="eastAsia" w:ascii="Verdana" w:hAnsi="Verdana"/>
          <w:b/>
          <w:bCs/>
          <w:kern w:val="36"/>
          <w:sz w:val="39"/>
          <w:szCs w:val="39"/>
        </w:rPr>
        <w:t>富荣</w:t>
      </w:r>
      <w:r>
        <w:rPr>
          <w:rFonts w:ascii="Verdana" w:hAnsi="Verdana"/>
          <w:b/>
          <w:bCs/>
          <w:kern w:val="36"/>
          <w:sz w:val="39"/>
          <w:szCs w:val="39"/>
        </w:rPr>
        <w:t>基金管理有限公司关于旗下部分基金新增</w:t>
      </w:r>
      <w:r>
        <w:rPr>
          <w:rFonts w:hint="eastAsia" w:ascii="Verdana" w:hAnsi="Verdana"/>
          <w:b/>
          <w:bCs/>
          <w:kern w:val="36"/>
          <w:sz w:val="39"/>
          <w:szCs w:val="39"/>
        </w:rPr>
        <w:t>万联证券</w:t>
      </w:r>
      <w:r>
        <w:rPr>
          <w:rFonts w:ascii="Verdana" w:hAnsi="Verdana"/>
          <w:b/>
          <w:bCs/>
          <w:kern w:val="36"/>
          <w:sz w:val="39"/>
          <w:szCs w:val="39"/>
        </w:rPr>
        <w:t>股份有限公司为销售机构并开通基金定期 定额投资业务和基金转换业务的公告</w:t>
      </w:r>
    </w:p>
    <w:p>
      <w:pPr>
        <w:widowControl/>
        <w:shd w:val="clear" w:color="auto" w:fill="FFFFFF"/>
        <w:spacing w:line="360" w:lineRule="auto"/>
        <w:ind w:firstLine="420"/>
        <w:jc w:val="left"/>
        <w:rPr>
          <w:rFonts w:ascii="宋体" w:hAnsi="宋体" w:cs="Calibri"/>
          <w:color w:val="000000"/>
          <w:kern w:val="0"/>
          <w:sz w:val="24"/>
          <w:szCs w:val="24"/>
        </w:rPr>
      </w:pPr>
      <w:r>
        <w:rPr>
          <w:rFonts w:hint="eastAsia" w:ascii="宋体" w:hAnsi="宋体" w:cs="Calibri"/>
          <w:color w:val="000000"/>
          <w:kern w:val="0"/>
          <w:sz w:val="24"/>
          <w:szCs w:val="24"/>
        </w:rPr>
        <w:t>为更好地满足广大投资者的理财需求，根据富荣基金管理有限公司（以下简称“本公司”）与万联证券股份有限公司（以下简称“万联证券”）签署的委托销售协议，自</w:t>
      </w:r>
      <w:r>
        <w:rPr>
          <w:rFonts w:ascii="宋体" w:hAnsi="宋体" w:cs="Calibri"/>
          <w:color w:val="000000"/>
          <w:kern w:val="0"/>
          <w:sz w:val="24"/>
          <w:szCs w:val="24"/>
        </w:rPr>
        <w:t>20</w:t>
      </w:r>
      <w:r>
        <w:rPr>
          <w:rFonts w:hint="eastAsia" w:ascii="宋体" w:hAnsi="宋体" w:cs="Calibri"/>
          <w:color w:val="000000"/>
          <w:kern w:val="0"/>
          <w:sz w:val="24"/>
          <w:szCs w:val="24"/>
        </w:rPr>
        <w:t>22年4月29日起本公司旗下部分基金新增委托万联证券为销售机构</w:t>
      </w:r>
      <w:r>
        <w:rPr>
          <w:rFonts w:ascii="宋体" w:hAnsi="宋体"/>
          <w:sz w:val="24"/>
          <w:szCs w:val="24"/>
        </w:rPr>
        <w:t>并开通基金</w:t>
      </w:r>
      <w:r>
        <w:rPr>
          <w:rFonts w:hint="eastAsia" w:ascii="宋体" w:hAnsi="宋体"/>
          <w:sz w:val="24"/>
          <w:szCs w:val="24"/>
        </w:rPr>
        <w:t>“</w:t>
      </w:r>
      <w:r>
        <w:rPr>
          <w:rFonts w:ascii="宋体" w:hAnsi="宋体"/>
          <w:sz w:val="24"/>
          <w:szCs w:val="24"/>
        </w:rPr>
        <w:t>定期定额投资业务</w:t>
      </w:r>
      <w:r>
        <w:rPr>
          <w:rFonts w:hint="eastAsia" w:ascii="宋体" w:hAnsi="宋体"/>
          <w:sz w:val="24"/>
          <w:szCs w:val="24"/>
        </w:rPr>
        <w:t>”</w:t>
      </w:r>
      <w:r>
        <w:rPr>
          <w:rFonts w:ascii="宋体" w:hAnsi="宋体"/>
          <w:sz w:val="24"/>
          <w:szCs w:val="24"/>
        </w:rPr>
        <w:t>和基金转换业务</w:t>
      </w:r>
      <w:r>
        <w:rPr>
          <w:rFonts w:hint="eastAsia" w:ascii="宋体" w:hAnsi="宋体" w:cs="Calibri"/>
          <w:color w:val="000000"/>
          <w:kern w:val="0"/>
          <w:sz w:val="24"/>
          <w:szCs w:val="24"/>
        </w:rPr>
        <w:t>，具体的业务流程、办理时间和办理方式以万联证券的规定为准。现将相关事项公告如</w:t>
      </w:r>
      <w:bookmarkStart w:id="0" w:name="_GoBack"/>
      <w:bookmarkEnd w:id="0"/>
      <w:r>
        <w:rPr>
          <w:rFonts w:hint="eastAsia" w:ascii="宋体" w:hAnsi="宋体" w:cs="Calibri"/>
          <w:color w:val="000000"/>
          <w:kern w:val="0"/>
          <w:sz w:val="24"/>
          <w:szCs w:val="24"/>
        </w:rPr>
        <w:t>下：</w:t>
      </w:r>
    </w:p>
    <w:p>
      <w:pPr>
        <w:widowControl/>
        <w:shd w:val="clear" w:color="auto" w:fill="FFFFFF"/>
        <w:spacing w:line="360" w:lineRule="auto"/>
        <w:ind w:firstLine="420"/>
        <w:jc w:val="left"/>
        <w:rPr>
          <w:rFonts w:ascii="宋体" w:hAnsi="宋体" w:cs="Calibri"/>
          <w:color w:val="000000"/>
          <w:kern w:val="0"/>
          <w:sz w:val="24"/>
          <w:szCs w:val="24"/>
        </w:rPr>
      </w:pPr>
      <w:r>
        <w:rPr>
          <w:rFonts w:ascii="宋体" w:hAnsi="宋体" w:cs="Calibri"/>
          <w:color w:val="000000"/>
          <w:kern w:val="0"/>
          <w:sz w:val="24"/>
          <w:szCs w:val="24"/>
        </w:rPr>
        <w:t> </w:t>
      </w:r>
    </w:p>
    <w:p>
      <w:pPr>
        <w:widowControl/>
        <w:numPr>
          <w:ilvl w:val="0"/>
          <w:numId w:val="1"/>
        </w:numPr>
        <w:shd w:val="clear" w:color="auto" w:fill="FFFFFF"/>
        <w:spacing w:line="360" w:lineRule="auto"/>
        <w:ind w:firstLine="420"/>
        <w:jc w:val="left"/>
        <w:rPr>
          <w:rFonts w:ascii="宋体" w:hAnsi="宋体" w:cs="Calibri"/>
          <w:color w:val="000000"/>
          <w:kern w:val="0"/>
          <w:sz w:val="24"/>
          <w:szCs w:val="24"/>
        </w:rPr>
      </w:pPr>
      <w:r>
        <w:rPr>
          <w:rFonts w:hint="eastAsia" w:ascii="宋体" w:hAnsi="宋体" w:cs="Calibri"/>
          <w:color w:val="000000"/>
          <w:kern w:val="0"/>
          <w:sz w:val="24"/>
          <w:szCs w:val="24"/>
        </w:rPr>
        <w:t>适用基金</w:t>
      </w:r>
    </w:p>
    <w:p>
      <w:pPr>
        <w:widowControl/>
        <w:shd w:val="clear" w:color="auto" w:fill="FFFFFF"/>
        <w:spacing w:line="360" w:lineRule="auto"/>
        <w:ind w:firstLine="480" w:firstLineChars="200"/>
        <w:jc w:val="left"/>
        <w:rPr>
          <w:rFonts w:ascii="宋体" w:hAnsi="宋体" w:cs="Calibri"/>
          <w:color w:val="000000"/>
          <w:kern w:val="0"/>
          <w:sz w:val="24"/>
          <w:szCs w:val="24"/>
        </w:rPr>
      </w:pPr>
      <w:r>
        <w:rPr>
          <w:rFonts w:hint="eastAsia" w:ascii="宋体" w:hAnsi="宋体" w:cs="Calibri"/>
          <w:color w:val="000000"/>
          <w:kern w:val="0"/>
          <w:sz w:val="24"/>
          <w:szCs w:val="24"/>
        </w:rPr>
        <w:t>（1）富荣信息技术混合型证券投资基金（基金代码：A类013345、C类013346）；</w:t>
      </w:r>
    </w:p>
    <w:p>
      <w:pPr>
        <w:widowControl/>
        <w:shd w:val="clear" w:color="auto" w:fill="FFFFFF"/>
        <w:spacing w:line="360" w:lineRule="auto"/>
        <w:ind w:firstLine="480" w:firstLineChars="200"/>
        <w:jc w:val="left"/>
        <w:rPr>
          <w:rFonts w:ascii="宋体" w:hAnsi="宋体" w:cs="Calibri"/>
          <w:color w:val="000000"/>
          <w:kern w:val="0"/>
          <w:sz w:val="24"/>
          <w:szCs w:val="24"/>
        </w:rPr>
      </w:pPr>
      <w:r>
        <w:rPr>
          <w:rFonts w:hint="eastAsia" w:ascii="宋体" w:hAnsi="宋体" w:cs="Calibri"/>
          <w:color w:val="000000"/>
          <w:kern w:val="0"/>
          <w:sz w:val="24"/>
          <w:szCs w:val="24"/>
        </w:rPr>
        <w:t>（2）富荣富乾债券型证券投资基金（基金代码：A类004792、C类004793）；</w:t>
      </w:r>
    </w:p>
    <w:p>
      <w:pPr>
        <w:widowControl/>
        <w:shd w:val="clear" w:color="auto" w:fill="FFFFFF"/>
        <w:spacing w:line="360" w:lineRule="auto"/>
        <w:ind w:firstLine="480" w:firstLineChars="200"/>
        <w:jc w:val="left"/>
        <w:rPr>
          <w:rFonts w:ascii="宋体" w:hAnsi="宋体" w:cs="Calibri"/>
          <w:color w:val="000000"/>
          <w:kern w:val="0"/>
          <w:sz w:val="24"/>
          <w:szCs w:val="24"/>
        </w:rPr>
      </w:pPr>
      <w:r>
        <w:rPr>
          <w:rFonts w:hint="eastAsia" w:ascii="宋体" w:hAnsi="宋体" w:cs="Calibri"/>
          <w:color w:val="000000"/>
          <w:kern w:val="0"/>
          <w:sz w:val="24"/>
          <w:szCs w:val="24"/>
        </w:rPr>
        <w:t>（3）富荣福锦混合型证券投资基金（基金代码：A类005164、C类005165）；</w:t>
      </w:r>
    </w:p>
    <w:p>
      <w:pPr>
        <w:widowControl/>
        <w:shd w:val="clear" w:color="auto" w:fill="FFFFFF"/>
        <w:spacing w:line="360" w:lineRule="auto"/>
        <w:ind w:firstLine="480" w:firstLineChars="200"/>
        <w:jc w:val="left"/>
        <w:rPr>
          <w:rFonts w:ascii="宋体" w:hAnsi="宋体" w:cs="Calibri"/>
          <w:color w:val="000000"/>
          <w:kern w:val="0"/>
          <w:sz w:val="24"/>
          <w:szCs w:val="24"/>
        </w:rPr>
      </w:pPr>
      <w:r>
        <w:rPr>
          <w:rFonts w:hint="eastAsia" w:ascii="宋体" w:hAnsi="宋体" w:cs="Calibri"/>
          <w:color w:val="000000"/>
          <w:kern w:val="0"/>
          <w:sz w:val="24"/>
          <w:szCs w:val="24"/>
        </w:rPr>
        <w:t>（4）富荣福耀混合型证券投资基金（基金代码：A类012876、C类012877）；</w:t>
      </w:r>
    </w:p>
    <w:p>
      <w:pPr>
        <w:widowControl/>
        <w:shd w:val="clear" w:color="auto" w:fill="FFFFFF"/>
        <w:spacing w:line="360" w:lineRule="auto"/>
        <w:ind w:firstLine="480" w:firstLineChars="200"/>
        <w:jc w:val="left"/>
        <w:rPr>
          <w:rFonts w:ascii="宋体" w:hAnsi="宋体" w:cs="Calibri"/>
          <w:color w:val="000000"/>
          <w:kern w:val="0"/>
          <w:sz w:val="24"/>
          <w:szCs w:val="24"/>
        </w:rPr>
      </w:pPr>
      <w:r>
        <w:rPr>
          <w:rFonts w:hint="eastAsia" w:ascii="宋体" w:hAnsi="宋体" w:cs="Calibri"/>
          <w:color w:val="000000"/>
          <w:kern w:val="0"/>
          <w:sz w:val="24"/>
          <w:szCs w:val="24"/>
        </w:rPr>
        <w:t>（5）富荣沪深300指数增强型证券投资基金（基金代码：A类004788、C类004789）；</w:t>
      </w:r>
    </w:p>
    <w:p>
      <w:pPr>
        <w:widowControl/>
        <w:shd w:val="clear" w:color="auto" w:fill="FFFFFF"/>
        <w:spacing w:line="360" w:lineRule="auto"/>
        <w:ind w:firstLine="480" w:firstLineChars="200"/>
        <w:jc w:val="left"/>
        <w:rPr>
          <w:rFonts w:ascii="宋体" w:hAnsi="宋体" w:cs="Calibri"/>
          <w:color w:val="000000"/>
          <w:kern w:val="0"/>
          <w:sz w:val="24"/>
          <w:szCs w:val="24"/>
        </w:rPr>
      </w:pPr>
      <w:r>
        <w:rPr>
          <w:rFonts w:hint="eastAsia" w:ascii="宋体" w:hAnsi="宋体" w:cs="Calibri"/>
          <w:color w:val="000000"/>
          <w:kern w:val="0"/>
          <w:sz w:val="24"/>
          <w:szCs w:val="24"/>
        </w:rPr>
        <w:t>（6）富荣福鑫灵活配置混合型证券投资基金（基金代码：A类004794、C类004795）；</w:t>
      </w:r>
    </w:p>
    <w:p>
      <w:pPr>
        <w:widowControl/>
        <w:shd w:val="clear" w:color="auto" w:fill="FFFFFF"/>
        <w:spacing w:line="360" w:lineRule="auto"/>
        <w:ind w:firstLine="480" w:firstLineChars="200"/>
        <w:jc w:val="left"/>
        <w:rPr>
          <w:rFonts w:ascii="宋体" w:hAnsi="宋体" w:cs="Calibri"/>
          <w:color w:val="000000"/>
          <w:kern w:val="0"/>
          <w:sz w:val="24"/>
          <w:szCs w:val="24"/>
        </w:rPr>
      </w:pPr>
      <w:r>
        <w:rPr>
          <w:rFonts w:hint="eastAsia" w:ascii="宋体" w:hAnsi="宋体" w:cs="Calibri"/>
          <w:color w:val="000000"/>
          <w:kern w:val="0"/>
          <w:sz w:val="24"/>
          <w:szCs w:val="24"/>
        </w:rPr>
        <w:t>（7）富荣富兴纯债债券型证券投资基金（基金代码：004441）；</w:t>
      </w:r>
    </w:p>
    <w:p>
      <w:pPr>
        <w:widowControl/>
        <w:shd w:val="clear" w:color="auto" w:fill="FFFFFF"/>
        <w:spacing w:line="360" w:lineRule="auto"/>
        <w:ind w:firstLine="480" w:firstLineChars="200"/>
        <w:jc w:val="left"/>
        <w:rPr>
          <w:rFonts w:ascii="宋体" w:hAnsi="宋体" w:cs="Calibri"/>
          <w:color w:val="000000"/>
          <w:kern w:val="0"/>
          <w:sz w:val="24"/>
          <w:szCs w:val="24"/>
        </w:rPr>
      </w:pPr>
      <w:r>
        <w:rPr>
          <w:rFonts w:hint="eastAsia" w:ascii="宋体" w:hAnsi="宋体" w:cs="Calibri"/>
          <w:color w:val="000000"/>
          <w:kern w:val="0"/>
          <w:sz w:val="24"/>
          <w:szCs w:val="24"/>
        </w:rPr>
        <w:t>（8）富荣富祥纯债债券型证券投资基金（基金代码：003999）；</w:t>
      </w:r>
    </w:p>
    <w:p>
      <w:pPr>
        <w:widowControl/>
        <w:shd w:val="clear" w:color="auto" w:fill="FFFFFF"/>
        <w:spacing w:line="360" w:lineRule="auto"/>
        <w:ind w:firstLine="480" w:firstLineChars="200"/>
        <w:jc w:val="left"/>
        <w:rPr>
          <w:rFonts w:ascii="宋体" w:hAnsi="宋体" w:cs="Calibri"/>
          <w:color w:val="000000"/>
          <w:kern w:val="0"/>
          <w:sz w:val="24"/>
          <w:szCs w:val="24"/>
        </w:rPr>
      </w:pPr>
      <w:r>
        <w:rPr>
          <w:rFonts w:hint="eastAsia" w:ascii="宋体" w:hAnsi="宋体" w:cs="Calibri"/>
          <w:color w:val="000000"/>
          <w:kern w:val="0"/>
          <w:sz w:val="24"/>
          <w:szCs w:val="24"/>
        </w:rPr>
        <w:t>（9）富荣货币市场基金（基金代码：A类003467、B类003468）；</w:t>
      </w:r>
    </w:p>
    <w:p>
      <w:pPr>
        <w:widowControl/>
        <w:shd w:val="clear" w:color="auto" w:fill="FFFFFF"/>
        <w:spacing w:line="360" w:lineRule="auto"/>
        <w:ind w:firstLine="480" w:firstLineChars="200"/>
        <w:jc w:val="left"/>
        <w:rPr>
          <w:rFonts w:ascii="宋体" w:hAnsi="宋体" w:cs="Calibri"/>
          <w:color w:val="000000"/>
          <w:kern w:val="0"/>
          <w:sz w:val="24"/>
          <w:szCs w:val="24"/>
        </w:rPr>
      </w:pPr>
      <w:r>
        <w:rPr>
          <w:rFonts w:hint="eastAsia" w:ascii="宋体" w:hAnsi="宋体" w:cs="Calibri"/>
          <w:color w:val="000000"/>
          <w:kern w:val="0"/>
          <w:sz w:val="24"/>
          <w:szCs w:val="24"/>
        </w:rPr>
        <w:t>（10）富荣福康混合型证券投资基金（基金代码：A类005104、C类005105）；</w:t>
      </w:r>
    </w:p>
    <w:p>
      <w:pPr>
        <w:widowControl/>
        <w:shd w:val="clear" w:color="auto" w:fill="FFFFFF"/>
        <w:spacing w:line="360" w:lineRule="auto"/>
        <w:ind w:firstLine="480" w:firstLineChars="200"/>
        <w:jc w:val="left"/>
        <w:rPr>
          <w:rFonts w:ascii="宋体" w:hAnsi="宋体" w:cs="Calibri"/>
          <w:color w:val="000000"/>
          <w:kern w:val="0"/>
          <w:sz w:val="24"/>
          <w:szCs w:val="24"/>
        </w:rPr>
      </w:pPr>
      <w:r>
        <w:rPr>
          <w:rFonts w:hint="eastAsia" w:ascii="宋体" w:hAnsi="宋体" w:cs="Calibri"/>
          <w:color w:val="000000"/>
          <w:kern w:val="0"/>
          <w:sz w:val="24"/>
          <w:szCs w:val="24"/>
        </w:rPr>
        <w:t>（11）富荣价值精选灵活配置混合型发起式证券投资基金（基金代码：A类006109、C类006110）；</w:t>
      </w:r>
    </w:p>
    <w:p>
      <w:pPr>
        <w:widowControl/>
        <w:shd w:val="clear" w:color="auto" w:fill="FFFFFF"/>
        <w:spacing w:line="360" w:lineRule="auto"/>
        <w:ind w:firstLine="480" w:firstLineChars="200"/>
        <w:jc w:val="left"/>
        <w:rPr>
          <w:rFonts w:ascii="宋体" w:hAnsi="宋体" w:cs="Calibri"/>
          <w:color w:val="000000"/>
          <w:kern w:val="0"/>
          <w:sz w:val="24"/>
          <w:szCs w:val="24"/>
        </w:rPr>
      </w:pPr>
      <w:r>
        <w:rPr>
          <w:rFonts w:hint="eastAsia" w:ascii="宋体" w:hAnsi="宋体" w:cs="Calibri"/>
          <w:color w:val="000000"/>
          <w:kern w:val="0"/>
          <w:sz w:val="24"/>
          <w:szCs w:val="24"/>
        </w:rPr>
        <w:t>（12）富荣富开1-3年国开债纯债债券型证券投资基金（基金代码：A类006488，C类007907）；</w:t>
      </w:r>
    </w:p>
    <w:p>
      <w:pPr>
        <w:widowControl/>
        <w:shd w:val="clear" w:color="auto" w:fill="FFFFFF"/>
        <w:spacing w:line="360" w:lineRule="auto"/>
        <w:ind w:firstLine="480" w:firstLineChars="200"/>
        <w:jc w:val="left"/>
        <w:rPr>
          <w:rFonts w:ascii="宋体" w:hAnsi="宋体" w:cs="Calibri"/>
          <w:color w:val="000000"/>
          <w:kern w:val="0"/>
          <w:sz w:val="24"/>
          <w:szCs w:val="24"/>
        </w:rPr>
      </w:pPr>
      <w:r>
        <w:rPr>
          <w:rFonts w:hint="eastAsia" w:ascii="宋体" w:hAnsi="宋体" w:cs="Calibri"/>
          <w:color w:val="000000"/>
          <w:kern w:val="0"/>
          <w:sz w:val="24"/>
          <w:szCs w:val="24"/>
        </w:rPr>
        <w:t>（13）富荣福银混合型证券投资基金（基金代码：A类012545、C类012546）；</w:t>
      </w:r>
    </w:p>
    <w:p>
      <w:pPr>
        <w:widowControl/>
        <w:shd w:val="clear" w:color="auto" w:fill="FFFFFF"/>
        <w:spacing w:line="360" w:lineRule="auto"/>
        <w:ind w:firstLine="480" w:firstLineChars="200"/>
        <w:jc w:val="left"/>
        <w:rPr>
          <w:rFonts w:ascii="宋体" w:hAnsi="宋体" w:cs="Calibri"/>
          <w:color w:val="000000"/>
          <w:kern w:val="0"/>
          <w:sz w:val="24"/>
          <w:szCs w:val="24"/>
        </w:rPr>
      </w:pPr>
      <w:r>
        <w:rPr>
          <w:rFonts w:hint="eastAsia" w:ascii="宋体" w:hAnsi="宋体" w:cs="Calibri"/>
          <w:color w:val="000000"/>
          <w:kern w:val="0"/>
          <w:sz w:val="24"/>
          <w:szCs w:val="24"/>
        </w:rPr>
        <w:t>（14）富荣量化精选混合型发起式证券投资基金（基金代码：A类014556、C类014557）；</w:t>
      </w:r>
    </w:p>
    <w:p>
      <w:pPr>
        <w:widowControl/>
        <w:shd w:val="clear" w:color="auto" w:fill="FFFFFF"/>
        <w:spacing w:line="360" w:lineRule="auto"/>
        <w:ind w:firstLine="480" w:firstLineChars="200"/>
        <w:jc w:val="left"/>
        <w:rPr>
          <w:rFonts w:ascii="宋体" w:hAnsi="宋体" w:cs="Calibri"/>
          <w:color w:val="000000"/>
          <w:kern w:val="0"/>
          <w:sz w:val="24"/>
          <w:szCs w:val="24"/>
        </w:rPr>
      </w:pPr>
      <w:r>
        <w:rPr>
          <w:rFonts w:hint="eastAsia" w:ascii="宋体" w:hAnsi="宋体" w:cs="Calibri"/>
          <w:color w:val="000000"/>
          <w:kern w:val="0"/>
          <w:sz w:val="24"/>
          <w:szCs w:val="24"/>
        </w:rPr>
        <w:t>（15）富荣富恒两年定期开放债券型证券投资基金（基金代码：009506）；</w:t>
      </w:r>
    </w:p>
    <w:p>
      <w:pPr>
        <w:widowControl/>
        <w:shd w:val="clear" w:color="auto" w:fill="FFFFFF"/>
        <w:spacing w:line="360" w:lineRule="auto"/>
        <w:ind w:firstLine="480" w:firstLineChars="200"/>
        <w:jc w:val="left"/>
        <w:rPr>
          <w:rFonts w:ascii="宋体" w:hAnsi="宋体" w:cs="Calibri"/>
          <w:color w:val="000000"/>
          <w:kern w:val="0"/>
          <w:sz w:val="24"/>
          <w:szCs w:val="24"/>
        </w:rPr>
      </w:pPr>
      <w:r>
        <w:rPr>
          <w:rFonts w:hint="eastAsia" w:ascii="宋体" w:hAnsi="宋体" w:cs="Calibri"/>
          <w:color w:val="000000"/>
          <w:kern w:val="0"/>
          <w:sz w:val="24"/>
          <w:szCs w:val="24"/>
        </w:rPr>
        <w:t>（16）富荣中短债债券型证券投资基金（基金代码：A类013520、C类013521）。</w:t>
      </w:r>
    </w:p>
    <w:p>
      <w:pPr>
        <w:widowControl/>
        <w:shd w:val="clear" w:color="auto" w:fill="FFFFFF"/>
        <w:spacing w:line="360" w:lineRule="auto"/>
        <w:ind w:firstLine="420"/>
        <w:jc w:val="left"/>
        <w:rPr>
          <w:rFonts w:ascii="宋体" w:hAnsi="宋体" w:cs="Calibri"/>
          <w:color w:val="000000"/>
          <w:kern w:val="0"/>
          <w:sz w:val="24"/>
          <w:szCs w:val="24"/>
        </w:rPr>
      </w:pPr>
      <w:r>
        <w:rPr>
          <w:rFonts w:hint="eastAsia" w:ascii="宋体" w:hAnsi="宋体" w:cs="Calibri"/>
          <w:color w:val="000000"/>
          <w:kern w:val="0"/>
          <w:sz w:val="24"/>
          <w:szCs w:val="24"/>
        </w:rPr>
        <w:t>二、业务咨询</w:t>
      </w:r>
    </w:p>
    <w:p>
      <w:pPr>
        <w:widowControl/>
        <w:shd w:val="clear" w:color="auto" w:fill="FFFFFF"/>
        <w:spacing w:line="360" w:lineRule="auto"/>
        <w:ind w:firstLine="420"/>
        <w:jc w:val="left"/>
        <w:rPr>
          <w:rFonts w:ascii="宋体" w:hAnsi="宋体" w:cs="Calibri"/>
          <w:color w:val="000000"/>
          <w:kern w:val="0"/>
          <w:sz w:val="24"/>
          <w:szCs w:val="24"/>
        </w:rPr>
      </w:pPr>
      <w:r>
        <w:rPr>
          <w:rFonts w:ascii="宋体" w:hAnsi="宋体" w:cs="Calibri"/>
          <w:color w:val="000000"/>
          <w:kern w:val="0"/>
          <w:sz w:val="24"/>
          <w:szCs w:val="24"/>
        </w:rPr>
        <w:t>1</w:t>
      </w:r>
      <w:r>
        <w:rPr>
          <w:rFonts w:hint="eastAsia" w:ascii="宋体" w:hAnsi="宋体" w:cs="Calibri"/>
          <w:color w:val="000000"/>
          <w:kern w:val="0"/>
          <w:sz w:val="24"/>
          <w:szCs w:val="24"/>
        </w:rPr>
        <w:t>、富荣基金管理有限公司</w:t>
      </w:r>
    </w:p>
    <w:p>
      <w:pPr>
        <w:widowControl/>
        <w:shd w:val="clear" w:color="auto" w:fill="FFFFFF"/>
        <w:spacing w:line="360" w:lineRule="auto"/>
        <w:ind w:firstLine="420"/>
        <w:jc w:val="left"/>
        <w:rPr>
          <w:rFonts w:ascii="宋体" w:hAnsi="宋体" w:cs="Calibri"/>
          <w:color w:val="000000"/>
          <w:kern w:val="0"/>
          <w:sz w:val="24"/>
          <w:szCs w:val="24"/>
        </w:rPr>
      </w:pPr>
      <w:r>
        <w:rPr>
          <w:rFonts w:hint="eastAsia" w:ascii="宋体" w:hAnsi="宋体" w:cs="Calibri"/>
          <w:color w:val="000000"/>
          <w:kern w:val="0"/>
          <w:sz w:val="24"/>
          <w:szCs w:val="24"/>
        </w:rPr>
        <w:t>客户服务电话：</w:t>
      </w:r>
      <w:r>
        <w:rPr>
          <w:rFonts w:ascii="宋体" w:hAnsi="宋体" w:cs="Calibri"/>
          <w:color w:val="000000"/>
          <w:kern w:val="0"/>
          <w:sz w:val="24"/>
          <w:szCs w:val="24"/>
        </w:rPr>
        <w:t>400</w:t>
      </w:r>
      <w:r>
        <w:rPr>
          <w:rFonts w:hint="eastAsia" w:ascii="宋体" w:hAnsi="宋体" w:cs="Calibri"/>
          <w:color w:val="000000"/>
          <w:kern w:val="0"/>
          <w:sz w:val="24"/>
          <w:szCs w:val="24"/>
        </w:rPr>
        <w:t>-685-5</w:t>
      </w:r>
      <w:r>
        <w:rPr>
          <w:rFonts w:ascii="宋体" w:hAnsi="宋体" w:cs="Calibri"/>
          <w:color w:val="000000"/>
          <w:kern w:val="0"/>
          <w:sz w:val="24"/>
          <w:szCs w:val="24"/>
        </w:rPr>
        <w:t>60</w:t>
      </w:r>
      <w:r>
        <w:rPr>
          <w:rFonts w:hint="eastAsia" w:ascii="宋体" w:hAnsi="宋体" w:cs="Calibri"/>
          <w:color w:val="000000"/>
          <w:kern w:val="0"/>
          <w:sz w:val="24"/>
          <w:szCs w:val="24"/>
        </w:rPr>
        <w:t>0</w:t>
      </w:r>
    </w:p>
    <w:p>
      <w:pPr>
        <w:widowControl/>
        <w:shd w:val="clear" w:color="auto" w:fill="FFFFFF"/>
        <w:spacing w:line="360" w:lineRule="auto"/>
        <w:ind w:firstLine="420"/>
        <w:jc w:val="left"/>
        <w:rPr>
          <w:rFonts w:ascii="宋体" w:hAnsi="宋体" w:cs="Calibri"/>
          <w:color w:val="000000"/>
          <w:kern w:val="0"/>
          <w:sz w:val="24"/>
          <w:szCs w:val="24"/>
        </w:rPr>
      </w:pPr>
      <w:r>
        <w:rPr>
          <w:rFonts w:hint="eastAsia" w:ascii="宋体" w:hAnsi="宋体" w:cs="Calibri"/>
          <w:color w:val="000000"/>
          <w:kern w:val="0"/>
          <w:sz w:val="24"/>
          <w:szCs w:val="24"/>
        </w:rPr>
        <w:t>网址：</w:t>
      </w:r>
      <w:r>
        <w:rPr>
          <w:rFonts w:ascii="宋体" w:hAnsi="宋体" w:cs="Calibri"/>
          <w:color w:val="000000"/>
          <w:kern w:val="0"/>
          <w:sz w:val="24"/>
          <w:szCs w:val="24"/>
        </w:rPr>
        <w:t>www.</w:t>
      </w:r>
      <w:r>
        <w:rPr>
          <w:rFonts w:hint="eastAsia" w:ascii="宋体" w:hAnsi="宋体" w:cs="Calibri"/>
          <w:color w:val="000000"/>
          <w:kern w:val="0"/>
          <w:sz w:val="24"/>
          <w:szCs w:val="24"/>
        </w:rPr>
        <w:t>furamc</w:t>
      </w:r>
      <w:r>
        <w:rPr>
          <w:rFonts w:ascii="宋体" w:hAnsi="宋体" w:cs="Calibri"/>
          <w:color w:val="000000"/>
          <w:kern w:val="0"/>
          <w:sz w:val="24"/>
          <w:szCs w:val="24"/>
        </w:rPr>
        <w:t>.com</w:t>
      </w:r>
      <w:r>
        <w:rPr>
          <w:rFonts w:hint="eastAsia" w:ascii="宋体" w:hAnsi="宋体" w:cs="Calibri"/>
          <w:color w:val="000000"/>
          <w:kern w:val="0"/>
          <w:sz w:val="24"/>
          <w:szCs w:val="24"/>
        </w:rPr>
        <w:t>.cn</w:t>
      </w:r>
    </w:p>
    <w:p>
      <w:pPr>
        <w:widowControl/>
        <w:numPr>
          <w:ilvl w:val="0"/>
          <w:numId w:val="2"/>
        </w:numPr>
        <w:spacing w:line="360" w:lineRule="auto"/>
        <w:ind w:left="420" w:leftChars="200"/>
        <w:jc w:val="left"/>
        <w:rPr>
          <w:rFonts w:ascii="宋体" w:hAnsi="宋体" w:cs="Calibri"/>
          <w:color w:val="000000"/>
          <w:kern w:val="0"/>
          <w:sz w:val="24"/>
          <w:szCs w:val="24"/>
        </w:rPr>
      </w:pPr>
      <w:r>
        <w:rPr>
          <w:rFonts w:hint="eastAsia" w:ascii="宋体" w:hAnsi="宋体" w:cs="Calibri"/>
          <w:color w:val="000000"/>
          <w:kern w:val="0"/>
          <w:sz w:val="24"/>
          <w:szCs w:val="24"/>
        </w:rPr>
        <w:t>万联证券股份有限公司</w:t>
      </w:r>
    </w:p>
    <w:p>
      <w:pPr>
        <w:widowControl/>
        <w:spacing w:line="360" w:lineRule="auto"/>
        <w:ind w:firstLine="480" w:firstLineChars="200"/>
        <w:jc w:val="left"/>
        <w:rPr>
          <w:rFonts w:ascii="宋体" w:hAnsi="宋体" w:cs="Calibri"/>
          <w:color w:val="000000"/>
          <w:kern w:val="0"/>
          <w:sz w:val="24"/>
          <w:szCs w:val="24"/>
        </w:rPr>
      </w:pPr>
      <w:r>
        <w:rPr>
          <w:rFonts w:hint="eastAsia" w:ascii="宋体" w:hAnsi="宋体" w:cs="Calibri"/>
          <w:color w:val="000000"/>
          <w:kern w:val="0"/>
          <w:sz w:val="24"/>
          <w:szCs w:val="24"/>
        </w:rPr>
        <w:t>客服服务电话：95322</w:t>
      </w:r>
    </w:p>
    <w:p>
      <w:pPr>
        <w:widowControl/>
        <w:spacing w:line="360" w:lineRule="auto"/>
        <w:ind w:left="420" w:leftChars="200"/>
        <w:jc w:val="left"/>
        <w:rPr>
          <w:rFonts w:ascii="宋体" w:hAnsi="宋体" w:cs="Calibri"/>
          <w:color w:val="000000"/>
          <w:kern w:val="0"/>
          <w:sz w:val="24"/>
          <w:szCs w:val="24"/>
        </w:rPr>
      </w:pPr>
      <w:r>
        <w:rPr>
          <w:rFonts w:hint="eastAsia" w:ascii="宋体" w:hAnsi="宋体" w:cs="Calibri"/>
          <w:color w:val="000000"/>
          <w:kern w:val="0"/>
          <w:sz w:val="24"/>
          <w:szCs w:val="24"/>
        </w:rPr>
        <w:t>公司网站：www.wlzq.cn</w:t>
      </w:r>
    </w:p>
    <w:p>
      <w:pPr>
        <w:widowControl/>
        <w:shd w:val="clear" w:color="auto" w:fill="FFFFFF"/>
        <w:spacing w:line="360" w:lineRule="auto"/>
        <w:jc w:val="left"/>
        <w:rPr>
          <w:rFonts w:ascii="宋体" w:hAnsi="宋体" w:cs="Calibri"/>
          <w:color w:val="000000"/>
          <w:kern w:val="0"/>
          <w:sz w:val="24"/>
          <w:szCs w:val="24"/>
        </w:rPr>
      </w:pPr>
    </w:p>
    <w:p>
      <w:pPr>
        <w:widowControl/>
        <w:shd w:val="clear" w:color="auto" w:fill="FFFFFF"/>
        <w:spacing w:line="360" w:lineRule="auto"/>
        <w:ind w:firstLine="420"/>
        <w:jc w:val="left"/>
        <w:rPr>
          <w:rFonts w:ascii="宋体" w:hAnsi="宋体" w:cs="Calibri"/>
          <w:color w:val="000000"/>
          <w:kern w:val="0"/>
          <w:sz w:val="24"/>
          <w:szCs w:val="24"/>
        </w:rPr>
      </w:pPr>
      <w:r>
        <w:rPr>
          <w:rFonts w:hint="eastAsia" w:ascii="宋体" w:hAnsi="宋体" w:cs="Calibri"/>
          <w:color w:val="000000"/>
          <w:kern w:val="0"/>
          <w:sz w:val="24"/>
          <w:szCs w:val="24"/>
        </w:rPr>
        <w:t>风险提示：</w:t>
      </w:r>
    </w:p>
    <w:p>
      <w:pPr>
        <w:widowControl/>
        <w:shd w:val="clear" w:color="auto" w:fill="FFFFFF"/>
        <w:spacing w:line="360" w:lineRule="auto"/>
        <w:ind w:firstLine="420"/>
        <w:jc w:val="left"/>
        <w:rPr>
          <w:rFonts w:ascii="宋体" w:hAnsi="宋体" w:cs="Calibri"/>
          <w:color w:val="000000"/>
          <w:kern w:val="0"/>
          <w:sz w:val="24"/>
          <w:szCs w:val="24"/>
        </w:rPr>
      </w:pPr>
      <w:r>
        <w:rPr>
          <w:rFonts w:hint="eastAsia" w:ascii="宋体" w:hAnsi="宋体" w:cs="Calibri"/>
          <w:color w:val="000000"/>
          <w:kern w:val="0"/>
          <w:sz w:val="24"/>
          <w:szCs w:val="24"/>
        </w:rPr>
        <w:t>基金管理人承诺以诚实信用、勤勉尽责的原则管理和运用基金资产，但不保证基金一定盈利，也不保证最低收益。销售机构根据法规要求对投资者类别、风险承受能力和基金的风险等级进行划分，并提出适当性匹配意见。投资者在投资基金前应认真阅读《基金合同》、《招募说明书》、《基金产品资料概要》等基金法律文件，全面认识基金产品的风险收益特征，在了解产品情况及听取销售机构适当性意见的基础上，根据自身的风险承受能力、投资期限和投资目标，对基金投资作出独立决策，选择合适的基金产品。敬请投资者留意投资风险。</w:t>
      </w:r>
    </w:p>
    <w:p>
      <w:pPr>
        <w:widowControl/>
        <w:shd w:val="clear" w:color="auto" w:fill="FFFFFF"/>
        <w:spacing w:line="360" w:lineRule="auto"/>
        <w:ind w:firstLine="420"/>
        <w:jc w:val="left"/>
        <w:rPr>
          <w:rFonts w:ascii="宋体" w:hAnsi="宋体" w:cs="Calibri"/>
          <w:color w:val="000000"/>
          <w:kern w:val="0"/>
          <w:sz w:val="24"/>
          <w:szCs w:val="24"/>
        </w:rPr>
      </w:pPr>
      <w:r>
        <w:rPr>
          <w:rFonts w:hint="eastAsia" w:ascii="宋体" w:hAnsi="宋体" w:cs="Calibri"/>
          <w:color w:val="000000"/>
          <w:kern w:val="0"/>
          <w:sz w:val="24"/>
          <w:szCs w:val="24"/>
        </w:rPr>
        <w:t>特此公告。</w:t>
      </w:r>
    </w:p>
    <w:p>
      <w:pPr>
        <w:widowControl/>
        <w:shd w:val="clear" w:color="auto" w:fill="FFFFFF"/>
        <w:spacing w:line="360" w:lineRule="auto"/>
        <w:jc w:val="left"/>
        <w:rPr>
          <w:rFonts w:ascii="宋体" w:hAnsi="宋体" w:cs="Calibri"/>
          <w:color w:val="000000"/>
          <w:kern w:val="0"/>
          <w:sz w:val="24"/>
          <w:szCs w:val="24"/>
        </w:rPr>
      </w:pPr>
      <w:r>
        <w:rPr>
          <w:rFonts w:ascii="宋体" w:hAnsi="宋体" w:cs="Calibri"/>
          <w:color w:val="000000"/>
          <w:kern w:val="0"/>
          <w:sz w:val="24"/>
          <w:szCs w:val="24"/>
        </w:rPr>
        <w:t> </w:t>
      </w:r>
    </w:p>
    <w:p>
      <w:pPr>
        <w:widowControl/>
        <w:shd w:val="clear" w:color="auto" w:fill="FFFFFF"/>
        <w:spacing w:line="360" w:lineRule="auto"/>
        <w:jc w:val="left"/>
        <w:rPr>
          <w:rFonts w:ascii="宋体" w:hAnsi="宋体" w:cs="Calibri"/>
          <w:color w:val="000000"/>
          <w:kern w:val="0"/>
          <w:sz w:val="24"/>
          <w:szCs w:val="24"/>
        </w:rPr>
      </w:pPr>
      <w:r>
        <w:rPr>
          <w:rFonts w:ascii="宋体" w:hAnsi="宋体" w:cs="Calibri"/>
          <w:color w:val="000000"/>
          <w:kern w:val="0"/>
          <w:sz w:val="24"/>
          <w:szCs w:val="24"/>
        </w:rPr>
        <w:t> </w:t>
      </w:r>
    </w:p>
    <w:p>
      <w:pPr>
        <w:widowControl/>
        <w:shd w:val="clear" w:color="auto" w:fill="FFFFFF"/>
        <w:spacing w:line="360" w:lineRule="auto"/>
        <w:ind w:firstLine="420"/>
        <w:jc w:val="right"/>
        <w:rPr>
          <w:rFonts w:ascii="宋体" w:hAnsi="宋体" w:cs="Calibri"/>
          <w:color w:val="000000"/>
          <w:kern w:val="0"/>
          <w:sz w:val="24"/>
          <w:szCs w:val="24"/>
        </w:rPr>
      </w:pPr>
      <w:r>
        <w:rPr>
          <w:rFonts w:hint="eastAsia" w:ascii="宋体" w:hAnsi="宋体" w:cs="Calibri"/>
          <w:color w:val="000000"/>
          <w:kern w:val="0"/>
          <w:sz w:val="24"/>
          <w:szCs w:val="24"/>
        </w:rPr>
        <w:t>富荣基金管理有限公司</w:t>
      </w:r>
    </w:p>
    <w:p>
      <w:pPr>
        <w:widowControl/>
        <w:shd w:val="clear" w:color="auto" w:fill="FFFFFF"/>
        <w:wordWrap w:val="0"/>
        <w:spacing w:line="360" w:lineRule="auto"/>
        <w:jc w:val="right"/>
        <w:rPr>
          <w:rFonts w:ascii="宋体" w:hAnsi="宋体" w:cs="Calibri"/>
          <w:color w:val="000000"/>
          <w:kern w:val="0"/>
          <w:sz w:val="24"/>
          <w:szCs w:val="24"/>
        </w:rPr>
      </w:pPr>
      <w:r>
        <w:rPr>
          <w:rFonts w:hint="eastAsia" w:ascii="宋体" w:hAnsi="宋体" w:cs="Calibri"/>
          <w:color w:val="000000"/>
          <w:kern w:val="0"/>
          <w:sz w:val="24"/>
          <w:szCs w:val="24"/>
        </w:rPr>
        <w:t>二○二二年四月二十九日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B922D86"/>
    <w:multiLevelType w:val="singleLevel"/>
    <w:tmpl w:val="8B922D8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FC0A0C45"/>
    <w:multiLevelType w:val="singleLevel"/>
    <w:tmpl w:val="FC0A0C45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trackRevisions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k1ZDdmZTkxYTc4Njg1OTczNGFlZDIwMDVlZGYwMjEifQ=="/>
  </w:docVars>
  <w:rsids>
    <w:rsidRoot w:val="00B31AC9"/>
    <w:rsid w:val="00325A91"/>
    <w:rsid w:val="00B31AC9"/>
    <w:rsid w:val="00CE1DB2"/>
    <w:rsid w:val="080F035F"/>
    <w:rsid w:val="11802258"/>
    <w:rsid w:val="13004966"/>
    <w:rsid w:val="24A65CC9"/>
    <w:rsid w:val="2A873728"/>
    <w:rsid w:val="2AF34377"/>
    <w:rsid w:val="30485074"/>
    <w:rsid w:val="318523E3"/>
    <w:rsid w:val="344D7F0F"/>
    <w:rsid w:val="35FC3E58"/>
    <w:rsid w:val="428739A5"/>
    <w:rsid w:val="59D31933"/>
    <w:rsid w:val="5EF80375"/>
    <w:rsid w:val="60585DF4"/>
    <w:rsid w:val="6911519A"/>
    <w:rsid w:val="768861C2"/>
    <w:rsid w:val="77475C0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99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99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qFormat="1" w:unhideWhenUsed="0" w:uiPriority="99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99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link w:val="20"/>
    <w:qFormat/>
    <w:uiPriority w:val="99"/>
    <w:rPr>
      <w:rFonts w:ascii="宋体"/>
      <w:sz w:val="18"/>
      <w:szCs w:val="18"/>
    </w:rPr>
  </w:style>
  <w:style w:type="paragraph" w:styleId="3">
    <w:name w:val="annotation text"/>
    <w:basedOn w:val="1"/>
    <w:link w:val="15"/>
    <w:qFormat/>
    <w:uiPriority w:val="99"/>
    <w:pPr>
      <w:jc w:val="left"/>
    </w:pPr>
  </w:style>
  <w:style w:type="paragraph" w:styleId="4">
    <w:name w:val="Balloon Text"/>
    <w:basedOn w:val="1"/>
    <w:link w:val="17"/>
    <w:qFormat/>
    <w:uiPriority w:val="99"/>
    <w:rPr>
      <w:sz w:val="18"/>
      <w:szCs w:val="18"/>
    </w:rPr>
  </w:style>
  <w:style w:type="paragraph" w:styleId="5">
    <w:name w:val="footer"/>
    <w:basedOn w:val="1"/>
    <w:link w:val="1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styleId="8">
    <w:name w:val="annotation subject"/>
    <w:basedOn w:val="3"/>
    <w:next w:val="3"/>
    <w:link w:val="16"/>
    <w:qFormat/>
    <w:uiPriority w:val="99"/>
    <w:rPr>
      <w:b/>
      <w:bCs/>
    </w:rPr>
  </w:style>
  <w:style w:type="character" w:styleId="11">
    <w:name w:val="FollowedHyperlink"/>
    <w:basedOn w:val="10"/>
    <w:qFormat/>
    <w:uiPriority w:val="0"/>
    <w:rPr>
      <w:color w:val="555555"/>
      <w:u w:val="none"/>
    </w:rPr>
  </w:style>
  <w:style w:type="character" w:styleId="12">
    <w:name w:val="Hyperlink"/>
    <w:qFormat/>
    <w:uiPriority w:val="99"/>
    <w:rPr>
      <w:color w:val="0000FF"/>
      <w:u w:val="single"/>
    </w:rPr>
  </w:style>
  <w:style w:type="character" w:styleId="13">
    <w:name w:val="annotation reference"/>
    <w:basedOn w:val="10"/>
    <w:qFormat/>
    <w:uiPriority w:val="99"/>
    <w:rPr>
      <w:sz w:val="21"/>
      <w:szCs w:val="21"/>
    </w:rPr>
  </w:style>
  <w:style w:type="paragraph" w:customStyle="1" w:styleId="14">
    <w:name w:val="source-date1"/>
    <w:basedOn w:val="1"/>
    <w:qFormat/>
    <w:uiPriority w:val="0"/>
    <w:pPr>
      <w:widowControl/>
      <w:pBdr>
        <w:bottom w:val="single" w:color="002080" w:sz="12" w:space="15"/>
      </w:pBdr>
      <w:spacing w:before="100" w:beforeAutospacing="1" w:after="100" w:afterAutospacing="1"/>
      <w:jc w:val="center"/>
    </w:pPr>
    <w:rPr>
      <w:rFonts w:ascii="宋体" w:hAnsi="宋体"/>
      <w:color w:val="303030"/>
      <w:kern w:val="0"/>
      <w:sz w:val="18"/>
      <w:szCs w:val="18"/>
    </w:rPr>
  </w:style>
  <w:style w:type="character" w:customStyle="1" w:styleId="15">
    <w:name w:val="批注文字 Char"/>
    <w:basedOn w:val="10"/>
    <w:link w:val="3"/>
    <w:qFormat/>
    <w:uiPriority w:val="99"/>
  </w:style>
  <w:style w:type="character" w:customStyle="1" w:styleId="16">
    <w:name w:val="批注主题 Char"/>
    <w:basedOn w:val="15"/>
    <w:link w:val="8"/>
    <w:qFormat/>
    <w:uiPriority w:val="99"/>
    <w:rPr>
      <w:b/>
      <w:bCs/>
    </w:rPr>
  </w:style>
  <w:style w:type="character" w:customStyle="1" w:styleId="17">
    <w:name w:val="批注框文本 Char"/>
    <w:basedOn w:val="10"/>
    <w:link w:val="4"/>
    <w:qFormat/>
    <w:uiPriority w:val="99"/>
    <w:rPr>
      <w:sz w:val="18"/>
      <w:szCs w:val="18"/>
    </w:rPr>
  </w:style>
  <w:style w:type="character" w:customStyle="1" w:styleId="18">
    <w:name w:val="页眉 Char"/>
    <w:basedOn w:val="10"/>
    <w:link w:val="6"/>
    <w:qFormat/>
    <w:uiPriority w:val="99"/>
    <w:rPr>
      <w:sz w:val="18"/>
      <w:szCs w:val="18"/>
    </w:rPr>
  </w:style>
  <w:style w:type="character" w:customStyle="1" w:styleId="19">
    <w:name w:val="页脚 Char"/>
    <w:basedOn w:val="10"/>
    <w:link w:val="5"/>
    <w:qFormat/>
    <w:uiPriority w:val="99"/>
    <w:rPr>
      <w:sz w:val="18"/>
      <w:szCs w:val="18"/>
    </w:rPr>
  </w:style>
  <w:style w:type="character" w:customStyle="1" w:styleId="20">
    <w:name w:val="文档结构图 Char"/>
    <w:basedOn w:val="10"/>
    <w:link w:val="2"/>
    <w:qFormat/>
    <w:uiPriority w:val="99"/>
    <w:rPr>
      <w:rFonts w:ascii="宋体" w:eastAsia="宋体"/>
      <w:sz w:val="18"/>
      <w:szCs w:val="18"/>
    </w:rPr>
  </w:style>
  <w:style w:type="paragraph" w:customStyle="1" w:styleId="21">
    <w:name w:val="Revision_94235b02-6d93-460c-95fb-386fe47e8b10"/>
    <w:qFormat/>
    <w:uiPriority w:val="99"/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customStyle="1" w:styleId="22">
    <w:name w:val="Subtle Emphasis_f78e2344-8d94-4fae-b59a-1d5b1a5184a6"/>
    <w:basedOn w:val="10"/>
    <w:qFormat/>
    <w:uiPriority w:val="19"/>
    <w:rPr>
      <w:i/>
      <w:iCs/>
      <w:color w:val="7F7F7F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B430DA-852B-4689-903C-87693D909DD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1066</Words>
  <Characters>1267</Characters>
  <Lines>9</Lines>
  <Paragraphs>2</Paragraphs>
  <TotalTime>6</TotalTime>
  <ScaleCrop>false</ScaleCrop>
  <LinksUpToDate>false</LinksUpToDate>
  <CharactersWithSpaces>1271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廉欣媛</cp:lastModifiedBy>
  <dcterms:created xsi:type="dcterms:W3CDTF">2019-09-23T05:07:00Z</dcterms:created>
  <dcterms:modified xsi:type="dcterms:W3CDTF">2022-04-27T05:13:04Z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B994A3EC61CF4C7EB0D7251981B5796C</vt:lpwstr>
  </property>
  <property fmtid="{D5CDD505-2E9C-101B-9397-08002B2CF9AE}" pid="4" name="commondata">
    <vt:lpwstr>eyJoZGlkIjoiNzk1ZDdmZTkxYTc4Njg1OTczNGFlZDIwMDVlZGYwMjEifQ==</vt:lpwstr>
  </property>
</Properties>
</file>