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before="345" w:after="100" w:afterAutospacing="1"/>
        <w:jc w:val="center"/>
        <w:outlineLvl w:val="1"/>
        <w:rPr>
          <w:rFonts w:ascii="Verdana" w:hAnsi="Verdana" w:eastAsia="宋体" w:cs="宋体"/>
          <w:b/>
          <w:bCs/>
          <w:kern w:val="36"/>
          <w:sz w:val="39"/>
          <w:szCs w:val="39"/>
        </w:rPr>
      </w:pPr>
      <w:r>
        <w:rPr>
          <w:rFonts w:hint="eastAsia" w:ascii="Verdana" w:hAnsi="Verdana" w:eastAsia="宋体" w:cs="宋体"/>
          <w:b/>
          <w:bCs/>
          <w:kern w:val="36"/>
          <w:sz w:val="39"/>
          <w:szCs w:val="39"/>
        </w:rPr>
        <w:t>富荣</w:t>
      </w:r>
      <w:r>
        <w:rPr>
          <w:rFonts w:ascii="Verdana" w:hAnsi="Verdana" w:eastAsia="宋体" w:cs="宋体"/>
          <w:b/>
          <w:bCs/>
          <w:kern w:val="36"/>
          <w:sz w:val="39"/>
          <w:szCs w:val="39"/>
        </w:rPr>
        <w:t>基金管理有限公司关于旗下部分基金新增中信建投证券股份有限公司为销售机构</w:t>
      </w:r>
      <w:r>
        <w:rPr>
          <w:rFonts w:hint="eastAsia" w:ascii="Verdana" w:hAnsi="Verdana" w:eastAsia="宋体" w:cs="宋体"/>
          <w:b/>
          <w:bCs/>
          <w:kern w:val="36"/>
          <w:sz w:val="39"/>
          <w:szCs w:val="39"/>
        </w:rPr>
        <w:t>的公告</w:t>
      </w:r>
    </w:p>
    <w:p>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为更好地满足广大投资者的理财需求，根据富荣基金管理有限公司（以下简称“本公司”）与中信建投证券股份有限公司（以下简称“</w:t>
      </w:r>
      <w:r>
        <w:rPr>
          <w:rFonts w:hint="eastAsia" w:ascii="宋体" w:hAnsi="宋体" w:cs="Calibri"/>
          <w:bCs/>
          <w:color w:val="000000"/>
          <w:kern w:val="0"/>
          <w:szCs w:val="21"/>
          <w:lang w:val="en-US" w:eastAsia="zh-CN"/>
        </w:rPr>
        <w:t>中信建投</w:t>
      </w:r>
      <w:r>
        <w:rPr>
          <w:rFonts w:hint="eastAsia" w:ascii="宋体" w:hAnsi="宋体" w:eastAsia="宋体" w:cs="Calibri"/>
          <w:color w:val="000000"/>
          <w:kern w:val="0"/>
          <w:szCs w:val="21"/>
        </w:rPr>
        <w:t>”）签署的委托销售协议，自</w:t>
      </w:r>
      <w:r>
        <w:rPr>
          <w:rFonts w:ascii="宋体" w:hAnsi="宋体" w:eastAsia="宋体" w:cs="Calibri"/>
          <w:color w:val="000000"/>
          <w:kern w:val="0"/>
          <w:szCs w:val="21"/>
        </w:rPr>
        <w:t>20</w:t>
      </w:r>
      <w:r>
        <w:rPr>
          <w:rFonts w:hint="eastAsia" w:ascii="宋体" w:hAnsi="宋体" w:eastAsia="宋体" w:cs="Calibri"/>
          <w:color w:val="000000"/>
          <w:kern w:val="0"/>
          <w:szCs w:val="21"/>
        </w:rPr>
        <w:t>21年1</w:t>
      </w:r>
      <w:r>
        <w:rPr>
          <w:rFonts w:hint="eastAsia" w:ascii="宋体" w:hAnsi="宋体" w:eastAsia="宋体" w:cs="Calibri"/>
          <w:color w:val="000000"/>
          <w:kern w:val="0"/>
          <w:szCs w:val="21"/>
          <w:lang w:val="en-US" w:eastAsia="zh-CN"/>
        </w:rPr>
        <w:t>2</w:t>
      </w:r>
      <w:r>
        <w:rPr>
          <w:rFonts w:hint="eastAsia" w:ascii="宋体" w:hAnsi="宋体" w:eastAsia="宋体" w:cs="Calibri"/>
          <w:color w:val="000000"/>
          <w:kern w:val="0"/>
          <w:szCs w:val="21"/>
        </w:rPr>
        <w:t>月</w:t>
      </w:r>
      <w:r>
        <w:rPr>
          <w:rFonts w:hint="eastAsia" w:ascii="宋体" w:hAnsi="宋体" w:cs="Calibri"/>
          <w:color w:val="000000"/>
          <w:kern w:val="0"/>
          <w:szCs w:val="21"/>
          <w:lang w:val="en-US" w:eastAsia="zh-CN"/>
        </w:rPr>
        <w:t>13</w:t>
      </w:r>
      <w:r>
        <w:rPr>
          <w:rFonts w:hint="eastAsia" w:ascii="宋体" w:hAnsi="宋体" w:eastAsia="宋体" w:cs="Calibri"/>
          <w:color w:val="000000"/>
          <w:kern w:val="0"/>
          <w:szCs w:val="21"/>
        </w:rPr>
        <w:t>日起本公司关于旗下部分基金新增委托</w:t>
      </w:r>
      <w:r>
        <w:rPr>
          <w:rFonts w:hint="eastAsia" w:ascii="宋体" w:hAnsi="宋体" w:cs="Calibri"/>
          <w:color w:val="000000"/>
          <w:kern w:val="0"/>
          <w:szCs w:val="21"/>
          <w:lang w:val="en-US" w:eastAsia="zh-CN"/>
        </w:rPr>
        <w:t>中信建投</w:t>
      </w:r>
      <w:r>
        <w:rPr>
          <w:rFonts w:hint="eastAsia" w:ascii="宋体" w:hAnsi="宋体" w:eastAsia="宋体" w:cs="Calibri"/>
          <w:color w:val="000000"/>
          <w:kern w:val="0"/>
          <w:szCs w:val="21"/>
        </w:rPr>
        <w:t>为销售机构，具体的业务流程、办理时间和办理方式以</w:t>
      </w:r>
      <w:r>
        <w:rPr>
          <w:rFonts w:hint="eastAsia" w:ascii="宋体" w:hAnsi="宋体" w:cs="Calibri"/>
          <w:color w:val="000000"/>
          <w:kern w:val="0"/>
          <w:szCs w:val="21"/>
          <w:lang w:val="en-US" w:eastAsia="zh-CN"/>
        </w:rPr>
        <w:t>中信建投</w:t>
      </w:r>
      <w:r>
        <w:rPr>
          <w:rFonts w:hint="eastAsia" w:ascii="宋体" w:hAnsi="宋体" w:eastAsia="宋体" w:cs="Calibri"/>
          <w:color w:val="000000"/>
          <w:kern w:val="0"/>
          <w:szCs w:val="21"/>
        </w:rPr>
        <w:t>的规定为准。现将相关事项公告如下：</w:t>
      </w:r>
    </w:p>
    <w:p>
      <w:pPr>
        <w:widowControl/>
        <w:shd w:val="clear" w:color="auto" w:fill="FFFFFF"/>
        <w:spacing w:line="360" w:lineRule="auto"/>
        <w:ind w:firstLine="420"/>
        <w:jc w:val="left"/>
        <w:rPr>
          <w:rFonts w:ascii="宋体" w:hAnsi="宋体" w:eastAsia="宋体" w:cs="Calibri"/>
          <w:color w:val="000000"/>
          <w:kern w:val="0"/>
          <w:szCs w:val="21"/>
        </w:rPr>
      </w:pPr>
      <w:r>
        <w:rPr>
          <w:rFonts w:ascii="宋体" w:hAnsi="宋体" w:eastAsia="宋体" w:cs="Calibri"/>
          <w:color w:val="000000"/>
          <w:kern w:val="0"/>
          <w:szCs w:val="21"/>
        </w:rPr>
        <w:t> </w:t>
      </w:r>
    </w:p>
    <w:p>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一、适用基金</w:t>
      </w:r>
    </w:p>
    <w:p>
      <w:pPr>
        <w:widowControl/>
        <w:shd w:val="clear" w:color="auto" w:fill="FFFFFF"/>
        <w:spacing w:line="360" w:lineRule="auto"/>
        <w:ind w:firstLine="420"/>
        <w:jc w:val="left"/>
        <w:rPr>
          <w:rFonts w:ascii="宋体" w:hAnsi="宋体" w:eastAsia="宋体" w:cs="Calibri"/>
          <w:color w:val="000000"/>
          <w:kern w:val="0"/>
          <w:sz w:val="21"/>
          <w:szCs w:val="21"/>
        </w:rPr>
      </w:pPr>
      <w:r>
        <w:rPr>
          <w:rFonts w:hint="eastAsia" w:ascii="宋体" w:hAnsi="宋体" w:eastAsia="宋体" w:cs="Calibri"/>
          <w:bCs/>
          <w:color w:val="000000"/>
          <w:kern w:val="0"/>
          <w:sz w:val="21"/>
          <w:szCs w:val="21"/>
        </w:rPr>
        <w:t>富荣沪深300指数增强型证券投资基金 （</w:t>
      </w:r>
      <w:r>
        <w:rPr>
          <w:rFonts w:hint="eastAsia" w:ascii="宋体" w:hAnsi="宋体" w:eastAsia="宋体" w:cs="Calibri"/>
          <w:color w:val="000000"/>
          <w:kern w:val="0"/>
          <w:sz w:val="21"/>
          <w:szCs w:val="21"/>
        </w:rPr>
        <w:t>基金代码：A类004788 、C类004789</w:t>
      </w:r>
      <w:r>
        <w:rPr>
          <w:rFonts w:hint="eastAsia" w:ascii="宋体" w:hAnsi="宋体" w:eastAsia="宋体" w:cs="Calibri"/>
          <w:bCs/>
          <w:color w:val="000000"/>
          <w:kern w:val="0"/>
          <w:sz w:val="21"/>
          <w:szCs w:val="21"/>
        </w:rPr>
        <w:t>）</w:t>
      </w:r>
    </w:p>
    <w:p>
      <w:pPr>
        <w:widowControl/>
        <w:shd w:val="clear" w:color="auto" w:fill="FFFFFF"/>
        <w:spacing w:line="360" w:lineRule="auto"/>
        <w:ind w:firstLine="480"/>
        <w:jc w:val="left"/>
        <w:rPr>
          <w:rFonts w:ascii="宋体" w:hAnsi="宋体" w:eastAsia="宋体" w:cs="Calibri"/>
          <w:color w:val="000000"/>
          <w:kern w:val="0"/>
          <w:szCs w:val="21"/>
        </w:rPr>
      </w:pPr>
    </w:p>
    <w:p>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二、业务咨询</w:t>
      </w:r>
    </w:p>
    <w:p>
      <w:pPr>
        <w:widowControl/>
        <w:shd w:val="clear" w:color="auto" w:fill="FFFFFF"/>
        <w:spacing w:line="360" w:lineRule="auto"/>
        <w:ind w:firstLine="420"/>
        <w:jc w:val="left"/>
        <w:rPr>
          <w:rFonts w:ascii="宋体" w:hAnsi="宋体" w:eastAsia="宋体" w:cs="Calibri"/>
          <w:color w:val="000000"/>
          <w:kern w:val="0"/>
          <w:szCs w:val="21"/>
        </w:rPr>
      </w:pPr>
      <w:r>
        <w:rPr>
          <w:rFonts w:ascii="宋体" w:hAnsi="宋体" w:eastAsia="宋体" w:cs="Calibri"/>
          <w:color w:val="000000"/>
          <w:kern w:val="0"/>
          <w:szCs w:val="21"/>
        </w:rPr>
        <w:t>1</w:t>
      </w:r>
      <w:r>
        <w:rPr>
          <w:rFonts w:hint="eastAsia" w:ascii="宋体" w:hAnsi="宋体" w:eastAsia="宋体" w:cs="Calibri"/>
          <w:color w:val="000000"/>
          <w:kern w:val="0"/>
          <w:szCs w:val="21"/>
        </w:rPr>
        <w:t>、富荣基金管理有限公司</w:t>
      </w:r>
    </w:p>
    <w:p>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客户服务电话：</w:t>
      </w:r>
      <w:r>
        <w:rPr>
          <w:rFonts w:ascii="宋体" w:hAnsi="宋体" w:eastAsia="宋体" w:cs="Calibri"/>
          <w:color w:val="000000"/>
          <w:kern w:val="0"/>
          <w:szCs w:val="21"/>
        </w:rPr>
        <w:t>400</w:t>
      </w:r>
      <w:r>
        <w:rPr>
          <w:rFonts w:hint="eastAsia" w:ascii="宋体" w:hAnsi="宋体" w:eastAsia="宋体" w:cs="Calibri"/>
          <w:color w:val="000000"/>
          <w:kern w:val="0"/>
          <w:szCs w:val="21"/>
        </w:rPr>
        <w:t>-685-5</w:t>
      </w:r>
      <w:r>
        <w:rPr>
          <w:rFonts w:ascii="宋体" w:hAnsi="宋体" w:eastAsia="宋体" w:cs="Calibri"/>
          <w:color w:val="000000"/>
          <w:kern w:val="0"/>
          <w:szCs w:val="21"/>
        </w:rPr>
        <w:t>60</w:t>
      </w:r>
      <w:r>
        <w:rPr>
          <w:rFonts w:hint="eastAsia" w:ascii="宋体" w:hAnsi="宋体" w:eastAsia="宋体" w:cs="Calibri"/>
          <w:color w:val="000000"/>
          <w:kern w:val="0"/>
          <w:szCs w:val="21"/>
        </w:rPr>
        <w:t>0</w:t>
      </w:r>
    </w:p>
    <w:p>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网址：</w:t>
      </w:r>
      <w:r>
        <w:rPr>
          <w:rFonts w:ascii="宋体" w:hAnsi="宋体" w:eastAsia="宋体" w:cs="Calibri"/>
          <w:color w:val="000000"/>
          <w:kern w:val="0"/>
          <w:szCs w:val="21"/>
        </w:rPr>
        <w:t>www.</w:t>
      </w:r>
      <w:r>
        <w:rPr>
          <w:rFonts w:hint="eastAsia" w:ascii="宋体" w:hAnsi="宋体" w:eastAsia="宋体" w:cs="Calibri"/>
          <w:color w:val="000000"/>
          <w:kern w:val="0"/>
          <w:szCs w:val="21"/>
        </w:rPr>
        <w:t>furamc</w:t>
      </w:r>
      <w:r>
        <w:rPr>
          <w:rFonts w:ascii="宋体" w:hAnsi="宋体" w:eastAsia="宋体" w:cs="Calibri"/>
          <w:color w:val="000000"/>
          <w:kern w:val="0"/>
          <w:szCs w:val="21"/>
        </w:rPr>
        <w:t>.com</w:t>
      </w:r>
      <w:r>
        <w:rPr>
          <w:rFonts w:hint="eastAsia" w:ascii="宋体" w:hAnsi="宋体" w:eastAsia="宋体" w:cs="Calibri"/>
          <w:color w:val="000000"/>
          <w:kern w:val="0"/>
          <w:szCs w:val="21"/>
        </w:rPr>
        <w:t>.cn</w:t>
      </w:r>
    </w:p>
    <w:p>
      <w:pPr>
        <w:widowControl/>
        <w:shd w:val="clear" w:color="auto" w:fill="FFFFFF"/>
        <w:spacing w:line="360" w:lineRule="auto"/>
        <w:ind w:firstLine="420"/>
        <w:jc w:val="left"/>
        <w:rPr>
          <w:rFonts w:hint="default" w:ascii="宋体" w:hAnsi="宋体" w:eastAsia="宋体" w:cs="Calibri"/>
          <w:color w:val="000000"/>
          <w:kern w:val="0"/>
          <w:szCs w:val="21"/>
          <w:lang w:val="en-US"/>
        </w:rPr>
      </w:pPr>
      <w:r>
        <w:rPr>
          <w:rFonts w:ascii="宋体" w:hAnsi="宋体" w:eastAsia="宋体" w:cs="Calibri"/>
          <w:color w:val="000000"/>
          <w:kern w:val="0"/>
          <w:szCs w:val="21"/>
        </w:rPr>
        <w:t>2</w:t>
      </w:r>
      <w:r>
        <w:rPr>
          <w:rFonts w:hint="eastAsia" w:ascii="宋体" w:hAnsi="宋体" w:eastAsia="宋体" w:cs="Calibri"/>
          <w:color w:val="000000"/>
          <w:kern w:val="0"/>
          <w:szCs w:val="21"/>
        </w:rPr>
        <w:t>、中信建投证券股份有限公司</w:t>
      </w:r>
    </w:p>
    <w:p>
      <w:pPr>
        <w:widowControl/>
        <w:spacing w:line="360" w:lineRule="auto"/>
        <w:ind w:left="420" w:leftChars="200"/>
        <w:jc w:val="left"/>
        <w:rPr>
          <w:rFonts w:hint="default" w:ascii="宋体" w:hAnsi="宋体" w:eastAsia="宋体" w:cs="Calibri"/>
          <w:color w:val="000000"/>
          <w:kern w:val="0"/>
          <w:szCs w:val="21"/>
          <w:lang w:val="en-US" w:eastAsia="zh-CN"/>
        </w:rPr>
      </w:pPr>
      <w:r>
        <w:rPr>
          <w:rFonts w:hint="eastAsia" w:ascii="宋体" w:hAnsi="宋体" w:eastAsia="宋体" w:cs="Calibri"/>
          <w:color w:val="000000"/>
          <w:kern w:val="0"/>
          <w:szCs w:val="21"/>
        </w:rPr>
        <w:t>客服电话：400-8888-</w:t>
      </w:r>
      <w:r>
        <w:rPr>
          <w:rFonts w:hint="eastAsia" w:ascii="宋体" w:hAnsi="宋体" w:cs="Calibri"/>
          <w:color w:val="000000"/>
          <w:kern w:val="0"/>
          <w:szCs w:val="21"/>
          <w:lang w:val="en-US" w:eastAsia="zh-CN"/>
        </w:rPr>
        <w:t>108</w:t>
      </w:r>
    </w:p>
    <w:p>
      <w:pPr>
        <w:widowControl/>
        <w:spacing w:line="360" w:lineRule="auto"/>
        <w:ind w:left="420" w:leftChars="200"/>
        <w:jc w:val="left"/>
        <w:rPr>
          <w:rFonts w:hint="eastAsia" w:ascii="宋体" w:hAnsi="宋体" w:eastAsia="宋体" w:cs="Calibri"/>
          <w:color w:val="000000"/>
          <w:kern w:val="0"/>
          <w:szCs w:val="21"/>
        </w:rPr>
      </w:pPr>
      <w:r>
        <w:rPr>
          <w:rFonts w:hint="eastAsia" w:ascii="宋体" w:hAnsi="宋体" w:eastAsia="宋体" w:cs="Calibri"/>
          <w:color w:val="000000"/>
          <w:kern w:val="0"/>
          <w:szCs w:val="21"/>
        </w:rPr>
        <w:t>公司网站：https://www.csc108.com</w:t>
      </w:r>
    </w:p>
    <w:p>
      <w:pPr>
        <w:widowControl/>
        <w:shd w:val="clear" w:color="auto" w:fill="FFFFFF"/>
        <w:spacing w:line="360" w:lineRule="auto"/>
        <w:jc w:val="left"/>
        <w:rPr>
          <w:rFonts w:ascii="宋体" w:hAnsi="宋体" w:eastAsia="宋体" w:cs="Calibri"/>
          <w:color w:val="000000"/>
          <w:kern w:val="0"/>
          <w:szCs w:val="21"/>
        </w:rPr>
      </w:pPr>
    </w:p>
    <w:p>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风险提示：</w:t>
      </w:r>
    </w:p>
    <w:p>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招募说明书》、《基金产品资料概要》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p>
    <w:p>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特此公告。</w:t>
      </w:r>
    </w:p>
    <w:p>
      <w:pPr>
        <w:widowControl/>
        <w:shd w:val="clear" w:color="auto" w:fill="FFFFFF"/>
        <w:spacing w:line="360" w:lineRule="auto"/>
        <w:jc w:val="left"/>
        <w:rPr>
          <w:rFonts w:ascii="宋体" w:hAnsi="宋体" w:eastAsia="宋体" w:cs="Calibri"/>
          <w:color w:val="000000"/>
          <w:kern w:val="0"/>
          <w:szCs w:val="21"/>
        </w:rPr>
      </w:pPr>
      <w:r>
        <w:rPr>
          <w:rFonts w:ascii="宋体" w:hAnsi="宋体" w:eastAsia="宋体" w:cs="Calibri"/>
          <w:color w:val="000000"/>
          <w:kern w:val="0"/>
          <w:szCs w:val="21"/>
        </w:rPr>
        <w:t> </w:t>
      </w:r>
    </w:p>
    <w:p>
      <w:pPr>
        <w:widowControl/>
        <w:shd w:val="clear" w:color="auto" w:fill="FFFFFF"/>
        <w:spacing w:line="360" w:lineRule="auto"/>
        <w:jc w:val="left"/>
        <w:rPr>
          <w:rFonts w:ascii="宋体" w:hAnsi="宋体" w:eastAsia="宋体" w:cs="Calibri"/>
          <w:color w:val="000000"/>
          <w:kern w:val="0"/>
          <w:szCs w:val="21"/>
        </w:rPr>
      </w:pPr>
      <w:r>
        <w:rPr>
          <w:rFonts w:ascii="宋体" w:hAnsi="宋体" w:eastAsia="宋体" w:cs="Calibri"/>
          <w:color w:val="000000"/>
          <w:kern w:val="0"/>
          <w:szCs w:val="21"/>
        </w:rPr>
        <w:t> </w:t>
      </w:r>
    </w:p>
    <w:p>
      <w:pPr>
        <w:widowControl/>
        <w:shd w:val="clear" w:color="auto" w:fill="FFFFFF"/>
        <w:spacing w:line="360" w:lineRule="auto"/>
        <w:ind w:firstLine="420"/>
        <w:jc w:val="right"/>
        <w:rPr>
          <w:rFonts w:ascii="宋体" w:hAnsi="宋体" w:eastAsia="宋体" w:cs="Calibri"/>
          <w:color w:val="000000"/>
          <w:kern w:val="0"/>
          <w:szCs w:val="21"/>
        </w:rPr>
      </w:pPr>
      <w:r>
        <w:rPr>
          <w:rFonts w:hint="eastAsia" w:ascii="宋体" w:hAnsi="宋体" w:eastAsia="宋体" w:cs="Calibri"/>
          <w:color w:val="000000"/>
          <w:kern w:val="0"/>
          <w:szCs w:val="21"/>
        </w:rPr>
        <w:t>富荣基金管理有限公司</w:t>
      </w:r>
    </w:p>
    <w:p>
      <w:pPr>
        <w:widowControl/>
        <w:shd w:val="clear" w:color="auto" w:fill="FFFFFF"/>
        <w:wordWrap w:val="0"/>
        <w:spacing w:line="360" w:lineRule="auto"/>
        <w:jc w:val="right"/>
        <w:rPr>
          <w:rFonts w:ascii="宋体" w:hAnsi="宋体" w:eastAsia="宋体" w:cs="Calibri"/>
          <w:color w:val="000000"/>
          <w:kern w:val="0"/>
          <w:szCs w:val="21"/>
        </w:rPr>
      </w:pPr>
      <w:r>
        <w:rPr>
          <w:rFonts w:hint="eastAsia" w:ascii="宋体" w:hAnsi="宋体" w:eastAsia="宋体" w:cs="Calibri"/>
          <w:color w:val="000000"/>
          <w:kern w:val="0"/>
          <w:szCs w:val="21"/>
        </w:rPr>
        <w:t>二○二一年十</w:t>
      </w:r>
      <w:r>
        <w:rPr>
          <w:rFonts w:hint="eastAsia" w:ascii="宋体" w:hAnsi="宋体" w:eastAsia="宋体" w:cs="Calibri"/>
          <w:color w:val="000000"/>
          <w:kern w:val="0"/>
          <w:szCs w:val="21"/>
          <w:lang w:val="en-US" w:eastAsia="zh-CN"/>
        </w:rPr>
        <w:t>二</w:t>
      </w:r>
      <w:r>
        <w:rPr>
          <w:rFonts w:hint="eastAsia" w:ascii="宋体" w:hAnsi="宋体" w:eastAsia="宋体" w:cs="Calibri"/>
          <w:color w:val="000000"/>
          <w:kern w:val="0"/>
          <w:szCs w:val="21"/>
        </w:rPr>
        <w:t>月</w:t>
      </w:r>
      <w:r>
        <w:rPr>
          <w:rFonts w:hint="eastAsia" w:ascii="宋体" w:hAnsi="宋体" w:cs="Calibri"/>
          <w:color w:val="000000"/>
          <w:kern w:val="0"/>
          <w:szCs w:val="21"/>
          <w:lang w:val="en-US" w:eastAsia="zh-CN"/>
        </w:rPr>
        <w:t>十三</w:t>
      </w:r>
      <w:bookmarkStart w:id="0" w:name="_GoBack"/>
      <w:bookmarkEnd w:id="0"/>
      <w:r>
        <w:rPr>
          <w:rFonts w:hint="eastAsia" w:ascii="宋体" w:hAnsi="宋体" w:eastAsia="宋体" w:cs="Calibri"/>
          <w:color w:val="000000"/>
          <w:kern w:val="0"/>
          <w:szCs w:val="21"/>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3004966"/>
    <w:rsid w:val="59D3193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99" w:semiHidden="0" w:name="annotation text"/>
    <w:lsdException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99" w:semiHidden="0" w:name="Document Map"/>
    <w:lsdException w:unhideWhenUsed="0" w:uiPriority="0" w:semiHidden="0" w:name="Plain Text"/>
    <w:lsdException w:unhideWhenUsed="0" w:uiPriority="0" w:semiHidden="0" w:name="E-mail Signature"/>
    <w:lsdException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99"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character" w:default="1" w:styleId="10">
    <w:name w:val="Default Paragraph Font"/>
    <w:uiPriority w:val="1"/>
  </w:style>
  <w:style w:type="table" w:default="1" w:styleId="9">
    <w:name w:val="Normal Table"/>
    <w:qFormat/>
    <w:uiPriority w:val="99"/>
    <w:tblPr>
      <w:tblCellMar>
        <w:top w:w="0" w:type="dxa"/>
        <w:left w:w="108" w:type="dxa"/>
        <w:bottom w:w="0" w:type="dxa"/>
        <w:right w:w="108" w:type="dxa"/>
      </w:tblCellMar>
    </w:tblPr>
  </w:style>
  <w:style w:type="paragraph" w:styleId="2">
    <w:name w:val="Document Map"/>
    <w:basedOn w:val="1"/>
    <w:link w:val="20"/>
    <w:uiPriority w:val="99"/>
    <w:rPr>
      <w:rFonts w:ascii="宋体" w:eastAsia="宋体"/>
      <w:sz w:val="18"/>
      <w:szCs w:val="18"/>
    </w:rPr>
  </w:style>
  <w:style w:type="paragraph" w:styleId="3">
    <w:name w:val="annotation text"/>
    <w:basedOn w:val="1"/>
    <w:link w:val="15"/>
    <w:uiPriority w:val="99"/>
    <w:pPr>
      <w:jc w:val="left"/>
    </w:pPr>
  </w:style>
  <w:style w:type="paragraph" w:styleId="4">
    <w:name w:val="Balloon Text"/>
    <w:basedOn w:val="1"/>
    <w:link w:val="17"/>
    <w:qFormat/>
    <w:uiPriority w:val="99"/>
    <w:rPr>
      <w:sz w:val="18"/>
      <w:szCs w:val="18"/>
    </w:rPr>
  </w:style>
  <w:style w:type="paragraph" w:styleId="5">
    <w:name w:val="footer"/>
    <w:basedOn w:val="1"/>
    <w:link w:val="19"/>
    <w:qFormat/>
    <w:uiPriority w:val="99"/>
    <w:pPr>
      <w:tabs>
        <w:tab w:val="center" w:pos="4153"/>
        <w:tab w:val="right" w:pos="8306"/>
      </w:tabs>
      <w:snapToGrid w:val="0"/>
      <w:jc w:val="left"/>
    </w:pPr>
    <w:rPr>
      <w:sz w:val="18"/>
      <w:szCs w:val="18"/>
    </w:rPr>
  </w:style>
  <w:style w:type="paragraph" w:styleId="6">
    <w:name w:val="header"/>
    <w:basedOn w:val="1"/>
    <w:link w:val="18"/>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iPriority w:val="99"/>
    <w:pPr>
      <w:widowControl/>
      <w:spacing w:before="100" w:beforeAutospacing="1" w:after="100" w:afterAutospacing="1"/>
      <w:jc w:val="left"/>
    </w:pPr>
    <w:rPr>
      <w:rFonts w:ascii="宋体" w:hAnsi="宋体" w:eastAsia="宋体" w:cs="宋体"/>
      <w:kern w:val="0"/>
      <w:sz w:val="24"/>
      <w:szCs w:val="24"/>
    </w:rPr>
  </w:style>
  <w:style w:type="paragraph" w:styleId="8">
    <w:name w:val="annotation subject"/>
    <w:basedOn w:val="3"/>
    <w:next w:val="3"/>
    <w:link w:val="16"/>
    <w:uiPriority w:val="99"/>
    <w:rPr>
      <w:b/>
      <w:bCs/>
    </w:rPr>
  </w:style>
  <w:style w:type="character" w:styleId="11">
    <w:name w:val="FollowedHyperlink"/>
    <w:basedOn w:val="10"/>
    <w:uiPriority w:val="0"/>
    <w:rPr>
      <w:color w:val="555555"/>
      <w:u w:val="none"/>
    </w:rPr>
  </w:style>
  <w:style w:type="character" w:styleId="12">
    <w:name w:val="Hyperlink"/>
    <w:uiPriority w:val="99"/>
    <w:rPr>
      <w:color w:val="0000FF"/>
      <w:u w:val="single"/>
    </w:rPr>
  </w:style>
  <w:style w:type="character" w:styleId="13">
    <w:name w:val="annotation reference"/>
    <w:basedOn w:val="10"/>
    <w:uiPriority w:val="99"/>
    <w:rPr>
      <w:sz w:val="21"/>
      <w:szCs w:val="21"/>
    </w:rPr>
  </w:style>
  <w:style w:type="paragraph" w:customStyle="1" w:styleId="14">
    <w:name w:val="source-date1"/>
    <w:basedOn w:val="1"/>
    <w:uiPriority w:val="0"/>
    <w:pPr>
      <w:widowControl/>
      <w:pBdr>
        <w:bottom w:val="single" w:color="002080" w:sz="12" w:space="15"/>
      </w:pBdr>
      <w:spacing w:before="100" w:beforeAutospacing="1" w:after="100" w:afterAutospacing="1"/>
      <w:jc w:val="center"/>
    </w:pPr>
    <w:rPr>
      <w:rFonts w:ascii="宋体" w:hAnsi="宋体" w:eastAsia="宋体" w:cs="宋体"/>
      <w:color w:val="303030"/>
      <w:kern w:val="0"/>
      <w:sz w:val="18"/>
      <w:szCs w:val="18"/>
    </w:rPr>
  </w:style>
  <w:style w:type="character" w:customStyle="1" w:styleId="15">
    <w:name w:val="批注文字 Char"/>
    <w:basedOn w:val="10"/>
    <w:link w:val="3"/>
    <w:qFormat/>
    <w:uiPriority w:val="99"/>
  </w:style>
  <w:style w:type="character" w:customStyle="1" w:styleId="16">
    <w:name w:val="批注主题 Char"/>
    <w:basedOn w:val="15"/>
    <w:link w:val="8"/>
    <w:uiPriority w:val="99"/>
    <w:rPr>
      <w:b/>
      <w:bCs/>
    </w:rPr>
  </w:style>
  <w:style w:type="character" w:customStyle="1" w:styleId="17">
    <w:name w:val="批注框文本 Char"/>
    <w:basedOn w:val="10"/>
    <w:link w:val="4"/>
    <w:uiPriority w:val="99"/>
    <w:rPr>
      <w:sz w:val="18"/>
      <w:szCs w:val="18"/>
    </w:rPr>
  </w:style>
  <w:style w:type="character" w:customStyle="1" w:styleId="18">
    <w:name w:val="页眉 Char"/>
    <w:basedOn w:val="10"/>
    <w:link w:val="6"/>
    <w:uiPriority w:val="99"/>
    <w:rPr>
      <w:sz w:val="18"/>
      <w:szCs w:val="18"/>
    </w:rPr>
  </w:style>
  <w:style w:type="character" w:customStyle="1" w:styleId="19">
    <w:name w:val="页脚 Char"/>
    <w:basedOn w:val="10"/>
    <w:link w:val="5"/>
    <w:uiPriority w:val="99"/>
    <w:rPr>
      <w:sz w:val="18"/>
      <w:szCs w:val="18"/>
    </w:rPr>
  </w:style>
  <w:style w:type="character" w:customStyle="1" w:styleId="20">
    <w:name w:val="文档结构图 Char"/>
    <w:basedOn w:val="10"/>
    <w:link w:val="2"/>
    <w:uiPriority w:val="99"/>
    <w:rPr>
      <w:rFonts w:ascii="宋体" w:eastAsia="宋体"/>
      <w:sz w:val="18"/>
      <w:szCs w:val="18"/>
    </w:rPr>
  </w:style>
  <w:style w:type="paragraph" w:customStyle="1" w:styleId="21">
    <w:name w:val="Revision_94235b02-6d93-460c-95fb-386fe47e8b10"/>
    <w:uiPriority w:val="99"/>
    <w:rPr>
      <w:rFonts w:ascii="Calibri" w:hAnsi="Calibri" w:eastAsia="宋体" w:cs="宋体"/>
      <w:kern w:val="2"/>
      <w:sz w:val="21"/>
      <w:szCs w:val="22"/>
      <w:lang w:val="en-US" w:eastAsia="zh-CN" w:bidi="ar-SA"/>
    </w:rPr>
  </w:style>
  <w:style w:type="character" w:customStyle="1" w:styleId="22">
    <w:name w:val="Subtle Emphasis_f78e2344-8d94-4fae-b59a-1d5b1a5184a6"/>
    <w:basedOn w:val="10"/>
    <w:qFormat/>
    <w:uiPriority w:val="19"/>
    <w:rPr>
      <w:i/>
      <w:iCs/>
      <w:color w:val="7F7F7F"/>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B7B34C6-21C6-4294-AE63-BFF9089D5914}">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546</Words>
  <Characters>618</Characters>
  <Application>WPS Office_11.1.0.11115_F1E327BC-269C-435d-A152-05C5408002CA</Application>
  <DocSecurity>0</DocSecurity>
  <Paragraphs>21</Paragraphs>
  <ScaleCrop>false</ScaleCrop>
  <LinksUpToDate>false</LinksUpToDate>
  <CharactersWithSpaces>621</CharactersWithSpac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Kekee</cp:lastModifiedBy>
  <dcterms:created xsi:type="dcterms:W3CDTF">2019-09-23T05:07:00Z</dcterms:created>
  <dcterms:modified xsi:type="dcterms:W3CDTF">2021-12-10T05:40:22Z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00A88C1A96E94491991C9657E6E012CD</vt:lpwstr>
  </property>
</Properties>
</file>