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CBB6B" w14:textId="77777777" w:rsidR="00E928B8" w:rsidRDefault="00D24B67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</w:t>
      </w:r>
      <w:proofErr w:type="gramStart"/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荣基金</w:t>
      </w:r>
      <w:proofErr w:type="gramEnd"/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管理有限公司关于调整旗下部分基金投资范围、增加</w:t>
      </w:r>
      <w:proofErr w:type="gramStart"/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侧袋机制</w:t>
      </w:r>
      <w:proofErr w:type="gramEnd"/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并相应修改法律文件的公告</w:t>
      </w:r>
    </w:p>
    <w:p w14:paraId="503ED455" w14:textId="1D0F3D8B" w:rsidR="00E928B8" w:rsidRDefault="00D24B67">
      <w:pPr>
        <w:pStyle w:val="ad"/>
        <w:shd w:val="clear" w:color="auto" w:fill="FFFFFF"/>
        <w:spacing w:before="63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根据《中华人民共和国证券投资基金法》、《公开募集证券投资基金运作管理办法》、《存托凭证发行与交易管理办法（试行）》、《公开募集证券投资基金侧袋机制指引（试行）》等法律法规的有关规定，富</w:t>
      </w:r>
      <w:proofErr w:type="gramStart"/>
      <w:r>
        <w:rPr>
          <w:rFonts w:ascii="微软雅黑" w:eastAsia="微软雅黑" w:hAnsi="微软雅黑" w:hint="eastAsia"/>
          <w:color w:val="333333"/>
        </w:rPr>
        <w:t>荣基金</w:t>
      </w:r>
      <w:proofErr w:type="gramEnd"/>
      <w:r>
        <w:rPr>
          <w:rFonts w:ascii="微软雅黑" w:eastAsia="微软雅黑" w:hAnsi="微软雅黑" w:hint="eastAsia"/>
          <w:color w:val="333333"/>
        </w:rPr>
        <w:t>管理有限公司（以下简称“本公司”）经与各基金的基金托管人协商一致，对本公司旗下</w:t>
      </w:r>
      <w:r>
        <w:rPr>
          <w:rFonts w:ascii="微软雅黑" w:eastAsia="微软雅黑" w:hAnsi="微软雅黑"/>
          <w:color w:val="333333"/>
        </w:rPr>
        <w:t>11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只基金（具体请见附件基金清单）的基金合同、托管协议中的涉及存托凭证投资及（或）增加</w:t>
      </w:r>
      <w:proofErr w:type="gramStart"/>
      <w:r>
        <w:rPr>
          <w:rFonts w:ascii="微软雅黑" w:eastAsia="微软雅黑" w:hAnsi="微软雅黑" w:hint="eastAsia"/>
          <w:color w:val="333333"/>
        </w:rPr>
        <w:t>侧袋机制</w:t>
      </w:r>
      <w:proofErr w:type="gramEnd"/>
      <w:r>
        <w:rPr>
          <w:rFonts w:ascii="微软雅黑" w:eastAsia="微软雅黑" w:hAnsi="微软雅黑" w:hint="eastAsia"/>
          <w:color w:val="333333"/>
        </w:rPr>
        <w:t>相关条款进行修改，并对部分基金托管人信息进行更新，并向中国证监会备案。本次修订系</w:t>
      </w:r>
      <w:proofErr w:type="gramStart"/>
      <w:r>
        <w:rPr>
          <w:rFonts w:ascii="微软雅黑" w:eastAsia="微软雅黑" w:hAnsi="微软雅黑" w:hint="eastAsia"/>
          <w:color w:val="333333"/>
        </w:rPr>
        <w:t>因相应</w:t>
      </w:r>
      <w:proofErr w:type="gramEnd"/>
      <w:r>
        <w:rPr>
          <w:rFonts w:ascii="微软雅黑" w:eastAsia="微软雅黑" w:hAnsi="微软雅黑" w:hint="eastAsia"/>
          <w:color w:val="333333"/>
        </w:rPr>
        <w:t>的法律法规发生变动而进行的修改，对基金份额持有人利益无实质性不利影响，无需召开份额持有人大会，修订将自2021年</w:t>
      </w:r>
      <w:r w:rsidR="00D51919">
        <w:rPr>
          <w:rFonts w:ascii="微软雅黑" w:eastAsia="微软雅黑" w:hAnsi="微软雅黑"/>
          <w:color w:val="333333"/>
        </w:rPr>
        <w:t>4</w:t>
      </w:r>
      <w:r>
        <w:rPr>
          <w:rFonts w:ascii="微软雅黑" w:eastAsia="微软雅黑" w:hAnsi="微软雅黑" w:hint="eastAsia"/>
          <w:color w:val="333333"/>
        </w:rPr>
        <w:t>月</w:t>
      </w:r>
      <w:r w:rsidR="00D51919">
        <w:rPr>
          <w:rFonts w:ascii="微软雅黑" w:eastAsia="微软雅黑" w:hAnsi="微软雅黑"/>
          <w:color w:val="333333"/>
        </w:rPr>
        <w:t>1</w:t>
      </w:r>
      <w:r w:rsidR="00357F66">
        <w:rPr>
          <w:rFonts w:ascii="微软雅黑" w:eastAsia="微软雅黑" w:hAnsi="微软雅黑"/>
          <w:color w:val="333333"/>
        </w:rPr>
        <w:t>9</w:t>
      </w:r>
      <w:r>
        <w:rPr>
          <w:rFonts w:ascii="微软雅黑" w:eastAsia="微软雅黑" w:hAnsi="微软雅黑" w:hint="eastAsia"/>
          <w:color w:val="333333"/>
        </w:rPr>
        <w:t>日起正式生效。</w:t>
      </w:r>
    </w:p>
    <w:p w14:paraId="1564A044" w14:textId="77777777" w:rsidR="00E928B8" w:rsidRDefault="00D24B67">
      <w:pPr>
        <w:pStyle w:val="ad"/>
        <w:shd w:val="clear" w:color="auto" w:fill="FFFFFF"/>
        <w:spacing w:line="420" w:lineRule="atLeast"/>
        <w:ind w:firstLine="482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一、涉及增加存托凭证的相关产品的主要修订包括：</w:t>
      </w:r>
    </w:p>
    <w:p w14:paraId="50650CF2" w14:textId="77777777" w:rsidR="00E928B8" w:rsidRDefault="00D24B67">
      <w:pPr>
        <w:pStyle w:val="ad"/>
        <w:shd w:val="clear" w:color="auto" w:fill="FFFFFF"/>
        <w:spacing w:line="420" w:lineRule="atLeast"/>
        <w:ind w:firstLine="482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对基金合同“前言”部分进行修订，补充投资存托凭证的风险提示，对基金合同“基金的投资”部分进行修订，明确“投资范围”中包含存托凭证、在“投资策略”中增加存托凭证投资策略、在“投资限制”中增加存托凭证投资限制，对基金合同“基金资产估值”部分进行修订，在“估值对象”中增加存托凭证、在“估值方法”中增加存托凭证估值方法等。托管协议、招募说明书、基金产品资料概要涉及到上述相关内容也已经进行相应修订，并在基金招募说明书（更新）、基金产品资料概要（更新）中增加投资存托凭证的风险揭示内容。</w:t>
      </w:r>
    </w:p>
    <w:p w14:paraId="4FAE7B40" w14:textId="77777777" w:rsidR="00E928B8" w:rsidRDefault="00D24B67">
      <w:pPr>
        <w:pStyle w:val="ad"/>
        <w:shd w:val="clear" w:color="auto" w:fill="FFFFFF"/>
        <w:spacing w:line="420" w:lineRule="atLeast"/>
        <w:ind w:firstLine="482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二、涉及增加</w:t>
      </w:r>
      <w:proofErr w:type="gramStart"/>
      <w:r>
        <w:rPr>
          <w:rFonts w:ascii="微软雅黑" w:eastAsia="微软雅黑" w:hAnsi="微软雅黑" w:hint="eastAsia"/>
          <w:color w:val="333333"/>
        </w:rPr>
        <w:t>侧袋机制</w:t>
      </w:r>
      <w:proofErr w:type="gramEnd"/>
      <w:r>
        <w:rPr>
          <w:rFonts w:ascii="微软雅黑" w:eastAsia="微软雅黑" w:hAnsi="微软雅黑" w:hint="eastAsia"/>
          <w:color w:val="333333"/>
        </w:rPr>
        <w:t>的相关产品的主要修订包括：</w:t>
      </w:r>
    </w:p>
    <w:p w14:paraId="73BB3032" w14:textId="6DD3178E" w:rsidR="00E928B8" w:rsidRDefault="00D24B67">
      <w:pPr>
        <w:pStyle w:val="ad"/>
        <w:shd w:val="clear" w:color="auto" w:fill="FFFFFF"/>
        <w:spacing w:line="420" w:lineRule="atLeast"/>
        <w:ind w:firstLine="482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lastRenderedPageBreak/>
        <w:t>在基金合同的“前言”、“释义”、“基金份额的申购与赎回”、“基金合同当事人及权利义务”、“基金份额持有人大会”、“基金的投资”、“基金资产估值”、“基金费用与税收”、“基金的收益与分配”、“基金的信息披露”等章节增加</w:t>
      </w:r>
      <w:proofErr w:type="gramStart"/>
      <w:r>
        <w:rPr>
          <w:rFonts w:ascii="微软雅黑" w:eastAsia="微软雅黑" w:hAnsi="微软雅黑" w:hint="eastAsia"/>
          <w:color w:val="333333"/>
        </w:rPr>
        <w:t>侧袋机制</w:t>
      </w:r>
      <w:proofErr w:type="gramEnd"/>
      <w:r>
        <w:rPr>
          <w:rFonts w:ascii="微软雅黑" w:eastAsia="微软雅黑" w:hAnsi="微软雅黑" w:hint="eastAsia"/>
          <w:color w:val="333333"/>
        </w:rPr>
        <w:t>相关内容。托管协议、招募说明书涉及到上述相关内容也已进行相应修订，并在基金招募说明书（更新）中增加启用</w:t>
      </w:r>
      <w:proofErr w:type="gramStart"/>
      <w:r>
        <w:rPr>
          <w:rFonts w:ascii="微软雅黑" w:eastAsia="微软雅黑" w:hAnsi="微软雅黑" w:hint="eastAsia"/>
          <w:color w:val="333333"/>
        </w:rPr>
        <w:t>侧袋机制</w:t>
      </w:r>
      <w:proofErr w:type="gramEnd"/>
      <w:r>
        <w:rPr>
          <w:rFonts w:ascii="微软雅黑" w:eastAsia="微软雅黑" w:hAnsi="微软雅黑" w:hint="eastAsia"/>
          <w:color w:val="333333"/>
        </w:rPr>
        <w:t>的风险揭示内容。</w:t>
      </w:r>
    </w:p>
    <w:p w14:paraId="6F34E838" w14:textId="77777777" w:rsidR="00E928B8" w:rsidRDefault="00D24B67">
      <w:pPr>
        <w:pStyle w:val="ad"/>
        <w:shd w:val="clear" w:color="auto" w:fill="FFFFFF"/>
        <w:spacing w:line="420" w:lineRule="atLeast"/>
        <w:ind w:firstLine="482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三、重要提示</w:t>
      </w:r>
    </w:p>
    <w:p w14:paraId="5BBDA880" w14:textId="77777777" w:rsidR="00E928B8" w:rsidRDefault="00D24B67">
      <w:pPr>
        <w:pStyle w:val="ad"/>
        <w:shd w:val="clear" w:color="auto" w:fill="FFFFFF"/>
        <w:spacing w:line="420" w:lineRule="atLeast"/>
        <w:ind w:firstLine="482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本次相关</w:t>
      </w:r>
      <w:proofErr w:type="gramStart"/>
      <w:r>
        <w:rPr>
          <w:rFonts w:ascii="微软雅黑" w:eastAsia="微软雅黑" w:hAnsi="微软雅黑" w:hint="eastAsia"/>
          <w:color w:val="333333"/>
        </w:rPr>
        <w:t>基金基金</w:t>
      </w:r>
      <w:proofErr w:type="gramEnd"/>
      <w:r>
        <w:rPr>
          <w:rFonts w:ascii="微软雅黑" w:eastAsia="微软雅黑" w:hAnsi="微软雅黑" w:hint="eastAsia"/>
          <w:color w:val="333333"/>
        </w:rPr>
        <w:t>合同、托管协议、招募说明书（更新）和产品资料概要（更新）修订的内容和程序符合有关法律法规和基金合同的规定。本次修订后的基金合同、托管协议、招募说明书（更新）和产品资料概要（更新）将在本公司网站（www.furamc.com）和中国证监会基金电子披露网（http://eid.csrc.gov.cn/fund）披露，供投资者查阅。如有疑问可拨打本公司客服电话（400-685-5600）咨询。</w:t>
      </w:r>
    </w:p>
    <w:p w14:paraId="15F60F98" w14:textId="77777777" w:rsidR="00E928B8" w:rsidRDefault="00D24B67">
      <w:pPr>
        <w:pStyle w:val="ad"/>
        <w:shd w:val="clear" w:color="auto" w:fill="FFFFFF"/>
        <w:spacing w:line="420" w:lineRule="atLeast"/>
        <w:ind w:firstLine="482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四、风险提示</w:t>
      </w:r>
    </w:p>
    <w:p w14:paraId="1BC0EC93" w14:textId="77777777" w:rsidR="00E928B8" w:rsidRDefault="00D24B67">
      <w:pPr>
        <w:pStyle w:val="ad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53407946" w14:textId="77777777" w:rsidR="00E928B8" w:rsidRDefault="00D24B67">
      <w:pPr>
        <w:pStyle w:val="ad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6FE471C2" w14:textId="3D10A24D" w:rsidR="00D24B67" w:rsidRDefault="00D24B67">
      <w:pPr>
        <w:pStyle w:val="ad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</w:p>
    <w:p w14:paraId="422F29E2" w14:textId="77777777" w:rsidR="00D51919" w:rsidRDefault="00D51919">
      <w:pPr>
        <w:pStyle w:val="ad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</w:p>
    <w:p w14:paraId="6B796345" w14:textId="0C428B3E" w:rsidR="00E928B8" w:rsidRDefault="00D24B67">
      <w:pPr>
        <w:pStyle w:val="ad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lastRenderedPageBreak/>
        <w:t>富</w:t>
      </w:r>
      <w:proofErr w:type="gramStart"/>
      <w:r>
        <w:rPr>
          <w:rFonts w:ascii="微软雅黑" w:eastAsia="微软雅黑" w:hAnsi="微软雅黑" w:hint="eastAsia"/>
          <w:color w:val="333333"/>
        </w:rPr>
        <w:t>荣基金</w:t>
      </w:r>
      <w:proofErr w:type="gramEnd"/>
      <w:r>
        <w:rPr>
          <w:rFonts w:ascii="微软雅黑" w:eastAsia="微软雅黑" w:hAnsi="微软雅黑" w:hint="eastAsia"/>
          <w:color w:val="333333"/>
        </w:rPr>
        <w:t>管理有限公司</w:t>
      </w:r>
    </w:p>
    <w:p w14:paraId="2AE23D09" w14:textId="07B44C3D" w:rsidR="00E928B8" w:rsidRDefault="00D24B67">
      <w:pPr>
        <w:pStyle w:val="ad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/>
          <w:color w:val="333333"/>
        </w:rPr>
        <w:t>2021</w:t>
      </w:r>
      <w:r>
        <w:rPr>
          <w:rFonts w:ascii="微软雅黑" w:eastAsia="微软雅黑" w:hAnsi="微软雅黑" w:hint="eastAsia"/>
          <w:color w:val="333333"/>
        </w:rPr>
        <w:t>年</w:t>
      </w:r>
      <w:r w:rsidR="00D51919">
        <w:rPr>
          <w:rFonts w:ascii="微软雅黑" w:eastAsia="微软雅黑" w:hAnsi="微软雅黑"/>
          <w:color w:val="333333"/>
        </w:rPr>
        <w:t>4</w:t>
      </w:r>
      <w:r>
        <w:rPr>
          <w:rFonts w:ascii="微软雅黑" w:eastAsia="微软雅黑" w:hAnsi="微软雅黑" w:hint="eastAsia"/>
          <w:color w:val="333333"/>
        </w:rPr>
        <w:t>月</w:t>
      </w:r>
      <w:r w:rsidR="00D51919">
        <w:rPr>
          <w:rFonts w:ascii="微软雅黑" w:eastAsia="微软雅黑" w:hAnsi="微软雅黑"/>
          <w:color w:val="333333"/>
        </w:rPr>
        <w:t>1</w:t>
      </w:r>
      <w:r w:rsidR="00357F66">
        <w:rPr>
          <w:rFonts w:ascii="微软雅黑" w:eastAsia="微软雅黑" w:hAnsi="微软雅黑"/>
          <w:color w:val="333333"/>
        </w:rPr>
        <w:t>9</w:t>
      </w:r>
      <w:r>
        <w:rPr>
          <w:rFonts w:ascii="微软雅黑" w:eastAsia="微软雅黑" w:hAnsi="微软雅黑" w:hint="eastAsia"/>
          <w:color w:val="333333"/>
        </w:rPr>
        <w:t>日</w:t>
      </w:r>
    </w:p>
    <w:p w14:paraId="0641A647" w14:textId="77777777" w:rsidR="00D24B67" w:rsidRDefault="00D24B67"/>
    <w:p w14:paraId="25EB2A5A" w14:textId="77777777" w:rsidR="00D24B67" w:rsidRDefault="00D24B67"/>
    <w:p w14:paraId="118AA615" w14:textId="77777777" w:rsidR="00D24B67" w:rsidRDefault="00D24B67"/>
    <w:p w14:paraId="44C6BBC0" w14:textId="77777777" w:rsidR="00D24B67" w:rsidRDefault="00D24B67"/>
    <w:p w14:paraId="63EB68EA" w14:textId="77777777" w:rsidR="00D24B67" w:rsidRDefault="00D24B67"/>
    <w:p w14:paraId="71B70BF0" w14:textId="77777777" w:rsidR="00D24B67" w:rsidRDefault="00D24B67"/>
    <w:p w14:paraId="444C5C8F" w14:textId="5924BEC2" w:rsidR="00E928B8" w:rsidRDefault="00D24B67">
      <w:r>
        <w:rPr>
          <w:rFonts w:hint="eastAsia"/>
        </w:rPr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>
        <w:t>11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0"/>
        <w:tblW w:w="8931" w:type="dxa"/>
        <w:tblInd w:w="-34" w:type="dxa"/>
        <w:tblLook w:val="04A0" w:firstRow="1" w:lastRow="0" w:firstColumn="1" w:lastColumn="0" w:noHBand="0" w:noVBand="1"/>
      </w:tblPr>
      <w:tblGrid>
        <w:gridCol w:w="709"/>
        <w:gridCol w:w="4962"/>
        <w:gridCol w:w="1538"/>
        <w:gridCol w:w="1722"/>
      </w:tblGrid>
      <w:tr w:rsidR="00E928B8" w14:paraId="151F5C5E" w14:textId="77777777">
        <w:trPr>
          <w:trHeight w:val="720"/>
        </w:trPr>
        <w:tc>
          <w:tcPr>
            <w:tcW w:w="709" w:type="dxa"/>
          </w:tcPr>
          <w:p w14:paraId="4087AF11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序号</w:t>
            </w:r>
          </w:p>
        </w:tc>
        <w:tc>
          <w:tcPr>
            <w:tcW w:w="4962" w:type="dxa"/>
          </w:tcPr>
          <w:p w14:paraId="30540634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基金全称</w:t>
            </w:r>
          </w:p>
        </w:tc>
        <w:tc>
          <w:tcPr>
            <w:tcW w:w="1538" w:type="dxa"/>
          </w:tcPr>
          <w:p w14:paraId="227EC95E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涉及增加</w:t>
            </w:r>
            <w:proofErr w:type="gramStart"/>
            <w:r>
              <w:rPr>
                <w:rFonts w:asciiTheme="minorEastAsia" w:hAnsiTheme="minorEastAsia" w:cs="Arial" w:hint="eastAsia"/>
                <w:szCs w:val="21"/>
              </w:rPr>
              <w:t>侧袋机制</w:t>
            </w:r>
            <w:proofErr w:type="gramEnd"/>
          </w:p>
        </w:tc>
        <w:tc>
          <w:tcPr>
            <w:tcW w:w="1722" w:type="dxa"/>
          </w:tcPr>
          <w:p w14:paraId="74FFD1C5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涉及增加存托凭证投资</w:t>
            </w:r>
          </w:p>
        </w:tc>
      </w:tr>
      <w:tr w:rsidR="00E928B8" w14:paraId="57C49023" w14:textId="77777777">
        <w:tc>
          <w:tcPr>
            <w:tcW w:w="709" w:type="dxa"/>
          </w:tcPr>
          <w:p w14:paraId="6F2747E7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1</w:t>
            </w:r>
          </w:p>
        </w:tc>
        <w:tc>
          <w:tcPr>
            <w:tcW w:w="4962" w:type="dxa"/>
          </w:tcPr>
          <w:p w14:paraId="50FE6D3E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富荣福</w:t>
            </w:r>
            <w:proofErr w:type="gramStart"/>
            <w:r>
              <w:rPr>
                <w:rFonts w:asciiTheme="minorEastAsia" w:hAnsiTheme="minorEastAsia" w:cs="Arial" w:hint="eastAsia"/>
                <w:szCs w:val="21"/>
              </w:rPr>
              <w:t>鑫</w:t>
            </w:r>
            <w:proofErr w:type="gramEnd"/>
            <w:r>
              <w:rPr>
                <w:rFonts w:asciiTheme="minorEastAsia" w:hAnsiTheme="minorEastAsia" w:cs="Arial" w:hint="eastAsia"/>
                <w:szCs w:val="21"/>
              </w:rPr>
              <w:t>灵活配置混合型证券投资基金</w:t>
            </w:r>
          </w:p>
        </w:tc>
        <w:tc>
          <w:tcPr>
            <w:tcW w:w="1538" w:type="dxa"/>
          </w:tcPr>
          <w:p w14:paraId="4BB1B4F8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否</w:t>
            </w:r>
          </w:p>
        </w:tc>
        <w:tc>
          <w:tcPr>
            <w:tcW w:w="1722" w:type="dxa"/>
          </w:tcPr>
          <w:p w14:paraId="7B7878F0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</w:tr>
      <w:tr w:rsidR="00E928B8" w14:paraId="2C399905" w14:textId="77777777">
        <w:tc>
          <w:tcPr>
            <w:tcW w:w="709" w:type="dxa"/>
          </w:tcPr>
          <w:p w14:paraId="2ADA7FC9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2</w:t>
            </w:r>
          </w:p>
        </w:tc>
        <w:tc>
          <w:tcPr>
            <w:tcW w:w="4962" w:type="dxa"/>
          </w:tcPr>
          <w:p w14:paraId="1B64F92B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proofErr w:type="gramStart"/>
            <w:r>
              <w:rPr>
                <w:rFonts w:asciiTheme="minorEastAsia" w:hAnsiTheme="minorEastAsia" w:cs="Arial" w:hint="eastAsia"/>
                <w:szCs w:val="21"/>
              </w:rPr>
              <w:t>富荣沪深</w:t>
            </w:r>
            <w:proofErr w:type="gramEnd"/>
            <w:r>
              <w:rPr>
                <w:rFonts w:asciiTheme="minorEastAsia" w:hAnsiTheme="minorEastAsia" w:cs="Arial"/>
                <w:szCs w:val="21"/>
              </w:rPr>
              <w:t>300指数增强型证券投资基金</w:t>
            </w:r>
          </w:p>
        </w:tc>
        <w:tc>
          <w:tcPr>
            <w:tcW w:w="1538" w:type="dxa"/>
          </w:tcPr>
          <w:p w14:paraId="0BB7B47A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否</w:t>
            </w:r>
          </w:p>
        </w:tc>
        <w:tc>
          <w:tcPr>
            <w:tcW w:w="1722" w:type="dxa"/>
          </w:tcPr>
          <w:p w14:paraId="2193553C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</w:tr>
      <w:tr w:rsidR="00E928B8" w14:paraId="3B9B4D64" w14:textId="77777777">
        <w:tc>
          <w:tcPr>
            <w:tcW w:w="709" w:type="dxa"/>
          </w:tcPr>
          <w:p w14:paraId="38B00D77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3</w:t>
            </w:r>
          </w:p>
        </w:tc>
        <w:tc>
          <w:tcPr>
            <w:tcW w:w="4962" w:type="dxa"/>
          </w:tcPr>
          <w:p w14:paraId="55014DFE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富荣中证</w:t>
            </w:r>
            <w:r>
              <w:rPr>
                <w:rFonts w:asciiTheme="minorEastAsia" w:hAnsiTheme="minorEastAsia" w:cs="Arial"/>
                <w:szCs w:val="21"/>
              </w:rPr>
              <w:t>500指数增强型证券投资基金</w:t>
            </w:r>
          </w:p>
        </w:tc>
        <w:tc>
          <w:tcPr>
            <w:tcW w:w="1538" w:type="dxa"/>
          </w:tcPr>
          <w:p w14:paraId="2E19F938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否</w:t>
            </w:r>
          </w:p>
        </w:tc>
        <w:tc>
          <w:tcPr>
            <w:tcW w:w="1722" w:type="dxa"/>
          </w:tcPr>
          <w:p w14:paraId="357A9B0F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</w:tr>
      <w:tr w:rsidR="00E928B8" w14:paraId="51B8E5F8" w14:textId="77777777">
        <w:tc>
          <w:tcPr>
            <w:tcW w:w="709" w:type="dxa"/>
          </w:tcPr>
          <w:p w14:paraId="4FF4BEFB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4</w:t>
            </w:r>
          </w:p>
        </w:tc>
        <w:tc>
          <w:tcPr>
            <w:tcW w:w="4962" w:type="dxa"/>
          </w:tcPr>
          <w:p w14:paraId="7B4F9239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富</w:t>
            </w:r>
            <w:proofErr w:type="gramStart"/>
            <w:r>
              <w:rPr>
                <w:rFonts w:asciiTheme="minorEastAsia" w:hAnsiTheme="minorEastAsia" w:cs="Arial" w:hint="eastAsia"/>
                <w:szCs w:val="21"/>
              </w:rPr>
              <w:t>荣价值</w:t>
            </w:r>
            <w:proofErr w:type="gramEnd"/>
            <w:r>
              <w:rPr>
                <w:rFonts w:asciiTheme="minorEastAsia" w:hAnsiTheme="minorEastAsia" w:cs="Arial" w:hint="eastAsia"/>
                <w:szCs w:val="21"/>
              </w:rPr>
              <w:t>精选灵活配置混合型发起式证券投资基金</w:t>
            </w:r>
          </w:p>
        </w:tc>
        <w:tc>
          <w:tcPr>
            <w:tcW w:w="1538" w:type="dxa"/>
          </w:tcPr>
          <w:p w14:paraId="36A99C41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否</w:t>
            </w:r>
          </w:p>
        </w:tc>
        <w:tc>
          <w:tcPr>
            <w:tcW w:w="1722" w:type="dxa"/>
          </w:tcPr>
          <w:p w14:paraId="23DC33B8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</w:tr>
      <w:tr w:rsidR="00E928B8" w14:paraId="27651E03" w14:textId="77777777">
        <w:tc>
          <w:tcPr>
            <w:tcW w:w="709" w:type="dxa"/>
          </w:tcPr>
          <w:p w14:paraId="3D5B49EA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5</w:t>
            </w:r>
          </w:p>
        </w:tc>
        <w:tc>
          <w:tcPr>
            <w:tcW w:w="4962" w:type="dxa"/>
          </w:tcPr>
          <w:p w14:paraId="722F6248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富荣福康混合型证券投资基金</w:t>
            </w:r>
          </w:p>
        </w:tc>
        <w:tc>
          <w:tcPr>
            <w:tcW w:w="1538" w:type="dxa"/>
          </w:tcPr>
          <w:p w14:paraId="1EDA60EA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否</w:t>
            </w:r>
          </w:p>
        </w:tc>
        <w:tc>
          <w:tcPr>
            <w:tcW w:w="1722" w:type="dxa"/>
          </w:tcPr>
          <w:p w14:paraId="3AC4B51E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</w:tr>
      <w:tr w:rsidR="00E928B8" w14:paraId="0BA34E6E" w14:textId="77777777">
        <w:tc>
          <w:tcPr>
            <w:tcW w:w="709" w:type="dxa"/>
          </w:tcPr>
          <w:p w14:paraId="6D3D11F5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6</w:t>
            </w:r>
          </w:p>
        </w:tc>
        <w:tc>
          <w:tcPr>
            <w:tcW w:w="4962" w:type="dxa"/>
          </w:tcPr>
          <w:p w14:paraId="5AE6DF09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富荣福锦混合型证券投资基金</w:t>
            </w:r>
          </w:p>
        </w:tc>
        <w:tc>
          <w:tcPr>
            <w:tcW w:w="1538" w:type="dxa"/>
          </w:tcPr>
          <w:p w14:paraId="66073FFF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否</w:t>
            </w:r>
          </w:p>
        </w:tc>
        <w:tc>
          <w:tcPr>
            <w:tcW w:w="1722" w:type="dxa"/>
          </w:tcPr>
          <w:p w14:paraId="3F2F10C6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</w:tr>
      <w:tr w:rsidR="00E928B8" w14:paraId="304F6B8E" w14:textId="77777777">
        <w:tc>
          <w:tcPr>
            <w:tcW w:w="709" w:type="dxa"/>
          </w:tcPr>
          <w:p w14:paraId="130484EA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7</w:t>
            </w:r>
          </w:p>
        </w:tc>
        <w:tc>
          <w:tcPr>
            <w:tcW w:w="4962" w:type="dxa"/>
          </w:tcPr>
          <w:p w14:paraId="2F6BCC44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富荣富乾债券型证券投资基金</w:t>
            </w:r>
          </w:p>
        </w:tc>
        <w:tc>
          <w:tcPr>
            <w:tcW w:w="1538" w:type="dxa"/>
          </w:tcPr>
          <w:p w14:paraId="55881C93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  <w:tc>
          <w:tcPr>
            <w:tcW w:w="1722" w:type="dxa"/>
          </w:tcPr>
          <w:p w14:paraId="61BD255E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</w:tr>
      <w:tr w:rsidR="00E928B8" w14:paraId="47E838D1" w14:textId="77777777">
        <w:tc>
          <w:tcPr>
            <w:tcW w:w="709" w:type="dxa"/>
          </w:tcPr>
          <w:p w14:paraId="71DDE958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8</w:t>
            </w:r>
          </w:p>
        </w:tc>
        <w:tc>
          <w:tcPr>
            <w:tcW w:w="4962" w:type="dxa"/>
          </w:tcPr>
          <w:p w14:paraId="694DCF1A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富荣富安债券型证券投资基金</w:t>
            </w:r>
          </w:p>
        </w:tc>
        <w:tc>
          <w:tcPr>
            <w:tcW w:w="1538" w:type="dxa"/>
          </w:tcPr>
          <w:p w14:paraId="690EF547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  <w:tc>
          <w:tcPr>
            <w:tcW w:w="1722" w:type="dxa"/>
          </w:tcPr>
          <w:p w14:paraId="7DE4A704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</w:tr>
      <w:tr w:rsidR="00E928B8" w14:paraId="2B8270B0" w14:textId="77777777">
        <w:tc>
          <w:tcPr>
            <w:tcW w:w="709" w:type="dxa"/>
          </w:tcPr>
          <w:p w14:paraId="32D88736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9</w:t>
            </w:r>
          </w:p>
        </w:tc>
        <w:tc>
          <w:tcPr>
            <w:tcW w:w="4962" w:type="dxa"/>
          </w:tcPr>
          <w:p w14:paraId="37C801ED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富荣富</w:t>
            </w:r>
            <w:proofErr w:type="gramStart"/>
            <w:r>
              <w:rPr>
                <w:rFonts w:asciiTheme="minorEastAsia" w:hAnsiTheme="minorEastAsia" w:cs="Arial" w:hint="eastAsia"/>
                <w:szCs w:val="21"/>
              </w:rPr>
              <w:t>祥纯债</w:t>
            </w:r>
            <w:proofErr w:type="gramEnd"/>
            <w:r>
              <w:rPr>
                <w:rFonts w:asciiTheme="minorEastAsia" w:hAnsiTheme="minorEastAsia" w:cs="Arial" w:hint="eastAsia"/>
                <w:szCs w:val="21"/>
              </w:rPr>
              <w:t>债券型证券投资基金</w:t>
            </w:r>
          </w:p>
        </w:tc>
        <w:tc>
          <w:tcPr>
            <w:tcW w:w="1538" w:type="dxa"/>
          </w:tcPr>
          <w:p w14:paraId="0EFEBCBD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  <w:tc>
          <w:tcPr>
            <w:tcW w:w="1722" w:type="dxa"/>
          </w:tcPr>
          <w:p w14:paraId="5D9B57C1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否</w:t>
            </w:r>
          </w:p>
        </w:tc>
      </w:tr>
      <w:tr w:rsidR="00E928B8" w14:paraId="21FDC940" w14:textId="77777777">
        <w:tc>
          <w:tcPr>
            <w:tcW w:w="709" w:type="dxa"/>
          </w:tcPr>
          <w:p w14:paraId="4629E727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10</w:t>
            </w:r>
          </w:p>
        </w:tc>
        <w:tc>
          <w:tcPr>
            <w:tcW w:w="4962" w:type="dxa"/>
          </w:tcPr>
          <w:p w14:paraId="5095AD7E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富荣富开</w:t>
            </w:r>
            <w:r>
              <w:rPr>
                <w:rFonts w:asciiTheme="minorEastAsia" w:hAnsiTheme="minorEastAsia" w:cs="Arial"/>
                <w:szCs w:val="21"/>
              </w:rPr>
              <w:t>1-3年国</w:t>
            </w:r>
            <w:proofErr w:type="gramStart"/>
            <w:r>
              <w:rPr>
                <w:rFonts w:asciiTheme="minorEastAsia" w:hAnsiTheme="minorEastAsia" w:cs="Arial" w:hint="eastAsia"/>
                <w:szCs w:val="21"/>
              </w:rPr>
              <w:t>开债纯债</w:t>
            </w:r>
            <w:proofErr w:type="gramEnd"/>
            <w:r>
              <w:rPr>
                <w:rFonts w:asciiTheme="minorEastAsia" w:hAnsiTheme="minorEastAsia" w:cs="Arial" w:hint="eastAsia"/>
                <w:szCs w:val="21"/>
              </w:rPr>
              <w:t>债券型证券投资基金</w:t>
            </w:r>
          </w:p>
        </w:tc>
        <w:tc>
          <w:tcPr>
            <w:tcW w:w="1538" w:type="dxa"/>
          </w:tcPr>
          <w:p w14:paraId="192D8AF3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  <w:tc>
          <w:tcPr>
            <w:tcW w:w="1722" w:type="dxa"/>
          </w:tcPr>
          <w:p w14:paraId="03384D65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否</w:t>
            </w:r>
          </w:p>
        </w:tc>
      </w:tr>
      <w:tr w:rsidR="00E928B8" w14:paraId="10A7DC75" w14:textId="77777777">
        <w:tc>
          <w:tcPr>
            <w:tcW w:w="709" w:type="dxa"/>
          </w:tcPr>
          <w:p w14:paraId="201E6084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11</w:t>
            </w:r>
          </w:p>
        </w:tc>
        <w:tc>
          <w:tcPr>
            <w:tcW w:w="4962" w:type="dxa"/>
          </w:tcPr>
          <w:p w14:paraId="48695E47" w14:textId="77777777" w:rsidR="00E928B8" w:rsidRDefault="00D24B67">
            <w:pPr>
              <w:spacing w:line="360" w:lineRule="exact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富荣富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恒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两年定期开放债券型证券投资基金</w:t>
            </w:r>
          </w:p>
        </w:tc>
        <w:tc>
          <w:tcPr>
            <w:tcW w:w="1538" w:type="dxa"/>
          </w:tcPr>
          <w:p w14:paraId="0D5297B9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b/>
                <w:szCs w:val="21"/>
              </w:rPr>
            </w:pPr>
            <w:r>
              <w:rPr>
                <w:rFonts w:asciiTheme="minorEastAsia" w:hAnsiTheme="minorEastAsia" w:cs="Arial" w:hint="eastAsia"/>
                <w:szCs w:val="21"/>
              </w:rPr>
              <w:t>是</w:t>
            </w:r>
          </w:p>
        </w:tc>
        <w:tc>
          <w:tcPr>
            <w:tcW w:w="1722" w:type="dxa"/>
          </w:tcPr>
          <w:p w14:paraId="34934416" w14:textId="77777777" w:rsidR="00E928B8" w:rsidRDefault="00D24B67">
            <w:pPr>
              <w:spacing w:line="360" w:lineRule="exact"/>
              <w:jc w:val="center"/>
              <w:rPr>
                <w:rFonts w:asciiTheme="minorEastAsia" w:hAnsiTheme="minorEastAsia" w:cs="Arial"/>
                <w:szCs w:val="21"/>
              </w:rPr>
            </w:pPr>
            <w:r>
              <w:rPr>
                <w:rFonts w:asciiTheme="minorEastAsia" w:hAnsiTheme="minorEastAsia" w:cs="Arial"/>
                <w:szCs w:val="21"/>
              </w:rPr>
              <w:t>否</w:t>
            </w:r>
          </w:p>
        </w:tc>
      </w:tr>
    </w:tbl>
    <w:p w14:paraId="12C12D87" w14:textId="77777777" w:rsidR="00E928B8" w:rsidRDefault="00E928B8"/>
    <w:sectPr w:rsidR="00E928B8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B3A373" w14:textId="77777777" w:rsidR="00556947" w:rsidRDefault="00D24B67">
      <w:r>
        <w:separator/>
      </w:r>
    </w:p>
  </w:endnote>
  <w:endnote w:type="continuationSeparator" w:id="0">
    <w:p w14:paraId="6226E64E" w14:textId="77777777" w:rsidR="00556947" w:rsidRDefault="00D24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2596868"/>
      <w:docPartObj>
        <w:docPartGallery w:val="AutoText"/>
      </w:docPartObj>
    </w:sdtPr>
    <w:sdtEndPr/>
    <w:sdtContent>
      <w:p w14:paraId="7ABDFD69" w14:textId="2491C05D" w:rsidR="00E928B8" w:rsidRDefault="00D24B6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5AFAC3D" w14:textId="77777777" w:rsidR="00E928B8" w:rsidRDefault="00E928B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80265795"/>
      <w:docPartObj>
        <w:docPartGallery w:val="AutoText"/>
      </w:docPartObj>
    </w:sdtPr>
    <w:sdtEndPr/>
    <w:sdtContent>
      <w:p w14:paraId="15880291" w14:textId="0D763E59" w:rsidR="00E928B8" w:rsidRDefault="00D24B6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1DD73AE3" w14:textId="77777777" w:rsidR="00E928B8" w:rsidRDefault="00E928B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FC504A" w14:textId="77777777" w:rsidR="00556947" w:rsidRDefault="00D24B67">
      <w:r>
        <w:separator/>
      </w:r>
    </w:p>
  </w:footnote>
  <w:footnote w:type="continuationSeparator" w:id="0">
    <w:p w14:paraId="471F4A82" w14:textId="77777777" w:rsidR="00556947" w:rsidRDefault="00D24B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3E3C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9B0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3DEE"/>
    <w:rsid w:val="001E7CAD"/>
    <w:rsid w:val="001F125D"/>
    <w:rsid w:val="001F15CB"/>
    <w:rsid w:val="001F533E"/>
    <w:rsid w:val="0021172E"/>
    <w:rsid w:val="00212DA8"/>
    <w:rsid w:val="00221DE2"/>
    <w:rsid w:val="00234298"/>
    <w:rsid w:val="002471D4"/>
    <w:rsid w:val="002514AB"/>
    <w:rsid w:val="00253326"/>
    <w:rsid w:val="002543C4"/>
    <w:rsid w:val="00261CDE"/>
    <w:rsid w:val="0026276F"/>
    <w:rsid w:val="002629CB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D291E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57F66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C73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0684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56947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5973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3B5A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23C1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12C1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51E87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1362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3674E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1CAA"/>
    <w:rsid w:val="00A144A6"/>
    <w:rsid w:val="00A21627"/>
    <w:rsid w:val="00A37A94"/>
    <w:rsid w:val="00A40F8E"/>
    <w:rsid w:val="00A41611"/>
    <w:rsid w:val="00A43843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C5A2B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46761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A52BC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1DA8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24B67"/>
    <w:rsid w:val="00D3262F"/>
    <w:rsid w:val="00D32A5A"/>
    <w:rsid w:val="00D361FE"/>
    <w:rsid w:val="00D36E74"/>
    <w:rsid w:val="00D42F13"/>
    <w:rsid w:val="00D43B3D"/>
    <w:rsid w:val="00D5035D"/>
    <w:rsid w:val="00D5046A"/>
    <w:rsid w:val="00D51919"/>
    <w:rsid w:val="00D5213E"/>
    <w:rsid w:val="00D52A3F"/>
    <w:rsid w:val="00D535B2"/>
    <w:rsid w:val="00D54BA6"/>
    <w:rsid w:val="00D56E0D"/>
    <w:rsid w:val="00D62A71"/>
    <w:rsid w:val="00D70A3B"/>
    <w:rsid w:val="00D72110"/>
    <w:rsid w:val="00D72AAB"/>
    <w:rsid w:val="00D919AF"/>
    <w:rsid w:val="00D929AE"/>
    <w:rsid w:val="00D937BD"/>
    <w:rsid w:val="00D9646F"/>
    <w:rsid w:val="00DA2D7C"/>
    <w:rsid w:val="00DB3D4B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014B"/>
    <w:rsid w:val="00E81A0A"/>
    <w:rsid w:val="00E928B8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373E"/>
    <w:rsid w:val="00F04DC2"/>
    <w:rsid w:val="00F066D9"/>
    <w:rsid w:val="00F25EC3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86818"/>
    <w:rsid w:val="00F9100C"/>
    <w:rsid w:val="00FA0934"/>
    <w:rsid w:val="00FA653D"/>
    <w:rsid w:val="00FB23EE"/>
    <w:rsid w:val="00FB26A6"/>
    <w:rsid w:val="00FC34DF"/>
    <w:rsid w:val="00FD658E"/>
    <w:rsid w:val="00FE0C5A"/>
    <w:rsid w:val="00FE13A2"/>
    <w:rsid w:val="00FE3D16"/>
    <w:rsid w:val="0B2209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9619C9"/>
  <w15:docId w15:val="{4138436F-12F5-4191-B6C1-6C5BEC48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f3">
    <w:name w:val="footnote reference"/>
    <w:basedOn w:val="a0"/>
    <w:uiPriority w:val="99"/>
    <w:semiHidden/>
    <w:unhideWhenUsed/>
    <w:rPr>
      <w:vertAlign w:val="superscript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c">
    <w:name w:val="脚注文本 字符"/>
    <w:basedOn w:val="a0"/>
    <w:link w:val="ab"/>
    <w:uiPriority w:val="99"/>
    <w:semiHidden/>
    <w:rPr>
      <w:sz w:val="18"/>
      <w:szCs w:val="18"/>
    </w:rPr>
  </w:style>
  <w:style w:type="paragraph" w:styleId="af5">
    <w:name w:val="Revision"/>
    <w:hidden/>
    <w:uiPriority w:val="99"/>
    <w:semiHidden/>
    <w:rsid w:val="00D24B67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CFEE812-E58B-4AB5-8531-21EAE9DD4D35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723</Words>
  <Characters>732</Characters>
  <Application>Microsoft Office Word</Application>
  <DocSecurity>0</DocSecurity>
  <Lines>30</Lines>
  <Paragraphs>28</Paragraphs>
  <ScaleCrop>false</ScaleCrop>
  <Company>Microsoft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徐铮</cp:lastModifiedBy>
  <cp:revision>48</cp:revision>
  <cp:lastPrinted>2019-08-07T06:37:00Z</cp:lastPrinted>
  <dcterms:created xsi:type="dcterms:W3CDTF">2019-08-08T01:10:00Z</dcterms:created>
  <dcterms:modified xsi:type="dcterms:W3CDTF">2021-04-16T08:08:00Z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