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787106" w14:textId="77777777" w:rsidR="004C06C5" w:rsidRDefault="00ED474B">
      <w:pPr>
        <w:rPr>
          <w:rFonts w:ascii="Arial Unicode MS" w:hAnsi="Arial Unicode MS" w:cs="Arial"/>
          <w:sz w:val="32"/>
        </w:rPr>
      </w:pPr>
      <w:r>
        <w:rPr>
          <w:rFonts w:ascii="Arial Unicode MS" w:hAnsi="Arial Unicode MS" w:cs="Arial" w:hint="eastAsia"/>
          <w:sz w:val="32"/>
        </w:rPr>
        <w:softHyphen/>
      </w:r>
      <w:r>
        <w:rPr>
          <w:rFonts w:ascii="Arial Unicode MS" w:hAnsi="Arial Unicode MS" w:cs="Arial"/>
          <w:sz w:val="32"/>
        </w:rPr>
        <w:softHyphen/>
      </w:r>
      <w:r>
        <w:rPr>
          <w:rFonts w:ascii="Arial Unicode MS" w:hAnsi="Arial Unicode MS" w:cs="Arial" w:hint="eastAsia"/>
          <w:sz w:val="32"/>
        </w:rPr>
        <w:softHyphen/>
      </w:r>
      <w:r>
        <w:rPr>
          <w:rFonts w:ascii="Arial Unicode MS" w:hAnsi="Arial Unicode MS" w:cs="Arial"/>
          <w:sz w:val="32"/>
        </w:rPr>
        <w:softHyphen/>
      </w:r>
    </w:p>
    <w:p w14:paraId="2B94DAA8" w14:textId="77777777" w:rsidR="004C06C5" w:rsidRDefault="004C06C5">
      <w:pPr>
        <w:rPr>
          <w:rFonts w:ascii="Arial Unicode MS" w:hAnsi="Arial Unicode MS" w:cs="Arial"/>
          <w:sz w:val="32"/>
        </w:rPr>
      </w:pPr>
    </w:p>
    <w:p w14:paraId="089532F4" w14:textId="77777777" w:rsidR="004C06C5" w:rsidRDefault="004C06C5">
      <w:pPr>
        <w:rPr>
          <w:rFonts w:ascii="Arial Unicode MS" w:hAnsi="Arial Unicode MS" w:cs="Arial"/>
          <w:sz w:val="32"/>
        </w:rPr>
      </w:pPr>
    </w:p>
    <w:p w14:paraId="5ED07EE6" w14:textId="77777777" w:rsidR="004C06C5" w:rsidRDefault="004C06C5">
      <w:pPr>
        <w:rPr>
          <w:rFonts w:ascii="Arial Unicode MS" w:hAnsi="Arial Unicode MS" w:cs="Arial"/>
          <w:sz w:val="32"/>
        </w:rPr>
      </w:pPr>
    </w:p>
    <w:p w14:paraId="7FA12999" w14:textId="77777777" w:rsidR="004C06C5" w:rsidRDefault="00ED474B">
      <w:pPr>
        <w:rPr>
          <w:rFonts w:ascii="Arial Unicode MS" w:hAnsi="Arial Unicode MS" w:cs="Arial"/>
          <w:sz w:val="32"/>
        </w:rPr>
      </w:pPr>
      <w:r>
        <w:rPr>
          <w:rFonts w:ascii="Arial Unicode MS" w:hAnsi="Arial Unicode MS" w:cs="Arial" w:hint="eastAsia"/>
          <w:sz w:val="32"/>
        </w:rPr>
        <w:t xml:space="preserve"> </w:t>
      </w:r>
    </w:p>
    <w:p w14:paraId="64C5CFEF" w14:textId="77777777" w:rsidR="004C06C5" w:rsidRDefault="00ED474B">
      <w:pPr>
        <w:spacing w:line="360" w:lineRule="auto"/>
        <w:jc w:val="center"/>
        <w:rPr>
          <w:rFonts w:ascii="Arial Unicode MS" w:hAnsi="Arial Unicode MS" w:cs="Arial"/>
          <w:b/>
          <w:sz w:val="48"/>
          <w:szCs w:val="48"/>
        </w:rPr>
      </w:pPr>
      <w:r>
        <w:rPr>
          <w:rFonts w:ascii="Arial Unicode MS" w:hAnsi="Arial Unicode MS" w:cs="Arial"/>
          <w:b/>
          <w:sz w:val="48"/>
          <w:szCs w:val="48"/>
        </w:rPr>
        <w:t>富</w:t>
      </w:r>
      <w:proofErr w:type="gramStart"/>
      <w:r>
        <w:rPr>
          <w:rFonts w:ascii="Arial Unicode MS" w:hAnsi="Arial Unicode MS" w:cs="Arial"/>
          <w:b/>
          <w:sz w:val="48"/>
          <w:szCs w:val="48"/>
        </w:rPr>
        <w:t>荣富乾债券</w:t>
      </w:r>
      <w:proofErr w:type="gramEnd"/>
      <w:r>
        <w:rPr>
          <w:rFonts w:ascii="Arial Unicode MS" w:hAnsi="Arial Unicode MS" w:cs="Arial"/>
          <w:b/>
          <w:sz w:val="48"/>
          <w:szCs w:val="48"/>
        </w:rPr>
        <w:t>型证券投资基金</w:t>
      </w:r>
    </w:p>
    <w:p w14:paraId="13C6FFAF" w14:textId="77777777" w:rsidR="004C06C5" w:rsidRDefault="00ED474B">
      <w:pPr>
        <w:spacing w:line="360" w:lineRule="auto"/>
        <w:jc w:val="center"/>
        <w:rPr>
          <w:rFonts w:ascii="Arial Unicode MS" w:hAnsi="Arial Unicode MS" w:cs="Arial"/>
          <w:b/>
          <w:sz w:val="48"/>
          <w:szCs w:val="48"/>
        </w:rPr>
      </w:pPr>
      <w:r>
        <w:rPr>
          <w:rFonts w:ascii="Arial Unicode MS" w:hAnsi="Arial Unicode MS" w:cs="Arial" w:hint="eastAsia"/>
          <w:b/>
          <w:sz w:val="48"/>
          <w:szCs w:val="48"/>
        </w:rPr>
        <w:t>更新的</w:t>
      </w:r>
      <w:r>
        <w:rPr>
          <w:rFonts w:ascii="Arial Unicode MS" w:hAnsi="Arial Unicode MS" w:cs="Arial"/>
          <w:b/>
          <w:sz w:val="48"/>
          <w:szCs w:val="48"/>
        </w:rPr>
        <w:t>招募说明书</w:t>
      </w:r>
    </w:p>
    <w:p w14:paraId="544B99B7" w14:textId="559BCACE" w:rsidR="004C06C5" w:rsidRDefault="00ED474B">
      <w:pPr>
        <w:spacing w:line="360" w:lineRule="auto"/>
        <w:jc w:val="center"/>
        <w:rPr>
          <w:rFonts w:ascii="宋体" w:hAnsi="宋体" w:cs="Arial"/>
          <w:b/>
          <w:sz w:val="48"/>
          <w:szCs w:val="48"/>
        </w:rPr>
      </w:pPr>
      <w:r>
        <w:rPr>
          <w:rFonts w:ascii="宋体" w:hAnsi="宋体" w:cs="Arial" w:hint="eastAsia"/>
          <w:b/>
          <w:sz w:val="48"/>
          <w:szCs w:val="48"/>
        </w:rPr>
        <w:t>（20</w:t>
      </w:r>
      <w:r>
        <w:rPr>
          <w:rFonts w:ascii="宋体" w:hAnsi="宋体" w:cs="Arial"/>
          <w:b/>
          <w:sz w:val="48"/>
          <w:szCs w:val="48"/>
        </w:rPr>
        <w:t>20</w:t>
      </w:r>
      <w:r>
        <w:rPr>
          <w:rFonts w:ascii="宋体" w:hAnsi="宋体" w:cs="Arial" w:hint="eastAsia"/>
          <w:b/>
          <w:sz w:val="48"/>
          <w:szCs w:val="48"/>
        </w:rPr>
        <w:t>年</w:t>
      </w:r>
      <w:r w:rsidR="00FA67CC">
        <w:rPr>
          <w:rFonts w:ascii="宋体" w:hAnsi="宋体" w:cs="Arial" w:hint="eastAsia"/>
          <w:b/>
          <w:sz w:val="48"/>
          <w:szCs w:val="48"/>
        </w:rPr>
        <w:t>第</w:t>
      </w:r>
      <w:r w:rsidR="00FA67CC">
        <w:rPr>
          <w:rFonts w:ascii="宋体" w:hAnsi="宋体" w:cs="Arial"/>
          <w:b/>
          <w:sz w:val="48"/>
          <w:szCs w:val="48"/>
        </w:rPr>
        <w:t>3</w:t>
      </w:r>
      <w:r>
        <w:rPr>
          <w:rFonts w:ascii="宋体" w:hAnsi="宋体" w:cs="Arial" w:hint="eastAsia"/>
          <w:b/>
          <w:sz w:val="48"/>
          <w:szCs w:val="48"/>
        </w:rPr>
        <w:t>号）</w:t>
      </w:r>
    </w:p>
    <w:p w14:paraId="7354E3B5" w14:textId="77777777" w:rsidR="004C06C5" w:rsidRDefault="004C06C5">
      <w:pPr>
        <w:spacing w:line="360" w:lineRule="auto"/>
        <w:jc w:val="center"/>
        <w:rPr>
          <w:rFonts w:ascii="Arial Unicode MS" w:hAnsi="Arial Unicode MS" w:cs="Arial"/>
          <w:b/>
          <w:sz w:val="48"/>
          <w:szCs w:val="48"/>
        </w:rPr>
      </w:pPr>
    </w:p>
    <w:p w14:paraId="1AB09BFB" w14:textId="77777777" w:rsidR="004C06C5" w:rsidRDefault="004C06C5">
      <w:pPr>
        <w:jc w:val="center"/>
        <w:rPr>
          <w:rFonts w:ascii="Arial Unicode MS" w:hAnsi="Arial Unicode MS" w:cs="Arial"/>
          <w:b/>
          <w:sz w:val="36"/>
          <w:szCs w:val="36"/>
        </w:rPr>
      </w:pPr>
    </w:p>
    <w:p w14:paraId="045C9E2A" w14:textId="77777777" w:rsidR="004C06C5" w:rsidRDefault="004C06C5">
      <w:pPr>
        <w:jc w:val="center"/>
        <w:rPr>
          <w:rFonts w:ascii="Arial Unicode MS" w:hAnsi="Arial Unicode MS" w:cs="Arial"/>
          <w:b/>
          <w:sz w:val="36"/>
          <w:szCs w:val="36"/>
        </w:rPr>
      </w:pPr>
    </w:p>
    <w:p w14:paraId="702C6AA6" w14:textId="77777777" w:rsidR="004C06C5" w:rsidRDefault="004C06C5">
      <w:pPr>
        <w:jc w:val="center"/>
        <w:rPr>
          <w:rFonts w:ascii="Arial Unicode MS" w:hAnsi="Arial Unicode MS" w:cs="Arial"/>
          <w:b/>
          <w:sz w:val="36"/>
          <w:szCs w:val="36"/>
        </w:rPr>
      </w:pPr>
    </w:p>
    <w:p w14:paraId="730467C0" w14:textId="77777777" w:rsidR="004C06C5" w:rsidRDefault="004C06C5">
      <w:pPr>
        <w:jc w:val="center"/>
        <w:rPr>
          <w:rFonts w:ascii="Arial Unicode MS" w:hAnsi="Arial Unicode MS" w:cs="Arial"/>
          <w:sz w:val="36"/>
          <w:szCs w:val="36"/>
        </w:rPr>
      </w:pPr>
    </w:p>
    <w:p w14:paraId="0B0D1DED" w14:textId="77777777" w:rsidR="004C06C5" w:rsidRDefault="004C06C5">
      <w:pPr>
        <w:jc w:val="center"/>
        <w:rPr>
          <w:rFonts w:ascii="Arial Unicode MS" w:hAnsi="Arial Unicode MS" w:cs="Arial"/>
          <w:sz w:val="36"/>
          <w:szCs w:val="36"/>
        </w:rPr>
      </w:pPr>
    </w:p>
    <w:p w14:paraId="1141B33D" w14:textId="77777777" w:rsidR="004C06C5" w:rsidRDefault="004C06C5">
      <w:pPr>
        <w:rPr>
          <w:rFonts w:ascii="Arial Unicode MS" w:hAnsi="Arial Unicode MS" w:cs="Arial"/>
          <w:sz w:val="36"/>
          <w:szCs w:val="36"/>
        </w:rPr>
      </w:pPr>
    </w:p>
    <w:p w14:paraId="2085F019" w14:textId="77777777" w:rsidR="004C06C5" w:rsidRDefault="00ED474B">
      <w:pPr>
        <w:spacing w:line="360" w:lineRule="auto"/>
        <w:jc w:val="center"/>
        <w:rPr>
          <w:rFonts w:ascii="Arial Unicode MS" w:hAnsi="Arial Unicode MS" w:cs="Arial"/>
          <w:b/>
          <w:sz w:val="36"/>
          <w:szCs w:val="36"/>
        </w:rPr>
      </w:pPr>
      <w:r>
        <w:rPr>
          <w:rFonts w:ascii="Arial Unicode MS" w:hAnsi="Arial Unicode MS" w:cs="Arial"/>
          <w:b/>
          <w:sz w:val="36"/>
          <w:szCs w:val="36"/>
        </w:rPr>
        <w:t>基金管理人：富荣基金管理有限公司</w:t>
      </w:r>
    </w:p>
    <w:p w14:paraId="4D58A6C1" w14:textId="77777777" w:rsidR="004C06C5" w:rsidRDefault="00ED474B">
      <w:pPr>
        <w:spacing w:line="360" w:lineRule="auto"/>
        <w:jc w:val="center"/>
        <w:rPr>
          <w:rFonts w:ascii="Arial Unicode MS" w:hAnsi="Arial Unicode MS" w:cs="Arial"/>
          <w:b/>
          <w:bCs/>
          <w:sz w:val="36"/>
          <w:szCs w:val="36"/>
        </w:rPr>
      </w:pPr>
      <w:r>
        <w:rPr>
          <w:rFonts w:ascii="Arial Unicode MS" w:hAnsi="Arial Unicode MS" w:cs="Arial"/>
          <w:b/>
          <w:sz w:val="36"/>
          <w:szCs w:val="36"/>
        </w:rPr>
        <w:t>基金托管人：</w:t>
      </w:r>
      <w:r>
        <w:rPr>
          <w:rFonts w:ascii="Arial Unicode MS" w:hAnsi="Arial Unicode MS" w:cs="Arial" w:hint="eastAsia"/>
          <w:b/>
          <w:sz w:val="36"/>
          <w:szCs w:val="36"/>
        </w:rPr>
        <w:t>上海浦东发展银行股份有限公司</w:t>
      </w:r>
    </w:p>
    <w:p w14:paraId="5D021261" w14:textId="77777777" w:rsidR="004C06C5" w:rsidRDefault="00ED474B">
      <w:pPr>
        <w:tabs>
          <w:tab w:val="left" w:pos="7140"/>
        </w:tabs>
        <w:rPr>
          <w:rFonts w:ascii="Arial Unicode MS" w:hAnsi="Arial Unicode MS" w:cs="Arial"/>
          <w:sz w:val="36"/>
          <w:szCs w:val="36"/>
        </w:rPr>
      </w:pPr>
      <w:r>
        <w:rPr>
          <w:rFonts w:ascii="Arial Unicode MS" w:hAnsi="Arial Unicode MS" w:cs="Arial"/>
          <w:sz w:val="36"/>
          <w:szCs w:val="36"/>
        </w:rPr>
        <w:tab/>
      </w:r>
    </w:p>
    <w:p w14:paraId="3387EC08" w14:textId="77777777" w:rsidR="004C06C5" w:rsidRDefault="004C06C5">
      <w:pPr>
        <w:rPr>
          <w:rFonts w:ascii="Arial Unicode MS" w:hAnsi="Arial Unicode MS" w:cs="Arial"/>
          <w:sz w:val="36"/>
          <w:szCs w:val="36"/>
        </w:rPr>
      </w:pPr>
    </w:p>
    <w:p w14:paraId="0076ABC1" w14:textId="77777777" w:rsidR="004C06C5" w:rsidRDefault="004C06C5">
      <w:pPr>
        <w:rPr>
          <w:rFonts w:ascii="Arial Unicode MS" w:hAnsi="Arial Unicode MS" w:cs="Arial"/>
          <w:sz w:val="36"/>
          <w:szCs w:val="36"/>
        </w:rPr>
        <w:sectPr w:rsidR="004C06C5">
          <w:headerReference w:type="default" r:id="rId10"/>
          <w:headerReference w:type="first" r:id="rId11"/>
          <w:footerReference w:type="first" r:id="rId12"/>
          <w:pgSz w:w="11906" w:h="16838"/>
          <w:pgMar w:top="1440" w:right="1800" w:bottom="1440" w:left="1800" w:header="851" w:footer="992" w:gutter="0"/>
          <w:cols w:space="720"/>
          <w:titlePg/>
          <w:docGrid w:linePitch="312"/>
        </w:sectPr>
      </w:pPr>
    </w:p>
    <w:p w14:paraId="63A7AB1B" w14:textId="77777777" w:rsidR="004C06C5" w:rsidRDefault="00ED474B">
      <w:pPr>
        <w:jc w:val="center"/>
        <w:rPr>
          <w:rFonts w:ascii="Arial Unicode MS" w:hAnsi="Arial Unicode MS" w:cs="Arial"/>
          <w:b/>
          <w:bCs/>
          <w:sz w:val="28"/>
          <w:szCs w:val="28"/>
        </w:rPr>
      </w:pPr>
      <w:bookmarkStart w:id="0" w:name="_Toc520207185"/>
      <w:bookmarkStart w:id="1" w:name="_Toc1464054"/>
      <w:r>
        <w:rPr>
          <w:rFonts w:ascii="Arial Unicode MS" w:hAnsi="Arial Unicode MS" w:cs="Arial"/>
          <w:b/>
          <w:bCs/>
          <w:sz w:val="28"/>
          <w:szCs w:val="28"/>
        </w:rPr>
        <w:lastRenderedPageBreak/>
        <w:t>【重要提示】</w:t>
      </w:r>
      <w:bookmarkEnd w:id="0"/>
      <w:bookmarkEnd w:id="1"/>
    </w:p>
    <w:p w14:paraId="325C1A28" w14:textId="77777777" w:rsidR="004C06C5" w:rsidRDefault="004C06C5">
      <w:pPr>
        <w:pStyle w:val="11"/>
        <w:snapToGrid w:val="0"/>
        <w:spacing w:before="0" w:after="0" w:line="360" w:lineRule="auto"/>
        <w:ind w:firstLineChars="50" w:firstLine="120"/>
      </w:pPr>
    </w:p>
    <w:p w14:paraId="12642C54" w14:textId="77777777"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szCs w:val="21"/>
        </w:rPr>
        <w:t>、本基金根据</w:t>
      </w:r>
      <w:r>
        <w:rPr>
          <w:rFonts w:ascii="Arial Unicode MS" w:hAnsi="Arial Unicode MS" w:cs="Arial" w:hint="eastAsia"/>
          <w:szCs w:val="21"/>
        </w:rPr>
        <w:t>2017</w:t>
      </w:r>
      <w:r>
        <w:rPr>
          <w:rFonts w:ascii="Arial Unicode MS" w:hAnsi="Arial Unicode MS" w:cs="Arial"/>
          <w:szCs w:val="21"/>
        </w:rPr>
        <w:t>年</w:t>
      </w:r>
      <w:r>
        <w:rPr>
          <w:rFonts w:ascii="Arial Unicode MS" w:hAnsi="Arial Unicode MS" w:cs="Arial" w:hint="eastAsia"/>
          <w:szCs w:val="21"/>
        </w:rPr>
        <w:t>5</w:t>
      </w:r>
      <w:r>
        <w:rPr>
          <w:rFonts w:ascii="Arial Unicode MS" w:hAnsi="Arial Unicode MS" w:cs="Arial"/>
          <w:szCs w:val="21"/>
        </w:rPr>
        <w:t>月</w:t>
      </w:r>
      <w:r>
        <w:rPr>
          <w:rFonts w:ascii="Arial Unicode MS" w:hAnsi="Arial Unicode MS" w:cs="Arial" w:hint="eastAsia"/>
          <w:szCs w:val="21"/>
        </w:rPr>
        <w:t>15</w:t>
      </w:r>
      <w:r>
        <w:rPr>
          <w:rFonts w:ascii="Arial Unicode MS" w:hAnsi="Arial Unicode MS" w:cs="Arial"/>
          <w:szCs w:val="21"/>
        </w:rPr>
        <w:t>日中国证券监督管理委员会（以下简称</w:t>
      </w:r>
      <w:r>
        <w:rPr>
          <w:rFonts w:ascii="Arial Unicode MS" w:hAnsi="Arial Unicode MS" w:cs="Arial" w:hint="eastAsia"/>
          <w:szCs w:val="21"/>
        </w:rPr>
        <w:t>“</w:t>
      </w:r>
      <w:r>
        <w:rPr>
          <w:rFonts w:ascii="Arial Unicode MS" w:hAnsi="Arial Unicode MS" w:cs="Arial"/>
          <w:szCs w:val="21"/>
        </w:rPr>
        <w:t>中国证监会</w:t>
      </w:r>
      <w:r>
        <w:rPr>
          <w:rFonts w:ascii="Arial Unicode MS" w:hAnsi="Arial Unicode MS" w:cs="Arial" w:hint="eastAsia"/>
          <w:szCs w:val="21"/>
        </w:rPr>
        <w:t>”</w:t>
      </w:r>
      <w:r>
        <w:rPr>
          <w:rFonts w:ascii="Arial Unicode MS" w:hAnsi="Arial Unicode MS" w:cs="Arial"/>
          <w:szCs w:val="21"/>
        </w:rPr>
        <w:t>）《关于</w:t>
      </w:r>
      <w:r>
        <w:rPr>
          <w:rFonts w:ascii="Arial Unicode MS" w:hAnsi="Arial Unicode MS" w:cs="Arial" w:hint="eastAsia"/>
          <w:szCs w:val="21"/>
        </w:rPr>
        <w:t>准予</w:t>
      </w:r>
      <w:r>
        <w:rPr>
          <w:rFonts w:ascii="Arial Unicode MS" w:hAnsi="Arial Unicode MS" w:cs="Arial"/>
          <w:szCs w:val="21"/>
        </w:rPr>
        <w:t>富荣富乾债券型证券投资基金</w:t>
      </w:r>
      <w:r>
        <w:rPr>
          <w:rFonts w:ascii="Arial Unicode MS" w:hAnsi="Arial Unicode MS" w:cs="Arial" w:hint="eastAsia"/>
          <w:szCs w:val="21"/>
        </w:rPr>
        <w:t>注册</w:t>
      </w:r>
      <w:r>
        <w:rPr>
          <w:rFonts w:ascii="Arial Unicode MS" w:hAnsi="Arial Unicode MS" w:cs="Arial"/>
          <w:szCs w:val="21"/>
        </w:rPr>
        <w:t>的批复》（证监许可</w:t>
      </w:r>
      <w:r>
        <w:rPr>
          <w:rFonts w:ascii="Arial Unicode MS" w:hAnsi="Arial Unicode MS" w:cs="Arial" w:hint="eastAsia"/>
          <w:szCs w:val="21"/>
        </w:rPr>
        <w:t>[2017]717</w:t>
      </w:r>
      <w:r>
        <w:rPr>
          <w:rFonts w:ascii="Arial Unicode MS" w:hAnsi="Arial Unicode MS" w:cs="Arial" w:hint="eastAsia"/>
          <w:szCs w:val="21"/>
        </w:rPr>
        <w:t>号</w:t>
      </w:r>
      <w:r>
        <w:rPr>
          <w:rFonts w:ascii="Arial Unicode MS" w:hAnsi="Arial Unicode MS" w:cs="Arial"/>
          <w:szCs w:val="21"/>
        </w:rPr>
        <w:t>）进行募集。</w:t>
      </w:r>
      <w:r>
        <w:rPr>
          <w:rFonts w:ascii="Arial Unicode MS" w:hAnsi="Arial Unicode MS" w:cs="Arial" w:hint="eastAsia"/>
          <w:szCs w:val="21"/>
        </w:rPr>
        <w:t>本基金于</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日正式生效。</w:t>
      </w:r>
    </w:p>
    <w:p w14:paraId="2805440C" w14:textId="77777777"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、基金管理人保证招募说明书的内容真实、准确、完整。本招募说明书经中国证监会注册，但中国证监会对本基金募集的注册，并不表明其对本基金的</w:t>
      </w:r>
      <w:r>
        <w:rPr>
          <w:rFonts w:ascii="Arial Unicode MS" w:hAnsi="Arial Unicode MS" w:cs="Arial" w:hint="eastAsia"/>
          <w:szCs w:val="21"/>
        </w:rPr>
        <w:t>收益、</w:t>
      </w:r>
      <w:r>
        <w:rPr>
          <w:rFonts w:ascii="Arial Unicode MS" w:hAnsi="Arial Unicode MS" w:cs="Arial"/>
          <w:szCs w:val="21"/>
        </w:rPr>
        <w:t>投资价值和市场前景</w:t>
      </w:r>
      <w:proofErr w:type="gramStart"/>
      <w:r>
        <w:rPr>
          <w:rFonts w:ascii="Arial Unicode MS" w:hAnsi="Arial Unicode MS" w:cs="Arial"/>
          <w:szCs w:val="21"/>
        </w:rPr>
        <w:t>作出</w:t>
      </w:r>
      <w:proofErr w:type="gramEnd"/>
      <w:r>
        <w:rPr>
          <w:rFonts w:ascii="Arial Unicode MS" w:hAnsi="Arial Unicode MS" w:cs="Arial"/>
          <w:szCs w:val="21"/>
        </w:rPr>
        <w:t>实质性判断或保证，也不表明投资于本基金没有风险。</w:t>
      </w:r>
    </w:p>
    <w:p w14:paraId="6D10364E" w14:textId="77777777"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Arial Unicode MS" w:hAnsi="Arial Unicode MS" w:cs="Arial"/>
          <w:szCs w:val="21"/>
        </w:rPr>
        <w:t>作出</w:t>
      </w:r>
      <w:proofErr w:type="gramEnd"/>
      <w:r>
        <w:rPr>
          <w:rFonts w:ascii="Arial Unicode MS" w:hAnsi="Arial Unicode MS" w:cs="Arial"/>
          <w:szCs w:val="21"/>
        </w:rPr>
        <w:t>独立决策。基金管理人提醒投资者基金投资的</w:t>
      </w:r>
      <w:r>
        <w:rPr>
          <w:rFonts w:ascii="Arial Unicode MS" w:hAnsi="Arial Unicode MS" w:cs="Arial" w:hint="eastAsia"/>
          <w:szCs w:val="21"/>
        </w:rPr>
        <w:t>“</w:t>
      </w:r>
      <w:r>
        <w:rPr>
          <w:rFonts w:ascii="Arial Unicode MS" w:hAnsi="Arial Unicode MS" w:cs="Arial"/>
          <w:szCs w:val="21"/>
        </w:rPr>
        <w:t>买者自负</w:t>
      </w:r>
      <w:r>
        <w:rPr>
          <w:rFonts w:ascii="Arial Unicode MS" w:hAnsi="Arial Unicode MS" w:cs="Arial" w:hint="eastAsia"/>
          <w:szCs w:val="21"/>
        </w:rPr>
        <w:t>”</w:t>
      </w:r>
      <w:r>
        <w:rPr>
          <w:rFonts w:ascii="Arial Unicode MS" w:hAnsi="Arial Unicode MS" w:cs="Arial"/>
          <w:szCs w:val="21"/>
        </w:rPr>
        <w:t>原则，在投资者</w:t>
      </w:r>
      <w:proofErr w:type="gramStart"/>
      <w:r>
        <w:rPr>
          <w:rFonts w:ascii="Arial Unicode MS" w:hAnsi="Arial Unicode MS" w:cs="Arial"/>
          <w:szCs w:val="21"/>
        </w:rPr>
        <w:t>作出</w:t>
      </w:r>
      <w:proofErr w:type="gramEnd"/>
      <w:r>
        <w:rPr>
          <w:rFonts w:ascii="Arial Unicode MS" w:hAnsi="Arial Unicode MS" w:cs="Arial"/>
          <w:szCs w:val="21"/>
        </w:rPr>
        <w:t>投资决策后，基金运营状况与基金净值变化导致的投资风险，由投资者自行负担。</w:t>
      </w:r>
    </w:p>
    <w:p w14:paraId="22004626" w14:textId="77777777"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szCs w:val="21"/>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7F8FE45C" w14:textId="77777777" w:rsidR="004C06C5" w:rsidRDefault="00ED474B">
      <w:pPr>
        <w:autoSpaceDE w:val="0"/>
        <w:autoSpaceDN w:val="0"/>
        <w:adjustRightInd w:val="0"/>
        <w:snapToGrid w:val="0"/>
        <w:spacing w:line="360" w:lineRule="auto"/>
        <w:ind w:firstLineChars="250" w:firstLine="525"/>
        <w:rPr>
          <w:rFonts w:ascii="Arial Unicode MS" w:hAnsi="Arial Unicode MS" w:cs="Arial"/>
          <w:szCs w:val="21"/>
        </w:rPr>
      </w:pPr>
      <w:r>
        <w:rPr>
          <w:rFonts w:ascii="Arial Unicode MS" w:hAnsi="Arial Unicode MS" w:cs="Arial"/>
          <w:szCs w:val="21"/>
        </w:rPr>
        <w:t>本基金投资中小企业私募债</w:t>
      </w:r>
      <w:r>
        <w:rPr>
          <w:rFonts w:ascii="Arial Unicode MS" w:hAnsi="Arial Unicode MS" w:cs="Arial" w:hint="eastAsia"/>
          <w:szCs w:val="21"/>
        </w:rPr>
        <w:t>券</w:t>
      </w:r>
      <w:r>
        <w:rPr>
          <w:rFonts w:ascii="Arial Unicode MS" w:hAnsi="Arial Unicode MS" w:cs="Arial"/>
          <w:szCs w:val="21"/>
        </w:rPr>
        <w:t>，中小企业私募债</w:t>
      </w:r>
      <w:r>
        <w:rPr>
          <w:rFonts w:ascii="Arial Unicode MS" w:hAnsi="Arial Unicode MS" w:cs="Arial" w:hint="eastAsia"/>
          <w:szCs w:val="21"/>
        </w:rPr>
        <w:t>券</w:t>
      </w:r>
      <w:r>
        <w:rPr>
          <w:rFonts w:ascii="Arial Unicode MS" w:hAnsi="Arial Unicode MS" w:cs="Arial"/>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Pr>
          <w:rFonts w:ascii="Arial Unicode MS" w:hAnsi="Arial Unicode MS" w:cs="Arial" w:hint="eastAsia"/>
          <w:szCs w:val="21"/>
        </w:rPr>
        <w:t>券</w:t>
      </w:r>
      <w:r>
        <w:rPr>
          <w:rFonts w:ascii="Arial Unicode MS" w:hAnsi="Arial Unicode MS" w:cs="Arial"/>
          <w:szCs w:val="21"/>
        </w:rPr>
        <w:t>，由此可能给基金净值带来更大的负面影响和损失。</w:t>
      </w:r>
    </w:p>
    <w:p w14:paraId="4E38A557" w14:textId="77777777"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5</w:t>
      </w:r>
      <w:r>
        <w:rPr>
          <w:rFonts w:ascii="Arial Unicode MS" w:hAnsi="Arial Unicode MS" w:cs="Arial"/>
          <w:szCs w:val="21"/>
        </w:rPr>
        <w:t>、</w:t>
      </w:r>
      <w:r>
        <w:rPr>
          <w:rFonts w:ascii="Arial Unicode MS" w:hAnsi="Arial Unicode MS" w:cs="Arial" w:hint="eastAsia"/>
          <w:bCs/>
          <w:szCs w:val="21"/>
        </w:rPr>
        <w:t>本基金为债券型基金，预期收益和预期风险高于货币市场基金，但低于混合型基金、股票型基金，属于中低风险</w:t>
      </w:r>
      <w:r>
        <w:rPr>
          <w:rFonts w:ascii="Arial Unicode MS" w:hAnsi="Arial Unicode MS" w:cs="Arial" w:hint="eastAsia"/>
          <w:bCs/>
          <w:szCs w:val="21"/>
        </w:rPr>
        <w:t>/</w:t>
      </w:r>
      <w:r>
        <w:rPr>
          <w:rFonts w:ascii="Arial Unicode MS" w:hAnsi="Arial Unicode MS" w:cs="Arial" w:hint="eastAsia"/>
          <w:bCs/>
          <w:szCs w:val="21"/>
        </w:rPr>
        <w:t>收益的产品。</w:t>
      </w:r>
    </w:p>
    <w:p w14:paraId="6E2BE7A0" w14:textId="77777777"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6</w:t>
      </w:r>
      <w:r>
        <w:rPr>
          <w:rFonts w:ascii="Arial Unicode MS" w:hAnsi="Arial Unicode MS" w:cs="Arial"/>
          <w:szCs w:val="21"/>
        </w:rPr>
        <w:t>、</w:t>
      </w:r>
      <w:r>
        <w:rPr>
          <w:rFonts w:ascii="Arial Unicode MS" w:hAnsi="Arial Unicode MS" w:cs="Arial" w:hint="eastAsia"/>
          <w:szCs w:val="21"/>
        </w:rPr>
        <w:t>本基金的投资范围主要为具有良好流动性的金融工具，包括国债、国债期货、地方政府债</w:t>
      </w:r>
      <w:r>
        <w:rPr>
          <w:rFonts w:ascii="Arial Unicode MS" w:hAnsi="Arial Unicode MS" w:cs="Arial"/>
          <w:szCs w:val="21"/>
        </w:rPr>
        <w:t>、</w:t>
      </w:r>
      <w:r>
        <w:rPr>
          <w:rFonts w:ascii="Arial Unicode MS" w:hAnsi="Arial Unicode MS" w:cs="Arial" w:hint="eastAsia"/>
          <w:szCs w:val="21"/>
        </w:rPr>
        <w:t>金融债、企业债、公司债、央行票据、中期票据、短期融资</w:t>
      </w:r>
      <w:proofErr w:type="gramStart"/>
      <w:r>
        <w:rPr>
          <w:rFonts w:ascii="Arial Unicode MS" w:hAnsi="Arial Unicode MS" w:cs="Arial" w:hint="eastAsia"/>
          <w:szCs w:val="21"/>
        </w:rPr>
        <w:t>券</w:t>
      </w:r>
      <w:proofErr w:type="gramEnd"/>
      <w:r>
        <w:rPr>
          <w:rFonts w:ascii="Arial Unicode MS" w:hAnsi="Arial Unicode MS" w:cs="Arial" w:hint="eastAsia"/>
          <w:szCs w:val="21"/>
        </w:rPr>
        <w:t>、中小企业私募债、资产支持证券、次级债、可分离交易可转债</w:t>
      </w:r>
      <w:proofErr w:type="gramStart"/>
      <w:r>
        <w:rPr>
          <w:rFonts w:ascii="Arial Unicode MS" w:hAnsi="Arial Unicode MS" w:cs="Arial" w:hint="eastAsia"/>
          <w:szCs w:val="21"/>
        </w:rPr>
        <w:t>的纯债部分</w:t>
      </w:r>
      <w:proofErr w:type="gramEnd"/>
      <w:r>
        <w:rPr>
          <w:rFonts w:ascii="Arial Unicode MS" w:hAnsi="Arial Unicode MS" w:cs="Arial" w:hint="eastAsia"/>
          <w:szCs w:val="21"/>
        </w:rPr>
        <w:t>、债券回购、银行存款等法律法规或中国证监会允许基金投资的其他金融工具（但须符合中国证监会的相关规定）。</w:t>
      </w:r>
    </w:p>
    <w:p w14:paraId="2561C9FB" w14:textId="77777777"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szCs w:val="21"/>
        </w:rPr>
        <w:t>纯债部分</w:t>
      </w:r>
      <w:proofErr w:type="gramEnd"/>
      <w:r>
        <w:rPr>
          <w:rFonts w:ascii="Arial Unicode MS" w:hAnsi="Arial Unicode MS" w:cs="Arial" w:hint="eastAsia"/>
          <w:szCs w:val="21"/>
        </w:rPr>
        <w:t>除外）、可交换债券。</w:t>
      </w:r>
    </w:p>
    <w:p w14:paraId="338E688B" w14:textId="77777777" w:rsidR="004C06C5" w:rsidRDefault="00ED474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7</w:t>
      </w:r>
      <w:r>
        <w:rPr>
          <w:rFonts w:ascii="Arial Unicode MS" w:hAnsi="Arial Unicode MS" w:cs="Arial"/>
          <w:szCs w:val="21"/>
        </w:rPr>
        <w:t>、</w:t>
      </w:r>
      <w:r>
        <w:rPr>
          <w:rFonts w:ascii="Arial Unicode MS" w:hAnsi="Arial Unicode MS" w:cs="Arial" w:hint="eastAsia"/>
          <w:szCs w:val="21"/>
        </w:rPr>
        <w:t>基金的投资组合比例为：本基金对债券的投资比例不低于基金资产的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；对权益</w:t>
      </w:r>
      <w:r>
        <w:rPr>
          <w:rFonts w:ascii="Arial Unicode MS" w:hAnsi="Arial Unicode MS" w:cs="Arial" w:hint="eastAsia"/>
          <w:szCs w:val="21"/>
        </w:rPr>
        <w:lastRenderedPageBreak/>
        <w:t>类资产的投资比例不超过基金资产的</w:t>
      </w:r>
      <w:r>
        <w:rPr>
          <w:rFonts w:ascii="Arial Unicode MS" w:hAnsi="Arial Unicode MS" w:cs="Arial" w:hint="eastAsia"/>
          <w:szCs w:val="21"/>
        </w:rPr>
        <w:t>20%</w:t>
      </w:r>
      <w:r>
        <w:rPr>
          <w:rFonts w:ascii="Arial Unicode MS" w:hAnsi="Arial Unicode MS" w:cs="Arial" w:hint="eastAsia"/>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szCs w:val="21"/>
        </w:rPr>
        <w:t>5%</w:t>
      </w:r>
      <w:r>
        <w:rPr>
          <w:rFonts w:hint="eastAsia"/>
          <w:bCs/>
          <w:szCs w:val="21"/>
        </w:rPr>
        <w:t>，其中现金不包括结算备付金、存出保证金、应收申购款等。</w:t>
      </w:r>
    </w:p>
    <w:p w14:paraId="794D6579" w14:textId="77777777" w:rsidR="004C06C5" w:rsidRDefault="00ED474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8</w:t>
      </w:r>
      <w:r>
        <w:rPr>
          <w:rFonts w:ascii="Arial Unicode MS" w:hAnsi="Arial Unicode MS" w:cs="Arial"/>
          <w:szCs w:val="21"/>
        </w:rPr>
        <w:t>、本基金初始募集面值为人民币</w:t>
      </w:r>
      <w:r>
        <w:rPr>
          <w:rFonts w:ascii="Arial Unicode MS" w:hAnsi="Arial Unicode MS" w:cs="Arial"/>
          <w:szCs w:val="21"/>
        </w:rPr>
        <w:t>1.00</w:t>
      </w:r>
      <w:r>
        <w:rPr>
          <w:rFonts w:ascii="Arial Unicode MS" w:hAnsi="Arial Unicode MS" w:cs="Arial"/>
          <w:szCs w:val="21"/>
        </w:rPr>
        <w:t>元。在市场波动因素影响下，本基金净值可能低于初始面值，本基金投资者有可能出现亏损。</w:t>
      </w:r>
    </w:p>
    <w:p w14:paraId="293AD004" w14:textId="77777777" w:rsidR="004C06C5" w:rsidRDefault="00ED474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9</w:t>
      </w:r>
      <w:r>
        <w:rPr>
          <w:rFonts w:ascii="Arial Unicode MS" w:hAnsi="Arial Unicode MS" w:cs="Arial"/>
          <w:szCs w:val="21"/>
        </w:rPr>
        <w:t>、基金的过往业绩并不预示其未来表现，基金管理人管理的其他基金的业绩也不构成对本基金业绩表现的保证。</w:t>
      </w:r>
    </w:p>
    <w:p w14:paraId="504AE313" w14:textId="77777777"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10</w:t>
      </w:r>
      <w:r>
        <w:rPr>
          <w:rFonts w:ascii="Arial Unicode MS" w:hAnsi="Arial Unicode MS" w:cs="Arial"/>
          <w:szCs w:val="21"/>
        </w:rPr>
        <w:t>、基金管理人依照恪尽职守、诚实信用、谨慎勤勉的原则管理和运用基金财产，但不保证基金一定盈利，也不保证最低收益。</w:t>
      </w:r>
    </w:p>
    <w:p w14:paraId="63F61D87" w14:textId="68A3F254" w:rsidR="004C06C5" w:rsidRDefault="00ED474B">
      <w:pPr>
        <w:autoSpaceDE w:val="0"/>
        <w:autoSpaceDN w:val="0"/>
        <w:adjustRightInd w:val="0"/>
        <w:snapToGrid w:val="0"/>
        <w:spacing w:line="360" w:lineRule="auto"/>
        <w:ind w:firstLineChars="200" w:firstLine="420"/>
        <w:rPr>
          <w:szCs w:val="21"/>
        </w:rPr>
      </w:pPr>
      <w:r>
        <w:rPr>
          <w:rFonts w:ascii="Arial Unicode MS" w:hAnsi="Arial Unicode MS" w:cs="Arial" w:hint="eastAsia"/>
          <w:szCs w:val="21"/>
        </w:rPr>
        <w:t>11</w:t>
      </w:r>
      <w:r>
        <w:rPr>
          <w:rFonts w:ascii="Arial Unicode MS" w:hAnsi="Arial Unicode MS" w:cs="Arial" w:hint="eastAsia"/>
          <w:szCs w:val="21"/>
        </w:rPr>
        <w:t>、</w:t>
      </w:r>
      <w:r w:rsidR="00281D61" w:rsidRPr="00A27C3D">
        <w:rPr>
          <w:rFonts w:ascii="Arial Unicode MS" w:hAnsi="Arial Unicode MS" w:cs="Arial" w:hint="eastAsia"/>
          <w:b/>
          <w:szCs w:val="21"/>
        </w:rPr>
        <w:t>本次招募说明书仅对</w:t>
      </w:r>
      <w:r w:rsidR="00FA67CC">
        <w:rPr>
          <w:rFonts w:ascii="Arial Unicode MS" w:hAnsi="Arial Unicode MS" w:cs="Arial" w:hint="eastAsia"/>
          <w:b/>
          <w:szCs w:val="21"/>
        </w:rPr>
        <w:t>本</w:t>
      </w:r>
      <w:proofErr w:type="gramStart"/>
      <w:r w:rsidR="00FA67CC">
        <w:rPr>
          <w:rFonts w:ascii="Arial Unicode MS" w:hAnsi="Arial Unicode MS" w:cs="Arial" w:hint="eastAsia"/>
          <w:b/>
          <w:szCs w:val="21"/>
        </w:rPr>
        <w:t>基金基金</w:t>
      </w:r>
      <w:proofErr w:type="gramEnd"/>
      <w:r w:rsidR="00FA67CC">
        <w:rPr>
          <w:rFonts w:ascii="Arial Unicode MS" w:hAnsi="Arial Unicode MS" w:cs="Arial" w:hint="eastAsia"/>
          <w:b/>
          <w:szCs w:val="21"/>
        </w:rPr>
        <w:t>经理</w:t>
      </w:r>
      <w:r w:rsidR="00281D61" w:rsidRPr="00A27C3D">
        <w:rPr>
          <w:rFonts w:ascii="Arial Unicode MS" w:hAnsi="Arial Unicode MS" w:cs="Arial" w:hint="eastAsia"/>
          <w:b/>
          <w:szCs w:val="21"/>
        </w:rPr>
        <w:t>变更的内容</w:t>
      </w:r>
      <w:r w:rsidR="0067363B">
        <w:rPr>
          <w:rFonts w:ascii="Arial Unicode MS" w:hAnsi="Arial Unicode MS" w:cs="Arial" w:hint="eastAsia"/>
          <w:b/>
          <w:szCs w:val="21"/>
        </w:rPr>
        <w:t>、</w:t>
      </w:r>
      <w:r w:rsidR="00ED65E1">
        <w:rPr>
          <w:rFonts w:ascii="Arial Unicode MS" w:hAnsi="Arial Unicode MS" w:cs="Arial" w:hint="eastAsia"/>
          <w:b/>
          <w:szCs w:val="21"/>
        </w:rPr>
        <w:t>基金管理人主要成员情况</w:t>
      </w:r>
      <w:r w:rsidR="0067363B">
        <w:rPr>
          <w:rFonts w:ascii="Arial Unicode MS" w:hAnsi="Arial Unicode MS" w:cs="Arial" w:hint="eastAsia"/>
          <w:b/>
          <w:szCs w:val="21"/>
        </w:rPr>
        <w:t>及基金托管人信息</w:t>
      </w:r>
      <w:r w:rsidR="00574207" w:rsidRPr="00A27C3D">
        <w:rPr>
          <w:rFonts w:ascii="Arial Unicode MS" w:hAnsi="Arial Unicode MS" w:cs="Arial" w:hint="eastAsia"/>
          <w:b/>
          <w:szCs w:val="21"/>
        </w:rPr>
        <w:t>进行更新</w:t>
      </w:r>
      <w:r w:rsidR="00574207">
        <w:rPr>
          <w:rFonts w:ascii="Arial Unicode MS" w:hAnsi="Arial Unicode MS" w:cs="Arial" w:hint="eastAsia"/>
          <w:szCs w:val="21"/>
        </w:rPr>
        <w:t>，</w:t>
      </w:r>
      <w:r>
        <w:rPr>
          <w:rFonts w:hint="eastAsia"/>
          <w:szCs w:val="21"/>
        </w:rPr>
        <w:t>本招募说明书</w:t>
      </w:r>
      <w:r w:rsidR="00574207">
        <w:rPr>
          <w:rFonts w:hint="eastAsia"/>
          <w:szCs w:val="21"/>
        </w:rPr>
        <w:t>的其他</w:t>
      </w:r>
      <w:r>
        <w:rPr>
          <w:rFonts w:hint="eastAsia"/>
          <w:szCs w:val="21"/>
        </w:rPr>
        <w:t>内容截止日为</w:t>
      </w:r>
      <w:r>
        <w:rPr>
          <w:rFonts w:hint="eastAsia"/>
          <w:szCs w:val="21"/>
        </w:rPr>
        <w:t>2020</w:t>
      </w:r>
      <w:r>
        <w:rPr>
          <w:rFonts w:hint="eastAsia"/>
          <w:szCs w:val="21"/>
        </w:rPr>
        <w:t>年</w:t>
      </w:r>
      <w:r>
        <w:rPr>
          <w:rFonts w:hint="eastAsia"/>
          <w:szCs w:val="21"/>
        </w:rPr>
        <w:t>3</w:t>
      </w:r>
      <w:r>
        <w:rPr>
          <w:rFonts w:hint="eastAsia"/>
          <w:szCs w:val="21"/>
        </w:rPr>
        <w:t>月</w:t>
      </w:r>
      <w:r>
        <w:rPr>
          <w:rFonts w:hint="eastAsia"/>
          <w:szCs w:val="21"/>
        </w:rPr>
        <w:t>9</w:t>
      </w:r>
      <w:r>
        <w:rPr>
          <w:rFonts w:hint="eastAsia"/>
          <w:szCs w:val="21"/>
        </w:rPr>
        <w:t>日，有关财务数据截止日为</w:t>
      </w:r>
      <w:r>
        <w:rPr>
          <w:rFonts w:hint="eastAsia"/>
          <w:szCs w:val="21"/>
        </w:rPr>
        <w:t>2019</w:t>
      </w:r>
      <w:r>
        <w:rPr>
          <w:rFonts w:hint="eastAsia"/>
          <w:szCs w:val="21"/>
        </w:rPr>
        <w:t>年</w:t>
      </w:r>
      <w:r>
        <w:rPr>
          <w:rFonts w:hint="eastAsia"/>
          <w:szCs w:val="21"/>
        </w:rPr>
        <w:t>12</w:t>
      </w:r>
      <w:r>
        <w:rPr>
          <w:rFonts w:hint="eastAsia"/>
          <w:szCs w:val="21"/>
        </w:rPr>
        <w:t>月</w:t>
      </w:r>
      <w:r>
        <w:rPr>
          <w:rFonts w:hint="eastAsia"/>
          <w:szCs w:val="21"/>
        </w:rPr>
        <w:t>31</w:t>
      </w:r>
      <w:r>
        <w:rPr>
          <w:rFonts w:hint="eastAsia"/>
          <w:szCs w:val="21"/>
        </w:rPr>
        <w:t>日，净值表现截止日为</w:t>
      </w:r>
      <w:r>
        <w:rPr>
          <w:rFonts w:hint="eastAsia"/>
          <w:szCs w:val="21"/>
        </w:rPr>
        <w:t>2019</w:t>
      </w:r>
      <w:r>
        <w:rPr>
          <w:rFonts w:hint="eastAsia"/>
          <w:szCs w:val="21"/>
        </w:rPr>
        <w:t>年</w:t>
      </w:r>
      <w:r>
        <w:rPr>
          <w:rFonts w:hint="eastAsia"/>
          <w:szCs w:val="21"/>
        </w:rPr>
        <w:t>12</w:t>
      </w:r>
      <w:r>
        <w:rPr>
          <w:rFonts w:hint="eastAsia"/>
          <w:szCs w:val="21"/>
        </w:rPr>
        <w:t>月</w:t>
      </w:r>
      <w:r>
        <w:rPr>
          <w:rFonts w:hint="eastAsia"/>
          <w:szCs w:val="21"/>
        </w:rPr>
        <w:t>31</w:t>
      </w:r>
      <w:r>
        <w:rPr>
          <w:rFonts w:hint="eastAsia"/>
          <w:szCs w:val="21"/>
        </w:rPr>
        <w:t>日，本报告中所列财务数据未经审计。</w:t>
      </w:r>
    </w:p>
    <w:p w14:paraId="73D7A4C6" w14:textId="77777777" w:rsidR="004C06C5" w:rsidRDefault="00ED474B">
      <w:pPr>
        <w:autoSpaceDE w:val="0"/>
        <w:autoSpaceDN w:val="0"/>
        <w:adjustRightInd w:val="0"/>
        <w:snapToGrid w:val="0"/>
        <w:spacing w:line="360" w:lineRule="auto"/>
        <w:ind w:firstLineChars="200" w:firstLine="420"/>
        <w:rPr>
          <w:szCs w:val="21"/>
        </w:rPr>
      </w:pPr>
      <w:r>
        <w:rPr>
          <w:szCs w:val="21"/>
        </w:rPr>
        <w:t>本基金托管人</w:t>
      </w:r>
      <w:r>
        <w:rPr>
          <w:rFonts w:ascii="Arial Unicode MS" w:hAnsi="Arial Unicode MS" w:cs="Arial" w:hint="eastAsia"/>
          <w:szCs w:val="21"/>
        </w:rPr>
        <w:t>上海浦东发展银行股份有限公司</w:t>
      </w:r>
      <w:r>
        <w:rPr>
          <w:szCs w:val="21"/>
        </w:rPr>
        <w:t>已复核了本次更新的招募说明书。</w:t>
      </w:r>
    </w:p>
    <w:p w14:paraId="32D92CE0" w14:textId="77777777" w:rsidR="004C06C5" w:rsidRDefault="004C06C5">
      <w:pPr>
        <w:autoSpaceDE w:val="0"/>
        <w:autoSpaceDN w:val="0"/>
        <w:adjustRightInd w:val="0"/>
        <w:snapToGrid w:val="0"/>
        <w:spacing w:line="360" w:lineRule="auto"/>
        <w:ind w:firstLineChars="200" w:firstLine="420"/>
        <w:rPr>
          <w:szCs w:val="21"/>
        </w:rPr>
      </w:pPr>
    </w:p>
    <w:p w14:paraId="509B6B69" w14:textId="77777777" w:rsidR="004C06C5" w:rsidRDefault="004C06C5">
      <w:pPr>
        <w:autoSpaceDE w:val="0"/>
        <w:autoSpaceDN w:val="0"/>
        <w:adjustRightInd w:val="0"/>
        <w:snapToGrid w:val="0"/>
        <w:spacing w:line="360" w:lineRule="auto"/>
        <w:ind w:firstLineChars="200" w:firstLine="420"/>
        <w:rPr>
          <w:szCs w:val="21"/>
        </w:rPr>
      </w:pPr>
    </w:p>
    <w:p w14:paraId="75747368" w14:textId="77777777" w:rsidR="004C06C5" w:rsidRDefault="004C06C5">
      <w:pPr>
        <w:autoSpaceDE w:val="0"/>
        <w:autoSpaceDN w:val="0"/>
        <w:adjustRightInd w:val="0"/>
        <w:snapToGrid w:val="0"/>
        <w:spacing w:line="360" w:lineRule="auto"/>
        <w:ind w:firstLineChars="200" w:firstLine="420"/>
        <w:rPr>
          <w:szCs w:val="21"/>
        </w:rPr>
      </w:pPr>
    </w:p>
    <w:p w14:paraId="0F7C5BF0" w14:textId="77777777" w:rsidR="004C06C5" w:rsidRDefault="004C06C5">
      <w:pPr>
        <w:autoSpaceDE w:val="0"/>
        <w:autoSpaceDN w:val="0"/>
        <w:adjustRightInd w:val="0"/>
        <w:snapToGrid w:val="0"/>
        <w:spacing w:line="360" w:lineRule="auto"/>
        <w:ind w:firstLineChars="200" w:firstLine="420"/>
        <w:rPr>
          <w:szCs w:val="21"/>
        </w:rPr>
      </w:pPr>
    </w:p>
    <w:p w14:paraId="30DFC31B" w14:textId="77777777" w:rsidR="004C06C5" w:rsidRDefault="004C06C5">
      <w:pPr>
        <w:autoSpaceDE w:val="0"/>
        <w:autoSpaceDN w:val="0"/>
        <w:adjustRightInd w:val="0"/>
        <w:snapToGrid w:val="0"/>
        <w:spacing w:line="360" w:lineRule="auto"/>
        <w:ind w:firstLineChars="200" w:firstLine="420"/>
        <w:rPr>
          <w:szCs w:val="21"/>
        </w:rPr>
      </w:pPr>
    </w:p>
    <w:p w14:paraId="134CB023" w14:textId="77777777" w:rsidR="004C06C5" w:rsidRDefault="004C06C5">
      <w:pPr>
        <w:autoSpaceDE w:val="0"/>
        <w:autoSpaceDN w:val="0"/>
        <w:adjustRightInd w:val="0"/>
        <w:snapToGrid w:val="0"/>
        <w:spacing w:line="360" w:lineRule="auto"/>
        <w:ind w:firstLineChars="200" w:firstLine="420"/>
        <w:rPr>
          <w:szCs w:val="21"/>
        </w:rPr>
      </w:pPr>
    </w:p>
    <w:p w14:paraId="000DF394" w14:textId="77777777" w:rsidR="004C06C5" w:rsidRDefault="004C06C5">
      <w:pPr>
        <w:autoSpaceDE w:val="0"/>
        <w:autoSpaceDN w:val="0"/>
        <w:adjustRightInd w:val="0"/>
        <w:snapToGrid w:val="0"/>
        <w:spacing w:line="360" w:lineRule="auto"/>
        <w:ind w:firstLineChars="200" w:firstLine="420"/>
        <w:rPr>
          <w:szCs w:val="21"/>
        </w:rPr>
      </w:pPr>
    </w:p>
    <w:p w14:paraId="32462578" w14:textId="77777777" w:rsidR="004C06C5" w:rsidRDefault="004C06C5">
      <w:pPr>
        <w:autoSpaceDE w:val="0"/>
        <w:autoSpaceDN w:val="0"/>
        <w:adjustRightInd w:val="0"/>
        <w:snapToGrid w:val="0"/>
        <w:spacing w:line="360" w:lineRule="auto"/>
        <w:ind w:firstLineChars="200" w:firstLine="420"/>
        <w:rPr>
          <w:szCs w:val="21"/>
        </w:rPr>
      </w:pPr>
    </w:p>
    <w:p w14:paraId="481848FB" w14:textId="77777777" w:rsidR="004C06C5" w:rsidRDefault="004C06C5">
      <w:pPr>
        <w:autoSpaceDE w:val="0"/>
        <w:autoSpaceDN w:val="0"/>
        <w:adjustRightInd w:val="0"/>
        <w:snapToGrid w:val="0"/>
        <w:spacing w:line="360" w:lineRule="auto"/>
        <w:ind w:firstLineChars="200" w:firstLine="420"/>
        <w:rPr>
          <w:szCs w:val="21"/>
        </w:rPr>
      </w:pPr>
    </w:p>
    <w:p w14:paraId="66B4AB3C" w14:textId="77777777" w:rsidR="004C06C5" w:rsidRDefault="004C06C5">
      <w:pPr>
        <w:autoSpaceDE w:val="0"/>
        <w:autoSpaceDN w:val="0"/>
        <w:adjustRightInd w:val="0"/>
        <w:snapToGrid w:val="0"/>
        <w:spacing w:line="360" w:lineRule="auto"/>
        <w:ind w:firstLineChars="200" w:firstLine="420"/>
        <w:rPr>
          <w:szCs w:val="21"/>
        </w:rPr>
      </w:pPr>
    </w:p>
    <w:p w14:paraId="3C1A05C6" w14:textId="77777777" w:rsidR="004C06C5" w:rsidRDefault="004C06C5">
      <w:pPr>
        <w:autoSpaceDE w:val="0"/>
        <w:autoSpaceDN w:val="0"/>
        <w:adjustRightInd w:val="0"/>
        <w:snapToGrid w:val="0"/>
        <w:spacing w:line="360" w:lineRule="auto"/>
        <w:ind w:firstLineChars="200" w:firstLine="420"/>
        <w:rPr>
          <w:szCs w:val="21"/>
        </w:rPr>
      </w:pPr>
    </w:p>
    <w:p w14:paraId="4D5C42C3" w14:textId="77777777" w:rsidR="004C06C5" w:rsidRDefault="004C06C5">
      <w:pPr>
        <w:autoSpaceDE w:val="0"/>
        <w:autoSpaceDN w:val="0"/>
        <w:adjustRightInd w:val="0"/>
        <w:snapToGrid w:val="0"/>
        <w:spacing w:line="360" w:lineRule="auto"/>
        <w:ind w:firstLineChars="200" w:firstLine="420"/>
        <w:rPr>
          <w:szCs w:val="21"/>
        </w:rPr>
      </w:pPr>
    </w:p>
    <w:p w14:paraId="677A17C4" w14:textId="77777777" w:rsidR="004C06C5" w:rsidRDefault="004C06C5">
      <w:pPr>
        <w:autoSpaceDE w:val="0"/>
        <w:autoSpaceDN w:val="0"/>
        <w:adjustRightInd w:val="0"/>
        <w:snapToGrid w:val="0"/>
        <w:spacing w:line="360" w:lineRule="auto"/>
        <w:ind w:firstLineChars="200" w:firstLine="420"/>
        <w:rPr>
          <w:szCs w:val="21"/>
        </w:rPr>
      </w:pPr>
    </w:p>
    <w:p w14:paraId="51EEADBE" w14:textId="77777777" w:rsidR="004C06C5" w:rsidRDefault="004C06C5">
      <w:pPr>
        <w:autoSpaceDE w:val="0"/>
        <w:autoSpaceDN w:val="0"/>
        <w:adjustRightInd w:val="0"/>
        <w:snapToGrid w:val="0"/>
        <w:spacing w:line="360" w:lineRule="auto"/>
        <w:ind w:firstLineChars="200" w:firstLine="420"/>
        <w:rPr>
          <w:szCs w:val="21"/>
        </w:rPr>
      </w:pPr>
    </w:p>
    <w:p w14:paraId="4C8C2F4F" w14:textId="77777777" w:rsidR="004C06C5" w:rsidRDefault="004C06C5">
      <w:pPr>
        <w:autoSpaceDE w:val="0"/>
        <w:autoSpaceDN w:val="0"/>
        <w:adjustRightInd w:val="0"/>
        <w:snapToGrid w:val="0"/>
        <w:spacing w:line="360" w:lineRule="auto"/>
        <w:ind w:firstLineChars="200" w:firstLine="420"/>
        <w:rPr>
          <w:szCs w:val="21"/>
        </w:rPr>
      </w:pPr>
    </w:p>
    <w:p w14:paraId="38FFC902" w14:textId="77777777" w:rsidR="004C06C5" w:rsidRDefault="004C06C5">
      <w:pPr>
        <w:autoSpaceDE w:val="0"/>
        <w:autoSpaceDN w:val="0"/>
        <w:adjustRightInd w:val="0"/>
        <w:snapToGrid w:val="0"/>
        <w:spacing w:line="360" w:lineRule="auto"/>
        <w:ind w:firstLineChars="200" w:firstLine="420"/>
        <w:rPr>
          <w:szCs w:val="21"/>
        </w:rPr>
      </w:pPr>
    </w:p>
    <w:p w14:paraId="47CF2D5D" w14:textId="77777777" w:rsidR="004C06C5" w:rsidRDefault="00ED474B">
      <w:pPr>
        <w:pStyle w:val="11"/>
        <w:snapToGrid w:val="0"/>
        <w:spacing w:before="0" w:after="0" w:line="360" w:lineRule="auto"/>
        <w:jc w:val="both"/>
        <w:rPr>
          <w:rFonts w:ascii="Arial Unicode MS" w:eastAsia="宋体" w:hAnsi="Arial Unicode MS" w:cs="Arial"/>
          <w:b/>
          <w:bCs/>
          <w:spacing w:val="120"/>
          <w:sz w:val="28"/>
          <w:szCs w:val="21"/>
        </w:rPr>
      </w:pPr>
      <w:bookmarkStart w:id="2" w:name="_Toc1464055"/>
      <w:bookmarkStart w:id="3" w:name="_Toc520207186"/>
      <w:r>
        <w:rPr>
          <w:rFonts w:ascii="Arial Unicode MS" w:eastAsia="宋体" w:hAnsi="Arial Unicode MS" w:cs="Arial"/>
          <w:b/>
          <w:bCs/>
          <w:spacing w:val="120"/>
          <w:sz w:val="28"/>
          <w:szCs w:val="21"/>
        </w:rPr>
        <w:br w:type="page"/>
      </w:r>
    </w:p>
    <w:p w14:paraId="720C283E" w14:textId="77777777" w:rsidR="004C06C5" w:rsidRDefault="00ED474B">
      <w:pPr>
        <w:pStyle w:val="11"/>
        <w:snapToGrid w:val="0"/>
        <w:spacing w:before="0" w:after="0" w:line="360" w:lineRule="auto"/>
        <w:ind w:firstLine="261"/>
        <w:rPr>
          <w:rFonts w:asciiTheme="minorHAnsi" w:eastAsiaTheme="minorEastAsia" w:hAnsiTheme="minorHAnsi" w:cstheme="minorBidi"/>
          <w:sz w:val="21"/>
          <w:szCs w:val="22"/>
        </w:rPr>
      </w:pPr>
      <w:r>
        <w:rPr>
          <w:rFonts w:ascii="Arial Unicode MS" w:eastAsia="宋体" w:hAnsi="Arial Unicode MS" w:cs="Arial"/>
          <w:b/>
          <w:bCs/>
          <w:spacing w:val="120"/>
          <w:sz w:val="28"/>
          <w:szCs w:val="21"/>
        </w:rPr>
        <w:lastRenderedPageBreak/>
        <w:t>目录</w:t>
      </w:r>
      <w:bookmarkEnd w:id="2"/>
      <w:bookmarkEnd w:id="3"/>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p>
    <w:p w14:paraId="5770BC19" w14:textId="77777777" w:rsidR="004C06C5" w:rsidRDefault="0052669A">
      <w:pPr>
        <w:pStyle w:val="TOC1"/>
        <w:rPr>
          <w:rFonts w:asciiTheme="minorHAnsi" w:eastAsiaTheme="minorEastAsia" w:hAnsiTheme="minorHAnsi" w:cstheme="minorBidi"/>
          <w:caps w:val="0"/>
          <w:sz w:val="21"/>
          <w:szCs w:val="22"/>
        </w:rPr>
      </w:pPr>
      <w:hyperlink w:anchor="_Toc1464056" w:history="1">
        <w:r w:rsidR="00ED474B">
          <w:rPr>
            <w:rStyle w:val="aff9"/>
            <w:rFonts w:ascii="Arial Unicode MS" w:hAnsi="Arial Unicode MS" w:cs="Arial" w:hint="eastAsia"/>
            <w:b/>
            <w:bCs/>
          </w:rPr>
          <w:t>第一部分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绪言</w:t>
        </w:r>
        <w:r w:rsidR="00ED474B">
          <w:tab/>
        </w:r>
        <w:r w:rsidR="00ED474B">
          <w:fldChar w:fldCharType="begin"/>
        </w:r>
        <w:r w:rsidR="00ED474B">
          <w:instrText xml:space="preserve"> PAGEREF _Toc1464056 \h </w:instrText>
        </w:r>
        <w:r w:rsidR="00ED474B">
          <w:fldChar w:fldCharType="separate"/>
        </w:r>
        <w:r w:rsidR="00ED474B">
          <w:t>4</w:t>
        </w:r>
        <w:r w:rsidR="00ED474B">
          <w:fldChar w:fldCharType="end"/>
        </w:r>
      </w:hyperlink>
    </w:p>
    <w:p w14:paraId="1AECE260" w14:textId="77777777" w:rsidR="004C06C5" w:rsidRDefault="0052669A">
      <w:pPr>
        <w:pStyle w:val="TOC1"/>
        <w:rPr>
          <w:rFonts w:asciiTheme="minorHAnsi" w:eastAsiaTheme="minorEastAsia" w:hAnsiTheme="minorHAnsi" w:cstheme="minorBidi"/>
          <w:caps w:val="0"/>
          <w:sz w:val="21"/>
          <w:szCs w:val="22"/>
        </w:rPr>
      </w:pPr>
      <w:hyperlink w:anchor="_Toc1464057" w:history="1">
        <w:r w:rsidR="00ED474B">
          <w:rPr>
            <w:rStyle w:val="aff9"/>
            <w:rFonts w:ascii="Arial Unicode MS" w:hAnsi="Arial Unicode MS" w:cs="Arial" w:hint="eastAsia"/>
            <w:b/>
            <w:bCs/>
          </w:rPr>
          <w:t>第二部分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释义</w:t>
        </w:r>
        <w:r w:rsidR="00ED474B">
          <w:tab/>
        </w:r>
        <w:r w:rsidR="00ED474B">
          <w:fldChar w:fldCharType="begin"/>
        </w:r>
        <w:r w:rsidR="00ED474B">
          <w:instrText xml:space="preserve"> PAGEREF _Toc1464057 \h </w:instrText>
        </w:r>
        <w:r w:rsidR="00ED474B">
          <w:fldChar w:fldCharType="separate"/>
        </w:r>
        <w:r w:rsidR="00ED474B">
          <w:t>5</w:t>
        </w:r>
        <w:r w:rsidR="00ED474B">
          <w:fldChar w:fldCharType="end"/>
        </w:r>
      </w:hyperlink>
    </w:p>
    <w:p w14:paraId="0CB547CF" w14:textId="77777777" w:rsidR="004C06C5" w:rsidRDefault="0052669A">
      <w:pPr>
        <w:pStyle w:val="TOC1"/>
        <w:rPr>
          <w:rFonts w:asciiTheme="minorHAnsi" w:eastAsiaTheme="minorEastAsia" w:hAnsiTheme="minorHAnsi" w:cstheme="minorBidi"/>
          <w:caps w:val="0"/>
          <w:sz w:val="21"/>
          <w:szCs w:val="22"/>
        </w:rPr>
      </w:pPr>
      <w:hyperlink w:anchor="_Toc1464058" w:history="1">
        <w:r w:rsidR="00ED474B">
          <w:rPr>
            <w:rStyle w:val="aff9"/>
            <w:rFonts w:ascii="Arial Unicode MS" w:hAnsi="Arial Unicode MS" w:cs="Arial" w:hint="eastAsia"/>
            <w:b/>
            <w:bCs/>
          </w:rPr>
          <w:t>第三部分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基金管理人</w:t>
        </w:r>
        <w:r w:rsidR="00ED474B">
          <w:tab/>
        </w:r>
        <w:r w:rsidR="00ED474B">
          <w:fldChar w:fldCharType="begin"/>
        </w:r>
        <w:r w:rsidR="00ED474B">
          <w:instrText xml:space="preserve"> PAGEREF _Toc1464058 \h </w:instrText>
        </w:r>
        <w:r w:rsidR="00ED474B">
          <w:fldChar w:fldCharType="separate"/>
        </w:r>
        <w:r w:rsidR="00ED474B">
          <w:t>9</w:t>
        </w:r>
        <w:r w:rsidR="00ED474B">
          <w:fldChar w:fldCharType="end"/>
        </w:r>
      </w:hyperlink>
    </w:p>
    <w:p w14:paraId="219075E4" w14:textId="77777777" w:rsidR="004C06C5" w:rsidRDefault="0052669A">
      <w:pPr>
        <w:pStyle w:val="TOC1"/>
        <w:rPr>
          <w:rFonts w:asciiTheme="minorHAnsi" w:eastAsiaTheme="minorEastAsia" w:hAnsiTheme="minorHAnsi" w:cstheme="minorBidi"/>
          <w:caps w:val="0"/>
          <w:sz w:val="21"/>
          <w:szCs w:val="22"/>
        </w:rPr>
      </w:pPr>
      <w:hyperlink w:anchor="_Toc1464059" w:history="1">
        <w:r w:rsidR="00ED474B">
          <w:rPr>
            <w:rStyle w:val="aff9"/>
            <w:rFonts w:ascii="Arial Unicode MS" w:hAnsi="Arial Unicode MS" w:cs="Arial" w:hint="eastAsia"/>
            <w:b/>
            <w:bCs/>
          </w:rPr>
          <w:t>第四部分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基金托管人</w:t>
        </w:r>
        <w:r w:rsidR="00ED474B">
          <w:tab/>
        </w:r>
        <w:r w:rsidR="00ED474B">
          <w:fldChar w:fldCharType="begin"/>
        </w:r>
        <w:r w:rsidR="00ED474B">
          <w:instrText xml:space="preserve"> PAGEREF _Toc1464059 \h </w:instrText>
        </w:r>
        <w:r w:rsidR="00ED474B">
          <w:fldChar w:fldCharType="separate"/>
        </w:r>
        <w:r w:rsidR="00ED474B">
          <w:t>19</w:t>
        </w:r>
        <w:r w:rsidR="00ED474B">
          <w:fldChar w:fldCharType="end"/>
        </w:r>
      </w:hyperlink>
    </w:p>
    <w:p w14:paraId="3E076D51" w14:textId="77777777" w:rsidR="004C06C5" w:rsidRDefault="0052669A">
      <w:pPr>
        <w:pStyle w:val="TOC1"/>
        <w:rPr>
          <w:rFonts w:asciiTheme="minorHAnsi" w:eastAsiaTheme="minorEastAsia" w:hAnsiTheme="minorHAnsi" w:cstheme="minorBidi"/>
          <w:caps w:val="0"/>
          <w:sz w:val="21"/>
          <w:szCs w:val="22"/>
        </w:rPr>
      </w:pPr>
      <w:hyperlink w:anchor="_Toc1464060" w:history="1">
        <w:r w:rsidR="00ED474B">
          <w:rPr>
            <w:rStyle w:val="aff9"/>
            <w:rFonts w:ascii="Arial Unicode MS" w:hAnsi="Arial Unicode MS" w:cs="Arial" w:hint="eastAsia"/>
            <w:b/>
            <w:bCs/>
          </w:rPr>
          <w:t>第五部分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相关服务机构</w:t>
        </w:r>
        <w:r w:rsidR="00ED474B">
          <w:tab/>
        </w:r>
        <w:r w:rsidR="00ED474B">
          <w:fldChar w:fldCharType="begin"/>
        </w:r>
        <w:r w:rsidR="00ED474B">
          <w:instrText xml:space="preserve"> PAGEREF _Toc1464060 \h </w:instrText>
        </w:r>
        <w:r w:rsidR="00ED474B">
          <w:fldChar w:fldCharType="separate"/>
        </w:r>
        <w:r w:rsidR="00ED474B">
          <w:t>24</w:t>
        </w:r>
        <w:r w:rsidR="00ED474B">
          <w:fldChar w:fldCharType="end"/>
        </w:r>
      </w:hyperlink>
    </w:p>
    <w:p w14:paraId="3DF98CD3" w14:textId="77777777" w:rsidR="004C06C5" w:rsidRDefault="0052669A">
      <w:pPr>
        <w:pStyle w:val="TOC1"/>
        <w:rPr>
          <w:rFonts w:asciiTheme="minorHAnsi" w:eastAsiaTheme="minorEastAsia" w:hAnsiTheme="minorHAnsi" w:cstheme="minorBidi"/>
          <w:caps w:val="0"/>
          <w:sz w:val="21"/>
          <w:szCs w:val="22"/>
        </w:rPr>
      </w:pPr>
      <w:hyperlink w:anchor="_Toc1464061" w:history="1">
        <w:r w:rsidR="00ED474B">
          <w:rPr>
            <w:rStyle w:val="aff9"/>
            <w:rFonts w:ascii="Arial Unicode MS" w:hAnsi="Arial Unicode MS" w:cs="Arial" w:hint="eastAsia"/>
            <w:b/>
            <w:bCs/>
          </w:rPr>
          <w:t>第六部分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基金份额的发售</w:t>
        </w:r>
        <w:r w:rsidR="00ED474B">
          <w:tab/>
        </w:r>
        <w:r w:rsidR="00ED474B">
          <w:fldChar w:fldCharType="begin"/>
        </w:r>
        <w:r w:rsidR="00ED474B">
          <w:instrText xml:space="preserve"> PAGEREF _Toc1464061 \h </w:instrText>
        </w:r>
        <w:r w:rsidR="00ED474B">
          <w:fldChar w:fldCharType="separate"/>
        </w:r>
        <w:r w:rsidR="00ED474B">
          <w:t>28</w:t>
        </w:r>
        <w:r w:rsidR="00ED474B">
          <w:fldChar w:fldCharType="end"/>
        </w:r>
      </w:hyperlink>
    </w:p>
    <w:p w14:paraId="299C50AC" w14:textId="77777777" w:rsidR="004C06C5" w:rsidRDefault="0052669A">
      <w:pPr>
        <w:pStyle w:val="TOC1"/>
        <w:rPr>
          <w:rFonts w:asciiTheme="minorHAnsi" w:eastAsiaTheme="minorEastAsia" w:hAnsiTheme="minorHAnsi" w:cstheme="minorBidi"/>
          <w:caps w:val="0"/>
          <w:sz w:val="21"/>
          <w:szCs w:val="22"/>
        </w:rPr>
      </w:pPr>
      <w:hyperlink w:anchor="_Toc1464062" w:history="1">
        <w:r w:rsidR="00ED474B">
          <w:rPr>
            <w:rStyle w:val="aff9"/>
            <w:rFonts w:ascii="Arial Unicode MS" w:hAnsi="Arial Unicode MS" w:cs="Arial" w:hint="eastAsia"/>
            <w:b/>
            <w:bCs/>
          </w:rPr>
          <w:t>第七部分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基金合同的生效</w:t>
        </w:r>
        <w:r w:rsidR="00ED474B">
          <w:tab/>
        </w:r>
        <w:r w:rsidR="00ED474B">
          <w:fldChar w:fldCharType="begin"/>
        </w:r>
        <w:r w:rsidR="00ED474B">
          <w:instrText xml:space="preserve"> PAGEREF _Toc1464062 \h </w:instrText>
        </w:r>
        <w:r w:rsidR="00ED474B">
          <w:fldChar w:fldCharType="separate"/>
        </w:r>
        <w:r w:rsidR="00ED474B">
          <w:t>29</w:t>
        </w:r>
        <w:r w:rsidR="00ED474B">
          <w:fldChar w:fldCharType="end"/>
        </w:r>
      </w:hyperlink>
    </w:p>
    <w:p w14:paraId="6CCF9E0A" w14:textId="77777777" w:rsidR="004C06C5" w:rsidRDefault="0052669A">
      <w:pPr>
        <w:pStyle w:val="TOC1"/>
        <w:rPr>
          <w:rFonts w:asciiTheme="minorHAnsi" w:eastAsiaTheme="minorEastAsia" w:hAnsiTheme="minorHAnsi" w:cstheme="minorBidi"/>
          <w:caps w:val="0"/>
          <w:sz w:val="21"/>
          <w:szCs w:val="22"/>
        </w:rPr>
      </w:pPr>
      <w:hyperlink w:anchor="_Toc1464063" w:history="1">
        <w:r w:rsidR="00ED474B">
          <w:rPr>
            <w:rStyle w:val="aff9"/>
            <w:rFonts w:ascii="Arial Unicode MS" w:hAnsi="Arial Unicode MS" w:cs="Arial" w:hint="eastAsia"/>
            <w:b/>
            <w:bCs/>
          </w:rPr>
          <w:t>第八部分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基金份额的申购与赎回</w:t>
        </w:r>
        <w:r w:rsidR="00ED474B">
          <w:tab/>
        </w:r>
        <w:r w:rsidR="00ED474B">
          <w:fldChar w:fldCharType="begin"/>
        </w:r>
        <w:r w:rsidR="00ED474B">
          <w:instrText xml:space="preserve"> PAGEREF _Toc1464063 \h </w:instrText>
        </w:r>
        <w:r w:rsidR="00ED474B">
          <w:fldChar w:fldCharType="separate"/>
        </w:r>
        <w:r w:rsidR="00ED474B">
          <w:t>30</w:t>
        </w:r>
        <w:r w:rsidR="00ED474B">
          <w:fldChar w:fldCharType="end"/>
        </w:r>
      </w:hyperlink>
    </w:p>
    <w:p w14:paraId="73EED160" w14:textId="77777777" w:rsidR="004C06C5" w:rsidRDefault="0052669A">
      <w:pPr>
        <w:pStyle w:val="TOC1"/>
        <w:rPr>
          <w:rFonts w:asciiTheme="minorHAnsi" w:eastAsiaTheme="minorEastAsia" w:hAnsiTheme="minorHAnsi" w:cstheme="minorBidi"/>
          <w:caps w:val="0"/>
          <w:sz w:val="21"/>
          <w:szCs w:val="22"/>
        </w:rPr>
      </w:pPr>
      <w:hyperlink w:anchor="_Toc1464064" w:history="1">
        <w:r w:rsidR="00ED474B">
          <w:rPr>
            <w:rStyle w:val="aff9"/>
            <w:rFonts w:ascii="Arial Unicode MS" w:hAnsi="Arial Unicode MS" w:cs="Arial" w:hint="eastAsia"/>
            <w:b/>
            <w:bCs/>
          </w:rPr>
          <w:t>第九部分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基金的投资</w:t>
        </w:r>
        <w:r w:rsidR="00ED474B">
          <w:tab/>
        </w:r>
        <w:r w:rsidR="00ED474B">
          <w:fldChar w:fldCharType="begin"/>
        </w:r>
        <w:r w:rsidR="00ED474B">
          <w:instrText xml:space="preserve"> PAGEREF _Toc1464064 \h </w:instrText>
        </w:r>
        <w:r w:rsidR="00ED474B">
          <w:fldChar w:fldCharType="separate"/>
        </w:r>
        <w:r w:rsidR="00ED474B">
          <w:t>40</w:t>
        </w:r>
        <w:r w:rsidR="00ED474B">
          <w:fldChar w:fldCharType="end"/>
        </w:r>
      </w:hyperlink>
    </w:p>
    <w:p w14:paraId="2BE357DF" w14:textId="77777777" w:rsidR="004C06C5" w:rsidRDefault="0052669A">
      <w:pPr>
        <w:pStyle w:val="TOC1"/>
        <w:rPr>
          <w:rFonts w:asciiTheme="minorHAnsi" w:eastAsiaTheme="minorEastAsia" w:hAnsiTheme="minorHAnsi" w:cstheme="minorBidi"/>
          <w:caps w:val="0"/>
          <w:sz w:val="21"/>
          <w:szCs w:val="22"/>
        </w:rPr>
      </w:pPr>
      <w:hyperlink w:anchor="_Toc1464065" w:history="1">
        <w:r w:rsidR="00ED474B">
          <w:rPr>
            <w:rStyle w:val="aff9"/>
            <w:rFonts w:ascii="Arial Unicode MS" w:hAnsi="Arial Unicode MS" w:cs="Arial" w:hint="eastAsia"/>
            <w:b/>
            <w:bCs/>
          </w:rPr>
          <w:t>第十部分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基金的财产</w:t>
        </w:r>
        <w:r w:rsidR="00ED474B">
          <w:tab/>
        </w:r>
        <w:r w:rsidR="00ED474B">
          <w:fldChar w:fldCharType="begin"/>
        </w:r>
        <w:r w:rsidR="00ED474B">
          <w:instrText xml:space="preserve"> PAGEREF _Toc1464065 \h </w:instrText>
        </w:r>
        <w:r w:rsidR="00ED474B">
          <w:fldChar w:fldCharType="separate"/>
        </w:r>
        <w:r w:rsidR="00ED474B">
          <w:t>51</w:t>
        </w:r>
        <w:r w:rsidR="00ED474B">
          <w:fldChar w:fldCharType="end"/>
        </w:r>
      </w:hyperlink>
    </w:p>
    <w:p w14:paraId="4BAED390" w14:textId="77777777" w:rsidR="004C06C5" w:rsidRDefault="0052669A">
      <w:pPr>
        <w:pStyle w:val="TOC1"/>
        <w:rPr>
          <w:rFonts w:asciiTheme="minorHAnsi" w:eastAsiaTheme="minorEastAsia" w:hAnsiTheme="minorHAnsi" w:cstheme="minorBidi"/>
          <w:caps w:val="0"/>
          <w:sz w:val="21"/>
          <w:szCs w:val="22"/>
        </w:rPr>
      </w:pPr>
      <w:hyperlink w:anchor="_Toc1464066" w:history="1">
        <w:r w:rsidR="00ED474B">
          <w:rPr>
            <w:rStyle w:val="aff9"/>
            <w:rFonts w:ascii="Arial Unicode MS" w:hAnsi="Arial Unicode MS" w:cs="Arial" w:hint="eastAsia"/>
            <w:b/>
            <w:bCs/>
          </w:rPr>
          <w:t>第十一部分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基金资产的估值</w:t>
        </w:r>
        <w:r w:rsidR="00ED474B">
          <w:tab/>
        </w:r>
        <w:r w:rsidR="00ED474B">
          <w:fldChar w:fldCharType="begin"/>
        </w:r>
        <w:r w:rsidR="00ED474B">
          <w:instrText xml:space="preserve"> PAGEREF _Toc1464066 \h </w:instrText>
        </w:r>
        <w:r w:rsidR="00ED474B">
          <w:fldChar w:fldCharType="separate"/>
        </w:r>
        <w:r w:rsidR="00ED474B">
          <w:t>52</w:t>
        </w:r>
        <w:r w:rsidR="00ED474B">
          <w:fldChar w:fldCharType="end"/>
        </w:r>
      </w:hyperlink>
    </w:p>
    <w:p w14:paraId="0CF71514" w14:textId="77777777" w:rsidR="004C06C5" w:rsidRDefault="0052669A">
      <w:pPr>
        <w:pStyle w:val="TOC1"/>
        <w:rPr>
          <w:rFonts w:asciiTheme="minorHAnsi" w:eastAsiaTheme="minorEastAsia" w:hAnsiTheme="minorHAnsi" w:cstheme="minorBidi"/>
          <w:caps w:val="0"/>
          <w:sz w:val="21"/>
          <w:szCs w:val="22"/>
        </w:rPr>
      </w:pPr>
      <w:hyperlink w:anchor="_Toc1464067" w:history="1">
        <w:r w:rsidR="00ED474B">
          <w:rPr>
            <w:rStyle w:val="aff9"/>
            <w:rFonts w:ascii="Arial Unicode MS" w:hAnsi="Arial Unicode MS" w:cs="Arial" w:hint="eastAsia"/>
            <w:b/>
            <w:bCs/>
          </w:rPr>
          <w:t>第十二部分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基金的收益与分配</w:t>
        </w:r>
        <w:r w:rsidR="00ED474B">
          <w:tab/>
        </w:r>
        <w:r w:rsidR="00ED474B">
          <w:fldChar w:fldCharType="begin"/>
        </w:r>
        <w:r w:rsidR="00ED474B">
          <w:instrText xml:space="preserve"> PAGEREF _Toc1464067 \h </w:instrText>
        </w:r>
        <w:r w:rsidR="00ED474B">
          <w:fldChar w:fldCharType="separate"/>
        </w:r>
        <w:r w:rsidR="00ED474B">
          <w:t>56</w:t>
        </w:r>
        <w:r w:rsidR="00ED474B">
          <w:fldChar w:fldCharType="end"/>
        </w:r>
      </w:hyperlink>
    </w:p>
    <w:p w14:paraId="7DF06AF7" w14:textId="77777777" w:rsidR="004C06C5" w:rsidRDefault="0052669A">
      <w:pPr>
        <w:pStyle w:val="TOC1"/>
        <w:rPr>
          <w:rFonts w:asciiTheme="minorHAnsi" w:eastAsiaTheme="minorEastAsia" w:hAnsiTheme="minorHAnsi" w:cstheme="minorBidi"/>
          <w:caps w:val="0"/>
          <w:sz w:val="21"/>
          <w:szCs w:val="22"/>
        </w:rPr>
      </w:pPr>
      <w:hyperlink w:anchor="_Toc1464068" w:history="1">
        <w:r w:rsidR="00ED474B">
          <w:rPr>
            <w:rStyle w:val="aff9"/>
            <w:rFonts w:ascii="Arial Unicode MS" w:hAnsi="Arial Unicode MS" w:cs="Arial" w:hint="eastAsia"/>
            <w:b/>
            <w:bCs/>
          </w:rPr>
          <w:t>第十三部分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基金费用与税收</w:t>
        </w:r>
        <w:r w:rsidR="00ED474B">
          <w:tab/>
        </w:r>
        <w:r w:rsidR="00ED474B">
          <w:fldChar w:fldCharType="begin"/>
        </w:r>
        <w:r w:rsidR="00ED474B">
          <w:instrText xml:space="preserve"> PAGEREF _Toc1464068 \h </w:instrText>
        </w:r>
        <w:r w:rsidR="00ED474B">
          <w:fldChar w:fldCharType="separate"/>
        </w:r>
        <w:r w:rsidR="00ED474B">
          <w:t>58</w:t>
        </w:r>
        <w:r w:rsidR="00ED474B">
          <w:fldChar w:fldCharType="end"/>
        </w:r>
      </w:hyperlink>
    </w:p>
    <w:p w14:paraId="0B44899C" w14:textId="77777777" w:rsidR="004C06C5" w:rsidRDefault="0052669A">
      <w:pPr>
        <w:pStyle w:val="TOC1"/>
        <w:rPr>
          <w:rFonts w:asciiTheme="minorHAnsi" w:eastAsiaTheme="minorEastAsia" w:hAnsiTheme="minorHAnsi" w:cstheme="minorBidi"/>
          <w:caps w:val="0"/>
          <w:sz w:val="21"/>
          <w:szCs w:val="22"/>
        </w:rPr>
      </w:pPr>
      <w:hyperlink w:anchor="_Toc1464069" w:history="1">
        <w:r w:rsidR="00ED474B">
          <w:rPr>
            <w:rStyle w:val="aff9"/>
            <w:rFonts w:ascii="Arial Unicode MS" w:hAnsi="Arial Unicode MS" w:cs="Arial" w:hint="eastAsia"/>
            <w:b/>
            <w:bCs/>
          </w:rPr>
          <w:t>第十四部分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基金的会计与审计</w:t>
        </w:r>
        <w:r w:rsidR="00ED474B">
          <w:tab/>
        </w:r>
        <w:r w:rsidR="00ED474B">
          <w:fldChar w:fldCharType="begin"/>
        </w:r>
        <w:r w:rsidR="00ED474B">
          <w:instrText xml:space="preserve"> PAGEREF _Toc1464069 \h </w:instrText>
        </w:r>
        <w:r w:rsidR="00ED474B">
          <w:fldChar w:fldCharType="separate"/>
        </w:r>
        <w:r w:rsidR="00ED474B">
          <w:t>60</w:t>
        </w:r>
        <w:r w:rsidR="00ED474B">
          <w:fldChar w:fldCharType="end"/>
        </w:r>
      </w:hyperlink>
    </w:p>
    <w:p w14:paraId="5F5FCD28" w14:textId="77777777" w:rsidR="004C06C5" w:rsidRDefault="0052669A">
      <w:pPr>
        <w:pStyle w:val="TOC1"/>
        <w:rPr>
          <w:rFonts w:asciiTheme="minorHAnsi" w:eastAsiaTheme="minorEastAsia" w:hAnsiTheme="minorHAnsi" w:cstheme="minorBidi"/>
          <w:caps w:val="0"/>
          <w:sz w:val="21"/>
          <w:szCs w:val="22"/>
        </w:rPr>
      </w:pPr>
      <w:hyperlink w:anchor="_Toc1464070" w:history="1">
        <w:r w:rsidR="00ED474B">
          <w:rPr>
            <w:rStyle w:val="aff9"/>
            <w:rFonts w:ascii="Arial Unicode MS" w:hAnsi="Arial Unicode MS" w:hint="eastAsia"/>
            <w:b/>
          </w:rPr>
          <w:t>第十五部分</w:t>
        </w:r>
        <w:r w:rsidR="00ED474B">
          <w:rPr>
            <w:rStyle w:val="aff9"/>
            <w:rFonts w:ascii="Arial Unicode MS" w:hAnsi="Arial Unicode MS"/>
            <w:b/>
          </w:rPr>
          <w:t xml:space="preserve">  </w:t>
        </w:r>
        <w:r w:rsidR="00ED474B">
          <w:rPr>
            <w:rStyle w:val="aff9"/>
            <w:rFonts w:ascii="Arial Unicode MS" w:hAnsi="Arial Unicode MS" w:hint="eastAsia"/>
            <w:b/>
          </w:rPr>
          <w:t>基金的信息披露</w:t>
        </w:r>
        <w:r w:rsidR="00ED474B">
          <w:tab/>
        </w:r>
        <w:r w:rsidR="00ED474B">
          <w:fldChar w:fldCharType="begin"/>
        </w:r>
        <w:r w:rsidR="00ED474B">
          <w:instrText xml:space="preserve"> PAGEREF _Toc1464070 \h </w:instrText>
        </w:r>
        <w:r w:rsidR="00ED474B">
          <w:fldChar w:fldCharType="separate"/>
        </w:r>
        <w:r w:rsidR="00ED474B">
          <w:t>61</w:t>
        </w:r>
        <w:r w:rsidR="00ED474B">
          <w:fldChar w:fldCharType="end"/>
        </w:r>
      </w:hyperlink>
    </w:p>
    <w:p w14:paraId="794E6D2A" w14:textId="77777777" w:rsidR="004C06C5" w:rsidRDefault="0052669A">
      <w:pPr>
        <w:pStyle w:val="TOC1"/>
        <w:rPr>
          <w:rFonts w:asciiTheme="minorHAnsi" w:eastAsiaTheme="minorEastAsia" w:hAnsiTheme="minorHAnsi" w:cstheme="minorBidi"/>
          <w:caps w:val="0"/>
          <w:sz w:val="21"/>
          <w:szCs w:val="22"/>
        </w:rPr>
      </w:pPr>
      <w:hyperlink w:anchor="_Toc1464071" w:history="1">
        <w:r w:rsidR="00ED474B">
          <w:rPr>
            <w:rStyle w:val="aff9"/>
            <w:rFonts w:ascii="Arial Unicode MS" w:hAnsi="Arial Unicode MS" w:cs="Arial" w:hint="eastAsia"/>
            <w:b/>
            <w:bCs/>
          </w:rPr>
          <w:t>第十六部分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风险揭示</w:t>
        </w:r>
        <w:r w:rsidR="00ED474B">
          <w:tab/>
        </w:r>
        <w:r w:rsidR="00ED474B">
          <w:fldChar w:fldCharType="begin"/>
        </w:r>
        <w:r w:rsidR="00ED474B">
          <w:instrText xml:space="preserve"> PAGEREF _Toc1464071 \h </w:instrText>
        </w:r>
        <w:r w:rsidR="00ED474B">
          <w:fldChar w:fldCharType="separate"/>
        </w:r>
        <w:r w:rsidR="00ED474B">
          <w:t>67</w:t>
        </w:r>
        <w:r w:rsidR="00ED474B">
          <w:fldChar w:fldCharType="end"/>
        </w:r>
      </w:hyperlink>
    </w:p>
    <w:p w14:paraId="50BEEB34" w14:textId="77777777" w:rsidR="004C06C5" w:rsidRDefault="0052669A">
      <w:pPr>
        <w:pStyle w:val="TOC1"/>
        <w:rPr>
          <w:rFonts w:asciiTheme="minorHAnsi" w:eastAsiaTheme="minorEastAsia" w:hAnsiTheme="minorHAnsi" w:cstheme="minorBidi"/>
          <w:caps w:val="0"/>
          <w:sz w:val="21"/>
          <w:szCs w:val="22"/>
        </w:rPr>
      </w:pPr>
      <w:hyperlink w:anchor="_Toc1464072" w:history="1">
        <w:r w:rsidR="00ED474B">
          <w:rPr>
            <w:rStyle w:val="aff9"/>
            <w:rFonts w:ascii="Arial Unicode MS" w:hAnsi="Arial Unicode MS" w:cs="Arial" w:hint="eastAsia"/>
            <w:b/>
            <w:bCs/>
          </w:rPr>
          <w:t>第十七部分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基金合同的变更、终止与基金财产的清算</w:t>
        </w:r>
        <w:r w:rsidR="00ED474B">
          <w:tab/>
        </w:r>
        <w:r w:rsidR="00ED474B">
          <w:fldChar w:fldCharType="begin"/>
        </w:r>
        <w:r w:rsidR="00ED474B">
          <w:instrText xml:space="preserve"> PAGEREF _Toc1464072 \h </w:instrText>
        </w:r>
        <w:r w:rsidR="00ED474B">
          <w:fldChar w:fldCharType="separate"/>
        </w:r>
        <w:r w:rsidR="00ED474B">
          <w:t>70</w:t>
        </w:r>
        <w:r w:rsidR="00ED474B">
          <w:fldChar w:fldCharType="end"/>
        </w:r>
      </w:hyperlink>
    </w:p>
    <w:p w14:paraId="475208F9" w14:textId="77777777" w:rsidR="004C06C5" w:rsidRDefault="0052669A">
      <w:pPr>
        <w:pStyle w:val="TOC1"/>
        <w:rPr>
          <w:rFonts w:asciiTheme="minorHAnsi" w:eastAsiaTheme="minorEastAsia" w:hAnsiTheme="minorHAnsi" w:cstheme="minorBidi"/>
          <w:caps w:val="0"/>
          <w:sz w:val="21"/>
          <w:szCs w:val="22"/>
        </w:rPr>
      </w:pPr>
      <w:hyperlink w:anchor="_Toc1464073" w:history="1">
        <w:r w:rsidR="00ED474B">
          <w:rPr>
            <w:rStyle w:val="aff9"/>
            <w:rFonts w:ascii="Arial Unicode MS" w:hAnsi="Arial Unicode MS" w:cs="Arial" w:hint="eastAsia"/>
            <w:b/>
            <w:bCs/>
          </w:rPr>
          <w:t>第十八部分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基金合同的内容摘要</w:t>
        </w:r>
        <w:r w:rsidR="00ED474B">
          <w:tab/>
        </w:r>
        <w:r w:rsidR="00ED474B">
          <w:fldChar w:fldCharType="begin"/>
        </w:r>
        <w:r w:rsidR="00ED474B">
          <w:instrText xml:space="preserve"> PAGEREF _Toc1464073 \h </w:instrText>
        </w:r>
        <w:r w:rsidR="00ED474B">
          <w:fldChar w:fldCharType="separate"/>
        </w:r>
        <w:r w:rsidR="00ED474B">
          <w:t>72</w:t>
        </w:r>
        <w:r w:rsidR="00ED474B">
          <w:fldChar w:fldCharType="end"/>
        </w:r>
      </w:hyperlink>
    </w:p>
    <w:p w14:paraId="312F258E" w14:textId="77777777" w:rsidR="004C06C5" w:rsidRDefault="0052669A">
      <w:pPr>
        <w:pStyle w:val="TOC1"/>
        <w:rPr>
          <w:rFonts w:asciiTheme="minorHAnsi" w:eastAsiaTheme="minorEastAsia" w:hAnsiTheme="minorHAnsi" w:cstheme="minorBidi"/>
          <w:caps w:val="0"/>
          <w:sz w:val="21"/>
          <w:szCs w:val="22"/>
        </w:rPr>
      </w:pPr>
      <w:hyperlink w:anchor="_Toc1464074" w:history="1">
        <w:r w:rsidR="00ED474B">
          <w:rPr>
            <w:rStyle w:val="aff9"/>
            <w:rFonts w:ascii="Arial Unicode MS" w:hAnsi="Arial Unicode MS" w:cs="Arial" w:hint="eastAsia"/>
            <w:b/>
            <w:bCs/>
          </w:rPr>
          <w:t>第十九部分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基金托管协议的内容摘要</w:t>
        </w:r>
        <w:r w:rsidR="00ED474B">
          <w:tab/>
        </w:r>
        <w:r w:rsidR="00ED474B">
          <w:fldChar w:fldCharType="begin"/>
        </w:r>
        <w:r w:rsidR="00ED474B">
          <w:instrText xml:space="preserve"> PAGEREF _Toc1464074 \h </w:instrText>
        </w:r>
        <w:r w:rsidR="00ED474B">
          <w:fldChar w:fldCharType="separate"/>
        </w:r>
        <w:r w:rsidR="00ED474B">
          <w:t>87</w:t>
        </w:r>
        <w:r w:rsidR="00ED474B">
          <w:fldChar w:fldCharType="end"/>
        </w:r>
      </w:hyperlink>
    </w:p>
    <w:p w14:paraId="78C07E0B" w14:textId="77777777" w:rsidR="004C06C5" w:rsidRDefault="0052669A">
      <w:pPr>
        <w:pStyle w:val="TOC1"/>
        <w:rPr>
          <w:rFonts w:asciiTheme="minorHAnsi" w:eastAsiaTheme="minorEastAsia" w:hAnsiTheme="minorHAnsi" w:cstheme="minorBidi"/>
          <w:caps w:val="0"/>
          <w:sz w:val="21"/>
          <w:szCs w:val="22"/>
        </w:rPr>
      </w:pPr>
      <w:hyperlink w:anchor="_Toc1464075" w:history="1">
        <w:r w:rsidR="00ED474B">
          <w:rPr>
            <w:rStyle w:val="aff9"/>
            <w:rFonts w:ascii="Arial Unicode MS" w:hAnsi="Arial Unicode MS" w:cs="Arial" w:hint="eastAsia"/>
            <w:b/>
            <w:bCs/>
          </w:rPr>
          <w:t>第二十部分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对基金份额持有人的服务</w:t>
        </w:r>
        <w:r w:rsidR="00ED474B">
          <w:tab/>
        </w:r>
        <w:r w:rsidR="00ED474B">
          <w:fldChar w:fldCharType="begin"/>
        </w:r>
        <w:r w:rsidR="00ED474B">
          <w:instrText xml:space="preserve"> PAGEREF _Toc1464075 \h </w:instrText>
        </w:r>
        <w:r w:rsidR="00ED474B">
          <w:fldChar w:fldCharType="separate"/>
        </w:r>
        <w:r w:rsidR="00ED474B">
          <w:t>104</w:t>
        </w:r>
        <w:r w:rsidR="00ED474B">
          <w:fldChar w:fldCharType="end"/>
        </w:r>
      </w:hyperlink>
    </w:p>
    <w:p w14:paraId="0BB05473" w14:textId="77777777" w:rsidR="004C06C5" w:rsidRDefault="0052669A">
      <w:pPr>
        <w:pStyle w:val="TOC1"/>
        <w:rPr>
          <w:rFonts w:asciiTheme="minorHAnsi" w:eastAsiaTheme="minorEastAsia" w:hAnsiTheme="minorHAnsi" w:cstheme="minorBidi"/>
          <w:caps w:val="0"/>
          <w:sz w:val="21"/>
          <w:szCs w:val="22"/>
        </w:rPr>
      </w:pPr>
      <w:hyperlink w:anchor="_Toc1464076" w:history="1">
        <w:r w:rsidR="00ED474B">
          <w:rPr>
            <w:rStyle w:val="aff9"/>
            <w:rFonts w:ascii="Arial Unicode MS" w:hAnsi="Arial Unicode MS" w:cs="Arial" w:hint="eastAsia"/>
            <w:b/>
            <w:bCs/>
          </w:rPr>
          <w:t>第二十一部分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其他应披露事项</w:t>
        </w:r>
        <w:r w:rsidR="00ED474B">
          <w:tab/>
        </w:r>
        <w:r w:rsidR="00ED474B">
          <w:fldChar w:fldCharType="begin"/>
        </w:r>
        <w:r w:rsidR="00ED474B">
          <w:instrText xml:space="preserve"> PAGEREF _Toc1464076 \h </w:instrText>
        </w:r>
        <w:r w:rsidR="00ED474B">
          <w:fldChar w:fldCharType="separate"/>
        </w:r>
        <w:r w:rsidR="00ED474B">
          <w:t>106</w:t>
        </w:r>
        <w:r w:rsidR="00ED474B">
          <w:fldChar w:fldCharType="end"/>
        </w:r>
      </w:hyperlink>
    </w:p>
    <w:p w14:paraId="06A47B59" w14:textId="77777777" w:rsidR="004C06C5" w:rsidRDefault="0052669A">
      <w:pPr>
        <w:pStyle w:val="TOC1"/>
        <w:rPr>
          <w:rFonts w:asciiTheme="minorHAnsi" w:eastAsiaTheme="minorEastAsia" w:hAnsiTheme="minorHAnsi" w:cstheme="minorBidi"/>
          <w:caps w:val="0"/>
          <w:sz w:val="21"/>
          <w:szCs w:val="22"/>
        </w:rPr>
      </w:pPr>
      <w:hyperlink w:anchor="_Toc1464077" w:history="1">
        <w:r w:rsidR="00ED474B">
          <w:rPr>
            <w:rStyle w:val="aff9"/>
            <w:rFonts w:ascii="Arial Unicode MS" w:hAnsi="Arial Unicode MS" w:cs="Arial" w:hint="eastAsia"/>
            <w:b/>
            <w:bCs/>
          </w:rPr>
          <w:t>第二十二部分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招募说明书的存放及查阅方式</w:t>
        </w:r>
        <w:r w:rsidR="00ED474B">
          <w:tab/>
        </w:r>
        <w:r w:rsidR="00ED474B">
          <w:fldChar w:fldCharType="begin"/>
        </w:r>
        <w:r w:rsidR="00ED474B">
          <w:instrText xml:space="preserve"> PAGEREF _Toc1464077 \h </w:instrText>
        </w:r>
        <w:r w:rsidR="00ED474B">
          <w:fldChar w:fldCharType="separate"/>
        </w:r>
        <w:r w:rsidR="00ED474B">
          <w:t>108</w:t>
        </w:r>
        <w:r w:rsidR="00ED474B">
          <w:fldChar w:fldCharType="end"/>
        </w:r>
      </w:hyperlink>
    </w:p>
    <w:p w14:paraId="6F1CC851" w14:textId="77777777" w:rsidR="004C06C5" w:rsidRDefault="0052669A">
      <w:pPr>
        <w:pStyle w:val="TOC1"/>
        <w:rPr>
          <w:rFonts w:asciiTheme="minorHAnsi" w:eastAsiaTheme="minorEastAsia" w:hAnsiTheme="minorHAnsi" w:cstheme="minorBidi"/>
          <w:caps w:val="0"/>
          <w:sz w:val="21"/>
          <w:szCs w:val="22"/>
        </w:rPr>
      </w:pPr>
      <w:hyperlink w:anchor="_Toc1464078" w:history="1">
        <w:r w:rsidR="00ED474B">
          <w:rPr>
            <w:rStyle w:val="aff9"/>
            <w:rFonts w:ascii="Arial Unicode MS" w:hAnsi="Arial Unicode MS" w:cs="Arial" w:hint="eastAsia"/>
            <w:b/>
            <w:bCs/>
          </w:rPr>
          <w:t>第二十三部分</w:t>
        </w:r>
        <w:r w:rsidR="00ED474B">
          <w:rPr>
            <w:rStyle w:val="aff9"/>
            <w:rFonts w:ascii="Arial Unicode MS" w:hAnsi="Arial Unicode MS" w:cs="Arial"/>
            <w:b/>
            <w:bCs/>
          </w:rPr>
          <w:t xml:space="preserve">  </w:t>
        </w:r>
        <w:r w:rsidR="00ED474B">
          <w:rPr>
            <w:rStyle w:val="aff9"/>
            <w:rFonts w:ascii="Arial Unicode MS" w:hAnsi="Arial Unicode MS" w:cs="Arial" w:hint="eastAsia"/>
            <w:b/>
            <w:bCs/>
          </w:rPr>
          <w:t>备查文件</w:t>
        </w:r>
        <w:r w:rsidR="00ED474B">
          <w:tab/>
        </w:r>
        <w:r w:rsidR="00ED474B">
          <w:fldChar w:fldCharType="begin"/>
        </w:r>
        <w:r w:rsidR="00ED474B">
          <w:instrText xml:space="preserve"> PAGEREF _Toc1464078 \h </w:instrText>
        </w:r>
        <w:r w:rsidR="00ED474B">
          <w:fldChar w:fldCharType="separate"/>
        </w:r>
        <w:r w:rsidR="00ED474B">
          <w:t>109</w:t>
        </w:r>
        <w:r w:rsidR="00ED474B">
          <w:fldChar w:fldCharType="end"/>
        </w:r>
      </w:hyperlink>
    </w:p>
    <w:p w14:paraId="3E3DB41A" w14:textId="77777777" w:rsidR="004C06C5" w:rsidRDefault="00ED474B">
      <w:pPr>
        <w:adjustRightInd w:val="0"/>
        <w:snapToGrid w:val="0"/>
        <w:spacing w:line="360" w:lineRule="auto"/>
        <w:rPr>
          <w:rFonts w:ascii="Arial Unicode MS" w:hAnsi="Arial Unicode MS" w:cs="Arial"/>
          <w:bCs/>
          <w:spacing w:val="120"/>
          <w:szCs w:val="21"/>
        </w:rPr>
        <w:sectPr w:rsidR="004C06C5">
          <w:footerReference w:type="default" r:id="rId13"/>
          <w:headerReference w:type="first" r:id="rId14"/>
          <w:footerReference w:type="first" r:id="rId15"/>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603319D7" w14:textId="77777777" w:rsidR="004C06C5" w:rsidRDefault="004C06C5">
      <w:pPr>
        <w:rPr>
          <w:rFonts w:ascii="Arial Unicode MS" w:hAnsi="Arial Unicode MS"/>
          <w:lang w:val="zh-CN"/>
        </w:rPr>
        <w:sectPr w:rsidR="004C06C5">
          <w:footerReference w:type="default" r:id="rId16"/>
          <w:footerReference w:type="first" r:id="rId17"/>
          <w:type w:val="continuous"/>
          <w:pgSz w:w="11906" w:h="16838"/>
          <w:pgMar w:top="1440" w:right="1800" w:bottom="1440" w:left="1800" w:header="851" w:footer="992" w:gutter="0"/>
          <w:cols w:space="720"/>
          <w:titlePg/>
          <w:docGrid w:linePitch="312"/>
        </w:sectPr>
      </w:pPr>
    </w:p>
    <w:p w14:paraId="2373497D" w14:textId="77777777" w:rsidR="004C06C5" w:rsidRDefault="00ED474B">
      <w:pPr>
        <w:pStyle w:val="11"/>
        <w:snapToGrid w:val="0"/>
        <w:spacing w:before="0" w:after="0" w:line="360" w:lineRule="auto"/>
        <w:ind w:firstLineChars="50" w:firstLine="141"/>
        <w:rPr>
          <w:rFonts w:ascii="Arial Unicode MS" w:eastAsia="宋体" w:hAnsi="Arial Unicode MS" w:cs="Arial"/>
          <w:b/>
          <w:bCs/>
          <w:sz w:val="28"/>
          <w:szCs w:val="28"/>
        </w:rPr>
      </w:pPr>
      <w:bookmarkStart w:id="4" w:name="_Toc1464056"/>
      <w:bookmarkStart w:id="5" w:name="_Toc335232691"/>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4"/>
      <w:bookmarkEnd w:id="5"/>
    </w:p>
    <w:p w14:paraId="18D707F8" w14:textId="77777777" w:rsidR="004C06C5" w:rsidRDefault="004C06C5">
      <w:pPr>
        <w:autoSpaceDE w:val="0"/>
        <w:autoSpaceDN w:val="0"/>
        <w:adjustRightInd w:val="0"/>
        <w:snapToGrid w:val="0"/>
        <w:spacing w:line="360" w:lineRule="auto"/>
        <w:ind w:firstLineChars="200" w:firstLine="420"/>
        <w:rPr>
          <w:rFonts w:ascii="Arial Unicode MS" w:hAnsi="Arial Unicode MS" w:cs="Arial"/>
          <w:szCs w:val="21"/>
        </w:rPr>
      </w:pPr>
    </w:p>
    <w:p w14:paraId="0C597A7B" w14:textId="77777777"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《富荣富乾债券型证券投资基金招募说明书》（以下简称</w:t>
      </w:r>
      <w:r>
        <w:rPr>
          <w:rFonts w:ascii="Arial Unicode MS" w:hAnsi="Arial Unicode MS" w:cs="Arial" w:hint="eastAsia"/>
        </w:rPr>
        <w:t>“</w:t>
      </w:r>
      <w:r>
        <w:rPr>
          <w:rFonts w:ascii="Arial Unicode MS" w:hAnsi="Arial Unicode MS" w:cs="Arial"/>
        </w:rPr>
        <w:t>招募说明书</w:t>
      </w:r>
      <w:r>
        <w:rPr>
          <w:rFonts w:ascii="Arial Unicode MS" w:hAnsi="Arial Unicode MS" w:cs="Arial" w:hint="eastAsia"/>
        </w:rPr>
        <w:t>”</w:t>
      </w:r>
      <w:r>
        <w:rPr>
          <w:rFonts w:ascii="Arial Unicode MS" w:hAnsi="Arial Unicode MS" w:cs="Arial"/>
        </w:rPr>
        <w:t>或</w:t>
      </w:r>
      <w:r>
        <w:rPr>
          <w:rFonts w:ascii="Arial Unicode MS" w:hAnsi="Arial Unicode MS" w:cs="Arial" w:hint="eastAsia"/>
        </w:rPr>
        <w:t>“</w:t>
      </w:r>
      <w:r>
        <w:rPr>
          <w:rFonts w:ascii="Arial Unicode MS" w:hAnsi="Arial Unicode MS" w:cs="Arial"/>
        </w:rPr>
        <w:t>本招募说明书</w:t>
      </w:r>
      <w:r>
        <w:rPr>
          <w:rFonts w:ascii="Arial Unicode MS" w:hAnsi="Arial Unicode MS" w:cs="Arial" w:hint="eastAsia"/>
        </w:rPr>
        <w:t>”</w:t>
      </w:r>
      <w:r>
        <w:rPr>
          <w:rFonts w:ascii="Arial Unicode MS" w:hAnsi="Arial Unicode MS" w:cs="Arial"/>
        </w:rPr>
        <w:t>）依照《中华人民共和国证券投资基金法》（以下简称</w:t>
      </w:r>
      <w:r>
        <w:rPr>
          <w:rFonts w:ascii="Arial Unicode MS" w:hAnsi="Arial Unicode MS" w:cs="Arial" w:hint="eastAsia"/>
        </w:rPr>
        <w:t>“</w:t>
      </w:r>
      <w:r>
        <w:rPr>
          <w:rFonts w:ascii="Arial Unicode MS" w:hAnsi="Arial Unicode MS" w:cs="Arial"/>
        </w:rPr>
        <w:t>《基金法》</w:t>
      </w:r>
      <w:r>
        <w:rPr>
          <w:rFonts w:ascii="Arial Unicode MS" w:hAnsi="Arial Unicode MS" w:cs="Arial" w:hint="eastAsia"/>
        </w:rPr>
        <w:t>”</w:t>
      </w:r>
      <w:r>
        <w:rPr>
          <w:rFonts w:ascii="Arial Unicode MS" w:hAnsi="Arial Unicode MS" w:cs="Arial"/>
        </w:rPr>
        <w:t>）、《公开募集证券投资基金运作管理办法》（以下简称</w:t>
      </w:r>
      <w:r>
        <w:rPr>
          <w:rFonts w:ascii="Arial Unicode MS" w:hAnsi="Arial Unicode MS" w:cs="Arial" w:hint="eastAsia"/>
        </w:rPr>
        <w:t>“</w:t>
      </w:r>
      <w:r>
        <w:rPr>
          <w:rFonts w:ascii="Arial Unicode MS" w:hAnsi="Arial Unicode MS" w:cs="Arial"/>
        </w:rPr>
        <w:t>《运作办法》</w:t>
      </w:r>
      <w:r>
        <w:rPr>
          <w:rFonts w:ascii="Arial Unicode MS" w:hAnsi="Arial Unicode MS" w:cs="Arial" w:hint="eastAsia"/>
        </w:rPr>
        <w:t>”</w:t>
      </w:r>
      <w:r>
        <w:rPr>
          <w:rFonts w:ascii="Arial Unicode MS" w:hAnsi="Arial Unicode MS" w:cs="Arial"/>
        </w:rPr>
        <w:t>）、《证券投资基金销售管理办法》（以下简称</w:t>
      </w:r>
      <w:r>
        <w:rPr>
          <w:rFonts w:ascii="Arial Unicode MS" w:hAnsi="Arial Unicode MS" w:cs="Arial" w:hint="eastAsia"/>
        </w:rPr>
        <w:t>“</w:t>
      </w:r>
      <w:r>
        <w:rPr>
          <w:rFonts w:ascii="Arial Unicode MS" w:hAnsi="Arial Unicode MS" w:cs="Arial"/>
        </w:rPr>
        <w:t>《销售办法》</w:t>
      </w:r>
      <w:r>
        <w:rPr>
          <w:rFonts w:ascii="Arial Unicode MS" w:hAnsi="Arial Unicode MS" w:cs="Arial" w:hint="eastAsia"/>
        </w:rPr>
        <w:t>”</w:t>
      </w:r>
      <w:r>
        <w:rPr>
          <w:rFonts w:ascii="Arial Unicode MS" w:hAnsi="Arial Unicode MS" w:cs="Arial"/>
        </w:rPr>
        <w:t>）、《</w:t>
      </w:r>
      <w:r>
        <w:rPr>
          <w:rFonts w:ascii="Arial Unicode MS" w:hAnsi="Arial Unicode MS" w:cs="Arial" w:hint="eastAsia"/>
        </w:rPr>
        <w:t>公开募集证券投资基金信息披露管理办法</w:t>
      </w:r>
      <w:r>
        <w:rPr>
          <w:rFonts w:ascii="Arial Unicode MS" w:hAnsi="Arial Unicode MS" w:cs="Arial"/>
        </w:rPr>
        <w:t>》（以下简称</w:t>
      </w:r>
      <w:r>
        <w:rPr>
          <w:rFonts w:ascii="Arial Unicode MS" w:hAnsi="Arial Unicode MS" w:cs="Arial" w:hint="eastAsia"/>
        </w:rPr>
        <w:t>“</w:t>
      </w:r>
      <w:r>
        <w:rPr>
          <w:rFonts w:ascii="Arial Unicode MS" w:hAnsi="Arial Unicode MS" w:cs="Arial"/>
        </w:rPr>
        <w:t>《信息披露办法》</w:t>
      </w:r>
      <w:r>
        <w:rPr>
          <w:rFonts w:ascii="Arial Unicode MS" w:hAnsi="Arial Unicode MS" w:cs="Arial" w:hint="eastAsia"/>
        </w:rPr>
        <w:t>”</w:t>
      </w:r>
      <w:r>
        <w:rPr>
          <w:rFonts w:ascii="Arial Unicode MS" w:hAnsi="Arial Unicode MS" w:cs="Arial"/>
        </w:rPr>
        <w:t>）</w:t>
      </w:r>
      <w:r>
        <w:rPr>
          <w:rFonts w:ascii="Arial Unicode MS" w:hAnsi="Arial Unicode MS" w:cs="Arial" w:hint="eastAsia"/>
        </w:rPr>
        <w:t>、《公开募集开放式证券投资基金流动性风险管理规定》（以下简称“《管理规定》”）</w:t>
      </w:r>
      <w:r>
        <w:rPr>
          <w:rFonts w:ascii="Arial Unicode MS" w:hAnsi="Arial Unicode MS" w:cs="Arial"/>
          <w:bCs/>
        </w:rPr>
        <w:t>和其他有关法律法规</w:t>
      </w:r>
      <w:r>
        <w:rPr>
          <w:rFonts w:ascii="Arial Unicode MS" w:hAnsi="Arial Unicode MS" w:cs="Arial"/>
        </w:rPr>
        <w:t>以及《富荣富乾债券型证券投资基金基金合同》（以下简称</w:t>
      </w:r>
      <w:r>
        <w:rPr>
          <w:rFonts w:ascii="Arial Unicode MS" w:hAnsi="Arial Unicode MS" w:cs="Arial" w:hint="eastAsia"/>
        </w:rPr>
        <w:t>“</w:t>
      </w:r>
      <w:r>
        <w:rPr>
          <w:rFonts w:ascii="Arial Unicode MS" w:hAnsi="Arial Unicode MS" w:cs="Arial"/>
        </w:rPr>
        <w:t>基金合同</w:t>
      </w:r>
      <w:r>
        <w:rPr>
          <w:rFonts w:ascii="Arial Unicode MS" w:hAnsi="Arial Unicode MS" w:cs="Arial" w:hint="eastAsia"/>
        </w:rPr>
        <w:t>”</w:t>
      </w:r>
      <w:r>
        <w:rPr>
          <w:rFonts w:ascii="Arial Unicode MS" w:hAnsi="Arial Unicode MS" w:cs="Arial"/>
        </w:rPr>
        <w:t>）编写。</w:t>
      </w:r>
    </w:p>
    <w:p w14:paraId="5FBC7BCD" w14:textId="77777777"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本招募说明书阐述了富</w:t>
      </w:r>
      <w:proofErr w:type="gramStart"/>
      <w:r>
        <w:rPr>
          <w:rFonts w:ascii="Arial Unicode MS" w:hAnsi="Arial Unicode MS" w:cs="Arial"/>
        </w:rPr>
        <w:t>荣富乾债券</w:t>
      </w:r>
      <w:proofErr w:type="gramEnd"/>
      <w:r>
        <w:rPr>
          <w:rFonts w:ascii="Arial Unicode MS" w:hAnsi="Arial Unicode MS" w:cs="Arial"/>
        </w:rPr>
        <w:t>型证券投资基金的投资目标、策略、风险、费率等与投资人投资决策有关的必要事项，投资人在</w:t>
      </w:r>
      <w:proofErr w:type="gramStart"/>
      <w:r>
        <w:rPr>
          <w:rFonts w:ascii="Arial Unicode MS" w:hAnsi="Arial Unicode MS" w:cs="Arial"/>
        </w:rPr>
        <w:t>作出</w:t>
      </w:r>
      <w:proofErr w:type="gramEnd"/>
      <w:r>
        <w:rPr>
          <w:rFonts w:ascii="Arial Unicode MS" w:hAnsi="Arial Unicode MS" w:cs="Arial"/>
        </w:rPr>
        <w:t>投资决策前应仔细阅读本招募说明书。</w:t>
      </w:r>
    </w:p>
    <w:p w14:paraId="5CE64D60" w14:textId="77777777"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基金管理人承诺本招募说明书不存在任何虚假记载、误导性陈述或重大遗漏，并对其真实性、准确性、完整性承担法律责任。</w:t>
      </w:r>
    </w:p>
    <w:p w14:paraId="0A3336EB" w14:textId="77777777"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富</w:t>
      </w:r>
      <w:proofErr w:type="gramStart"/>
      <w:r>
        <w:rPr>
          <w:rFonts w:ascii="Arial Unicode MS" w:hAnsi="Arial Unicode MS" w:cs="Arial"/>
        </w:rPr>
        <w:t>荣富乾债券</w:t>
      </w:r>
      <w:proofErr w:type="gramEnd"/>
      <w:r>
        <w:rPr>
          <w:rFonts w:ascii="Arial Unicode MS" w:hAnsi="Arial Unicode MS" w:cs="Arial"/>
        </w:rPr>
        <w:t>型证券投资基金（以下简称</w:t>
      </w:r>
      <w:r>
        <w:rPr>
          <w:rFonts w:ascii="Arial Unicode MS" w:hAnsi="Arial Unicode MS" w:cs="Arial" w:hint="eastAsia"/>
        </w:rPr>
        <w:t>“</w:t>
      </w:r>
      <w:r>
        <w:rPr>
          <w:rFonts w:ascii="Arial Unicode MS" w:hAnsi="Arial Unicode MS" w:cs="Arial"/>
        </w:rPr>
        <w:t>基金</w:t>
      </w:r>
      <w:r>
        <w:rPr>
          <w:rFonts w:ascii="Arial Unicode MS" w:hAnsi="Arial Unicode MS" w:cs="Arial" w:hint="eastAsia"/>
        </w:rPr>
        <w:t>”</w:t>
      </w:r>
      <w:r>
        <w:rPr>
          <w:rFonts w:ascii="Arial Unicode MS" w:hAnsi="Arial Unicode MS" w:cs="Arial"/>
        </w:rPr>
        <w:t>或</w:t>
      </w:r>
      <w:r>
        <w:rPr>
          <w:rFonts w:ascii="Arial Unicode MS" w:hAnsi="Arial Unicode MS" w:cs="Arial" w:hint="eastAsia"/>
        </w:rPr>
        <w:t>“</w:t>
      </w:r>
      <w:r>
        <w:rPr>
          <w:rFonts w:ascii="Arial Unicode MS" w:hAnsi="Arial Unicode MS" w:cs="Arial"/>
        </w:rPr>
        <w:t>本基金</w:t>
      </w:r>
      <w:r>
        <w:rPr>
          <w:rFonts w:ascii="Arial Unicode MS" w:hAnsi="Arial Unicode MS" w:cs="Arial" w:hint="eastAsia"/>
        </w:rPr>
        <w:t>”</w:t>
      </w:r>
      <w:r>
        <w:rPr>
          <w:rFonts w:ascii="Arial Unicode MS" w:hAnsi="Arial Unicode MS" w:cs="Arial"/>
        </w:rPr>
        <w:t>）是根据本招募说明书所载明的资料申请募集的。本基金管理人没有委托或授权任何其他人提供未在本招募说明书中载明的信息，或对本招募说明书作任何解释或者说明。</w:t>
      </w:r>
    </w:p>
    <w:p w14:paraId="69CE7D15" w14:textId="77777777"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本招募说明书根据本基金的基金合同编写，并经中国证监会注册。基金合同是约定基金合同当事人之间权利、义务的法律文件。基金</w:t>
      </w:r>
      <w:proofErr w:type="gramStart"/>
      <w:r>
        <w:rPr>
          <w:rFonts w:ascii="Arial Unicode MS" w:hAnsi="Arial Unicode MS" w:cs="Arial"/>
        </w:rPr>
        <w:t>投资者自依基金</w:t>
      </w:r>
      <w:proofErr w:type="gramEnd"/>
      <w:r>
        <w:rPr>
          <w:rFonts w:ascii="Arial Unicode MS" w:hAnsi="Arial Unicode MS" w:cs="Arial"/>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31A172CF" w14:textId="77777777" w:rsidR="004C06C5" w:rsidRDefault="004C06C5">
      <w:pPr>
        <w:adjustRightInd w:val="0"/>
        <w:snapToGrid w:val="0"/>
        <w:spacing w:line="360" w:lineRule="auto"/>
        <w:ind w:firstLineChars="200" w:firstLine="420"/>
        <w:rPr>
          <w:rFonts w:ascii="Arial Unicode MS" w:hAnsi="Arial Unicode MS" w:cs="Arial"/>
        </w:rPr>
      </w:pPr>
    </w:p>
    <w:p w14:paraId="19BE436C" w14:textId="77777777" w:rsidR="004C06C5" w:rsidRDefault="004C06C5">
      <w:pPr>
        <w:adjustRightInd w:val="0"/>
        <w:snapToGrid w:val="0"/>
        <w:spacing w:line="360" w:lineRule="auto"/>
        <w:ind w:firstLineChars="200" w:firstLine="420"/>
        <w:rPr>
          <w:rFonts w:ascii="Arial Unicode MS" w:hAnsi="Arial Unicode MS" w:cs="Arial"/>
        </w:rPr>
      </w:pPr>
    </w:p>
    <w:p w14:paraId="332D4001" w14:textId="77777777" w:rsidR="004C06C5" w:rsidRDefault="004C06C5">
      <w:pPr>
        <w:adjustRightInd w:val="0"/>
        <w:snapToGrid w:val="0"/>
        <w:spacing w:line="360" w:lineRule="auto"/>
        <w:ind w:firstLineChars="200" w:firstLine="420"/>
        <w:rPr>
          <w:rFonts w:ascii="Arial Unicode MS" w:hAnsi="Arial Unicode MS" w:cs="Arial"/>
        </w:rPr>
      </w:pPr>
    </w:p>
    <w:p w14:paraId="69FD41EC" w14:textId="77777777" w:rsidR="004C06C5" w:rsidRDefault="004C06C5">
      <w:pPr>
        <w:adjustRightInd w:val="0"/>
        <w:snapToGrid w:val="0"/>
        <w:spacing w:line="360" w:lineRule="auto"/>
        <w:ind w:firstLineChars="200" w:firstLine="420"/>
        <w:rPr>
          <w:rFonts w:ascii="Arial Unicode MS" w:hAnsi="Arial Unicode MS" w:cs="Arial"/>
        </w:rPr>
      </w:pPr>
    </w:p>
    <w:p w14:paraId="33D6F997" w14:textId="77777777" w:rsidR="004C06C5" w:rsidRDefault="004C06C5">
      <w:pPr>
        <w:adjustRightInd w:val="0"/>
        <w:snapToGrid w:val="0"/>
        <w:spacing w:line="360" w:lineRule="auto"/>
        <w:ind w:firstLineChars="200" w:firstLine="420"/>
        <w:rPr>
          <w:rFonts w:ascii="Arial Unicode MS" w:hAnsi="Arial Unicode MS" w:cs="Arial"/>
        </w:rPr>
      </w:pPr>
    </w:p>
    <w:p w14:paraId="5931DD30" w14:textId="77777777" w:rsidR="004C06C5" w:rsidRDefault="004C06C5">
      <w:pPr>
        <w:adjustRightInd w:val="0"/>
        <w:snapToGrid w:val="0"/>
        <w:spacing w:line="360" w:lineRule="auto"/>
        <w:ind w:firstLineChars="200" w:firstLine="420"/>
        <w:rPr>
          <w:rFonts w:ascii="Arial Unicode MS" w:hAnsi="Arial Unicode MS" w:cs="Arial"/>
        </w:rPr>
      </w:pPr>
    </w:p>
    <w:p w14:paraId="68FF5147" w14:textId="77777777" w:rsidR="004C06C5" w:rsidRDefault="004C06C5">
      <w:pPr>
        <w:adjustRightInd w:val="0"/>
        <w:snapToGrid w:val="0"/>
        <w:spacing w:line="360" w:lineRule="auto"/>
        <w:ind w:firstLineChars="200" w:firstLine="420"/>
        <w:rPr>
          <w:rFonts w:ascii="Arial Unicode MS" w:hAnsi="Arial Unicode MS" w:cs="Arial"/>
        </w:rPr>
      </w:pPr>
    </w:p>
    <w:p w14:paraId="25DDFEA4" w14:textId="77777777" w:rsidR="004C06C5" w:rsidRDefault="004C06C5">
      <w:pPr>
        <w:adjustRightInd w:val="0"/>
        <w:snapToGrid w:val="0"/>
        <w:spacing w:line="360" w:lineRule="auto"/>
        <w:ind w:firstLineChars="200" w:firstLine="420"/>
        <w:rPr>
          <w:rFonts w:ascii="Arial Unicode MS" w:hAnsi="Arial Unicode MS" w:cs="Arial"/>
        </w:rPr>
      </w:pPr>
    </w:p>
    <w:p w14:paraId="507E97FE" w14:textId="77777777" w:rsidR="004C06C5" w:rsidRDefault="004C06C5">
      <w:pPr>
        <w:adjustRightInd w:val="0"/>
        <w:snapToGrid w:val="0"/>
        <w:spacing w:line="360" w:lineRule="auto"/>
        <w:ind w:firstLineChars="200" w:firstLine="420"/>
        <w:rPr>
          <w:rFonts w:ascii="Arial Unicode MS" w:hAnsi="Arial Unicode MS" w:cs="Arial"/>
        </w:rPr>
      </w:pPr>
    </w:p>
    <w:p w14:paraId="2399D0E1" w14:textId="77777777" w:rsidR="004C06C5" w:rsidRDefault="00ED474B">
      <w:pPr>
        <w:pStyle w:val="11"/>
        <w:snapToGrid w:val="0"/>
        <w:spacing w:before="0" w:after="0" w:line="360" w:lineRule="auto"/>
        <w:ind w:firstLine="141"/>
        <w:rPr>
          <w:rFonts w:ascii="Arial Unicode MS" w:eastAsia="宋体" w:hAnsi="Arial Unicode MS" w:cs="Arial"/>
          <w:b/>
          <w:bCs/>
          <w:sz w:val="28"/>
          <w:szCs w:val="28"/>
        </w:rPr>
      </w:pPr>
      <w:bookmarkStart w:id="6" w:name="_Toc214873591"/>
      <w:bookmarkStart w:id="7" w:name="_Toc1464057"/>
      <w:bookmarkStart w:id="8" w:name="_Toc335232692"/>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6"/>
      <w:bookmarkEnd w:id="7"/>
      <w:bookmarkEnd w:id="8"/>
    </w:p>
    <w:p w14:paraId="5EEF06E7" w14:textId="77777777" w:rsidR="004C06C5" w:rsidRDefault="004C06C5">
      <w:pPr>
        <w:rPr>
          <w:rFonts w:ascii="Arial Unicode MS" w:hAnsi="Arial Unicode MS"/>
          <w:lang w:val="zh-CN"/>
        </w:rPr>
      </w:pPr>
    </w:p>
    <w:p w14:paraId="12E8AA7B"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在本招募说明书中，除非文义另有所指，下列词语具有以下含义：</w:t>
      </w:r>
    </w:p>
    <w:p w14:paraId="02E0ED01" w14:textId="77777777" w:rsidR="004C06C5" w:rsidRDefault="00ED474B">
      <w:pPr>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szCs w:val="21"/>
        </w:rPr>
        <w:t>、基金或本基金：</w:t>
      </w:r>
      <w:proofErr w:type="gramStart"/>
      <w:r>
        <w:rPr>
          <w:rFonts w:ascii="Arial Unicode MS" w:hAnsi="Arial Unicode MS" w:cs="Arial"/>
          <w:szCs w:val="21"/>
        </w:rPr>
        <w:t>指富荣富乾</w:t>
      </w:r>
      <w:proofErr w:type="gramEnd"/>
      <w:r>
        <w:rPr>
          <w:rFonts w:ascii="Arial Unicode MS" w:hAnsi="Arial Unicode MS" w:cs="Arial"/>
          <w:szCs w:val="21"/>
        </w:rPr>
        <w:t>债券型证券投资基金</w:t>
      </w:r>
    </w:p>
    <w:p w14:paraId="09F0FB4F"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、基金管理人：指富荣基金管理有限公司</w:t>
      </w:r>
      <w:r>
        <w:rPr>
          <w:rFonts w:ascii="Arial Unicode MS" w:hAnsi="Arial Unicode MS" w:cs="Arial"/>
          <w:szCs w:val="21"/>
        </w:rPr>
        <w:t xml:space="preserve">      </w:t>
      </w:r>
    </w:p>
    <w:p w14:paraId="7CE5C52A"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szCs w:val="21"/>
        </w:rPr>
        <w:t>、基金托管人：指上海浦东发展银行股份有限公司</w:t>
      </w:r>
      <w:r>
        <w:rPr>
          <w:rFonts w:ascii="Arial Unicode MS" w:hAnsi="Arial Unicode MS" w:cs="Arial"/>
          <w:szCs w:val="21"/>
        </w:rPr>
        <w:t xml:space="preserve">    </w:t>
      </w:r>
    </w:p>
    <w:p w14:paraId="15C9C753"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szCs w:val="21"/>
        </w:rPr>
        <w:t>、基金合同：指《富荣富乾债券型证券投资基金基金合同》及对基金合同的任何有效修订和补充</w:t>
      </w:r>
    </w:p>
    <w:p w14:paraId="78F07512"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、托管协议：指基金管理人与基金托管人就本基金签订之《富荣富乾债券型证券投资基金托管协议》及对该托管协议的任何有效修订和补充</w:t>
      </w:r>
    </w:p>
    <w:p w14:paraId="3BC81D0A"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、招募说明书：指《富荣富乾债券型证券投资基金招募说明书》及其更新</w:t>
      </w:r>
    </w:p>
    <w:p w14:paraId="070ED8E3"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、基金产品资料概要：指《富荣富乾债券型证券投资基金基金产品资料概要》及其更新</w:t>
      </w:r>
    </w:p>
    <w:p w14:paraId="5FA31E2E"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8</w:t>
      </w:r>
      <w:r>
        <w:rPr>
          <w:rFonts w:ascii="Arial Unicode MS" w:hAnsi="Arial Unicode MS" w:cs="Arial" w:hint="eastAsia"/>
          <w:szCs w:val="21"/>
        </w:rPr>
        <w:t>、基金份额发售公告：指《富荣富乾债券型证券投资基金基金份额发售公告》</w:t>
      </w:r>
    </w:p>
    <w:p w14:paraId="0FC9C0E0"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49F91602"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w:t>
      </w:r>
      <w:r>
        <w:rPr>
          <w:rFonts w:ascii="Arial Unicode MS" w:hAnsi="Arial Unicode MS" w:cs="Arial" w:hint="eastAsia"/>
          <w:szCs w:val="21"/>
        </w:rPr>
        <w:t>&lt;</w:t>
      </w:r>
      <w:r>
        <w:rPr>
          <w:rFonts w:ascii="Arial Unicode MS" w:hAnsi="Arial Unicode MS" w:cs="Arial" w:hint="eastAsia"/>
          <w:szCs w:val="21"/>
        </w:rPr>
        <w:t>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73CE3340"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日颁布、同年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日实施的《证券投资基金销售管理办法》及颁布机关对其不时做出的修订</w:t>
      </w:r>
    </w:p>
    <w:p w14:paraId="48910700"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hint="eastAsia"/>
          <w:szCs w:val="21"/>
        </w:rPr>
        <w:t>2019</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26</w:t>
      </w:r>
      <w:r>
        <w:rPr>
          <w:rFonts w:ascii="Arial Unicode MS" w:hAnsi="Arial Unicode MS" w:cs="Arial" w:hint="eastAsia"/>
          <w:szCs w:val="21"/>
        </w:rPr>
        <w:t>日颁布、同年</w:t>
      </w:r>
      <w:r>
        <w:rPr>
          <w:rFonts w:ascii="Arial Unicode MS" w:hAnsi="Arial Unicode MS" w:cs="Arial" w:hint="eastAsia"/>
          <w:szCs w:val="21"/>
        </w:rPr>
        <w:t>9</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日实施的《公开募集证券投资基金信息披露管理办法》</w:t>
      </w:r>
      <w:r>
        <w:rPr>
          <w:rFonts w:ascii="Arial Unicode MS" w:hAnsi="Arial Unicode MS" w:cs="Arial" w:hint="eastAsia"/>
          <w:szCs w:val="21"/>
        </w:rPr>
        <w:t xml:space="preserve"> </w:t>
      </w:r>
      <w:r>
        <w:rPr>
          <w:rFonts w:ascii="Arial Unicode MS" w:hAnsi="Arial Unicode MS" w:cs="Arial" w:hint="eastAsia"/>
          <w:szCs w:val="21"/>
        </w:rPr>
        <w:t>及颁布机关对其不时做出的修订</w:t>
      </w:r>
    </w:p>
    <w:p w14:paraId="7EC66270"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日实施的《公开募集证券投资基金运作管理办法》及颁布机关对其不时做出的修订</w:t>
      </w:r>
    </w:p>
    <w:p w14:paraId="1BBB61EB"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、《管理规定》：指中国证监会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w:t>
      </w:r>
      <w:r>
        <w:rPr>
          <w:rFonts w:ascii="Arial Unicode MS" w:hAnsi="Arial Unicode MS" w:cs="Arial" w:hint="eastAsia"/>
          <w:szCs w:val="21"/>
        </w:rPr>
        <w:lastRenderedPageBreak/>
        <w:t>开募集开放式证券投资基金流动性风险管理规定》及颁布机关对其不时做出的修订</w:t>
      </w:r>
    </w:p>
    <w:p w14:paraId="7EA83854"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1685E50E"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hint="eastAsia"/>
          <w:szCs w:val="21"/>
        </w:rPr>
        <w:t>/</w:t>
      </w:r>
      <w:r>
        <w:rPr>
          <w:rFonts w:ascii="Arial Unicode MS" w:hAnsi="Arial Unicode MS" w:cs="Arial" w:hint="eastAsia"/>
          <w:szCs w:val="21"/>
        </w:rPr>
        <w:t>或中国银行业监督管理委员会</w:t>
      </w:r>
    </w:p>
    <w:p w14:paraId="29B10B5A"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080D3731"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7E0B0ED1"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094454BA"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20</w:t>
      </w:r>
      <w:r>
        <w:rPr>
          <w:rFonts w:ascii="Arial Unicode MS" w:hAnsi="Arial Unicode MS" w:cs="Arial" w:hint="eastAsia"/>
          <w:szCs w:val="21"/>
        </w:rPr>
        <w:t>、合格境外机构投资者：指符合相关法律法规规定可以投资于在中国境内依法募集的证券投资基金的中国境外的机构投资者</w:t>
      </w:r>
    </w:p>
    <w:p w14:paraId="1D730D28"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、投资人：指个人投资者、机构投资者和合格境外机构投资者以及法律法规或中国证监会允许购买证券投资基金的其他投资人的合称</w:t>
      </w:r>
    </w:p>
    <w:p w14:paraId="61CC8A1A"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、基金份额持有人：指依基金合同和招募说明书合法取得基金份额的投资人</w:t>
      </w:r>
    </w:p>
    <w:p w14:paraId="7EDAE7BA"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2EF8B412"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、销售机构：指富荣基金管理有限公司以及符合《销售办法》和中国证监会规定的其他条件，取得基金销售业务资格并与基金管理人签订了基金销售服务协议，办理基金销售业务的机构</w:t>
      </w:r>
    </w:p>
    <w:p w14:paraId="1620E6CA"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Arial Unicode MS" w:hAnsi="Arial Unicode MS" w:cs="Arial" w:hint="eastAsia"/>
          <w:szCs w:val="21"/>
        </w:rPr>
        <w:t>非交易</w:t>
      </w:r>
      <w:proofErr w:type="gramEnd"/>
      <w:r>
        <w:rPr>
          <w:rFonts w:ascii="Arial Unicode MS" w:hAnsi="Arial Unicode MS" w:cs="Arial" w:hint="eastAsia"/>
          <w:szCs w:val="21"/>
        </w:rPr>
        <w:t>过户等</w:t>
      </w:r>
    </w:p>
    <w:p w14:paraId="07429B78"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、登记机构：</w:t>
      </w:r>
      <w:proofErr w:type="gramStart"/>
      <w:r>
        <w:rPr>
          <w:rFonts w:ascii="Arial Unicode MS" w:hAnsi="Arial Unicode MS" w:cs="Arial" w:hint="eastAsia"/>
          <w:szCs w:val="21"/>
        </w:rPr>
        <w:t>指办理</w:t>
      </w:r>
      <w:proofErr w:type="gramEnd"/>
      <w:r>
        <w:rPr>
          <w:rFonts w:ascii="Arial Unicode MS" w:hAnsi="Arial Unicode MS" w:cs="Arial" w:hint="eastAsia"/>
          <w:szCs w:val="21"/>
        </w:rPr>
        <w:t>登记业务的机构。基金的登记机构为富荣基金管理有限公司或接受富荣基金管理有限公司委托代为办理登记业务的机构，本基金的登记机构为富荣基金管理有限公司</w:t>
      </w:r>
    </w:p>
    <w:p w14:paraId="2152F408"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、基金账户：指登记机构为投资人开立的、记录其持有的、基金管理人所管理的基金份额余额及其变动情况的账户</w:t>
      </w:r>
    </w:p>
    <w:p w14:paraId="06689B8B"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、基金交易账户：指销售机构为投资人开立的、记录投资人通过该销售机构办理认购、申购、赎回、转换及转托管等业务而引起的基金份额变动及结余情况的账户</w:t>
      </w:r>
    </w:p>
    <w:p w14:paraId="7623E5A8"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、基金合同生效日：指基金募集达到法律法规规定及基金合同规定的条件，基金管</w:t>
      </w:r>
      <w:r>
        <w:rPr>
          <w:rFonts w:ascii="Arial Unicode MS" w:hAnsi="Arial Unicode MS" w:cs="Arial" w:hint="eastAsia"/>
          <w:szCs w:val="21"/>
        </w:rPr>
        <w:lastRenderedPageBreak/>
        <w:t>理人向中国证监会办理基金备案手续完毕，并获得中国证监会书面确认的日期</w:t>
      </w:r>
    </w:p>
    <w:p w14:paraId="5A2E46C8"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30</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3C5E3E19"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06811DF3"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、存续期：指基金合同生效至终止之间的不定期期限</w:t>
      </w:r>
    </w:p>
    <w:p w14:paraId="2266B717"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、工作日：指上海证券交易所、深圳证券交易所的正常交易日</w:t>
      </w:r>
    </w:p>
    <w:p w14:paraId="598AAF97"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日：指销售机构在规定时间受理投资人申购、赎回或其他业务申请的开放日</w:t>
      </w:r>
    </w:p>
    <w:p w14:paraId="387F2393"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w:t>
      </w:r>
      <w:proofErr w:type="spellStart"/>
      <w:r>
        <w:rPr>
          <w:rFonts w:ascii="Arial Unicode MS" w:hAnsi="Arial Unicode MS" w:cs="Arial" w:hint="eastAsia"/>
          <w:szCs w:val="21"/>
        </w:rPr>
        <w:t>T+n</w:t>
      </w:r>
      <w:proofErr w:type="spellEnd"/>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00849194"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、开放日：指为投资人办理基金份额申购、赎回或其他业务的工作日</w:t>
      </w:r>
    </w:p>
    <w:p w14:paraId="78D17FB4"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、开放时间：指开放日基金接受申购、赎回或其他交易的时间段</w:t>
      </w:r>
    </w:p>
    <w:p w14:paraId="181D0B4A"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2D46CE4E"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、认购：指在基金募集期内，投资人根据基金合同和招募说明书的规定申请购买基金份额的行为</w:t>
      </w:r>
    </w:p>
    <w:p w14:paraId="10655790"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40</w:t>
      </w:r>
      <w:r>
        <w:rPr>
          <w:rFonts w:ascii="Arial Unicode MS" w:hAnsi="Arial Unicode MS" w:cs="Arial" w:hint="eastAsia"/>
          <w:szCs w:val="21"/>
        </w:rPr>
        <w:t>、申购：指基金合同生效后，投资人根据基金合同和招募说明书的规定申请购买基金份额的行为</w:t>
      </w:r>
    </w:p>
    <w:p w14:paraId="1ADCDEE5"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、赎回：指基金合同生效后，基金份额持有人按基金合同和招募说明书规定的条件要求将基金份额兑换为现金的行为</w:t>
      </w:r>
    </w:p>
    <w:p w14:paraId="265FB7C8"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份额的行为</w:t>
      </w:r>
    </w:p>
    <w:p w14:paraId="411A3D29"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、转托管：指基金份额持有人在本基金的不同销售机构之间实施的变更所持基金份额销售机构的操作</w:t>
      </w:r>
    </w:p>
    <w:p w14:paraId="26A92F01"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437CFC6D"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w:t>
      </w:r>
      <w:r>
        <w:rPr>
          <w:rFonts w:ascii="Arial Unicode MS" w:hAnsi="Arial Unicode MS" w:cs="Arial" w:hint="eastAsia"/>
          <w:szCs w:val="21"/>
        </w:rPr>
        <w:lastRenderedPageBreak/>
        <w:t>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2CECAAE1"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6</w:t>
      </w:r>
      <w:r>
        <w:rPr>
          <w:rFonts w:ascii="Arial Unicode MS" w:hAnsi="Arial Unicode MS" w:cs="Arial" w:hint="eastAsia"/>
          <w:szCs w:val="21"/>
        </w:rPr>
        <w:t>、元：指人民币元</w:t>
      </w:r>
    </w:p>
    <w:p w14:paraId="0E6445F2"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、基金收益：指基金投资所得红利、股息、债券利息、买卖证券价差、银行存款利息、已实现的其他合法收入及因运用基金财产带来的成本和费用的节约</w:t>
      </w:r>
    </w:p>
    <w:p w14:paraId="37DBFDFA"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、基金资产总值：指基金拥有的各类有价证券、银行存款本息、基金应收款项及其他资产的价值总和</w:t>
      </w:r>
    </w:p>
    <w:p w14:paraId="0DAB27FB"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、基金资产净值：指基金资产总值减去基金负债后的价值</w:t>
      </w:r>
    </w:p>
    <w:p w14:paraId="7A297896"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50</w:t>
      </w:r>
      <w:r>
        <w:rPr>
          <w:rFonts w:ascii="Arial Unicode MS" w:hAnsi="Arial Unicode MS" w:cs="Arial" w:hint="eastAsia"/>
          <w:szCs w:val="21"/>
        </w:rPr>
        <w:t>、基金份额净值：指计算日基金资产净值除以计算日基金份额总数</w:t>
      </w:r>
    </w:p>
    <w:p w14:paraId="2403F95F"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、基金资产估值：指计算评估基金资产和负债的价值，以确定基金资产净值和基金份额净值的过程</w:t>
      </w:r>
    </w:p>
    <w:p w14:paraId="4782741F"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、指定媒介：指中国证监会指定的用以进行信息披露的全国性报刊及指定互联网网站（包括基金管理人网站、基金托管人网站、中国证监会基金电子披露网站）等媒介</w:t>
      </w:r>
    </w:p>
    <w:p w14:paraId="72ADB575"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、基金份额的类别：本基金根据是否收取销售服务费以及认购、申购费用的差异，将基金份额分为不同的类别</w:t>
      </w:r>
    </w:p>
    <w:p w14:paraId="0D172E70"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A</w:t>
      </w:r>
      <w:r>
        <w:rPr>
          <w:rFonts w:ascii="Arial Unicode MS" w:hAnsi="Arial Unicode MS" w:cs="Arial" w:hint="eastAsia"/>
          <w:szCs w:val="21"/>
        </w:rPr>
        <w:t>类基金份额：在投资者认购、申购时收取认购、申购费用，不从本类别基金资产中计</w:t>
      </w:r>
      <w:proofErr w:type="gramStart"/>
      <w:r>
        <w:rPr>
          <w:rFonts w:ascii="Arial Unicode MS" w:hAnsi="Arial Unicode MS" w:cs="Arial" w:hint="eastAsia"/>
          <w:szCs w:val="21"/>
        </w:rPr>
        <w:t>提销售</w:t>
      </w:r>
      <w:proofErr w:type="gramEnd"/>
      <w:r>
        <w:rPr>
          <w:rFonts w:ascii="Arial Unicode MS" w:hAnsi="Arial Unicode MS" w:cs="Arial" w:hint="eastAsia"/>
          <w:szCs w:val="21"/>
        </w:rPr>
        <w:t>服务费的基金份额，称为</w:t>
      </w:r>
      <w:r>
        <w:rPr>
          <w:rFonts w:ascii="Arial Unicode MS" w:hAnsi="Arial Unicode MS" w:cs="Arial" w:hint="eastAsia"/>
          <w:szCs w:val="21"/>
        </w:rPr>
        <w:t>A</w:t>
      </w:r>
      <w:r>
        <w:rPr>
          <w:rFonts w:ascii="Arial Unicode MS" w:hAnsi="Arial Unicode MS" w:cs="Arial" w:hint="eastAsia"/>
          <w:szCs w:val="21"/>
        </w:rPr>
        <w:t>类基金份额</w:t>
      </w:r>
    </w:p>
    <w:p w14:paraId="4D5D2593" w14:textId="77777777"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szCs w:val="21"/>
        </w:rPr>
        <w:t>C</w:t>
      </w:r>
      <w:r>
        <w:rPr>
          <w:rFonts w:ascii="Arial Unicode MS" w:hAnsi="Arial Unicode MS" w:cs="Arial" w:hint="eastAsia"/>
          <w:szCs w:val="21"/>
        </w:rPr>
        <w:t>类基金份额：在投资者认购、申购时不收取认购、申购费用，但从本类别基金资产中计</w:t>
      </w:r>
      <w:proofErr w:type="gramStart"/>
      <w:r>
        <w:rPr>
          <w:rFonts w:ascii="Arial Unicode MS" w:hAnsi="Arial Unicode MS" w:cs="Arial" w:hint="eastAsia"/>
          <w:szCs w:val="21"/>
        </w:rPr>
        <w:t>提销售</w:t>
      </w:r>
      <w:proofErr w:type="gramEnd"/>
      <w:r>
        <w:rPr>
          <w:rFonts w:ascii="Arial Unicode MS" w:hAnsi="Arial Unicode MS" w:cs="Arial" w:hint="eastAsia"/>
          <w:szCs w:val="21"/>
        </w:rPr>
        <w:t>服务费的基金份额，称为</w:t>
      </w:r>
      <w:r>
        <w:rPr>
          <w:rFonts w:ascii="Arial Unicode MS" w:hAnsi="Arial Unicode MS" w:cs="Arial" w:hint="eastAsia"/>
          <w:szCs w:val="21"/>
        </w:rPr>
        <w:t>C</w:t>
      </w:r>
      <w:r>
        <w:rPr>
          <w:rFonts w:ascii="Arial Unicode MS" w:hAnsi="Arial Unicode MS" w:cs="Arial" w:hint="eastAsia"/>
          <w:szCs w:val="21"/>
        </w:rPr>
        <w:t>类基金份额</w:t>
      </w:r>
    </w:p>
    <w:p w14:paraId="09775CA9" w14:textId="77777777" w:rsidR="004C06C5" w:rsidRDefault="00ED474B">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56</w:t>
      </w:r>
      <w:r>
        <w:rPr>
          <w:rFonts w:asciiTheme="minorEastAsia" w:eastAsiaTheme="minorEastAsia" w:hAnsiTheme="minorEastAsia" w:hint="eastAsia"/>
          <w:bCs/>
          <w:szCs w:val="21"/>
        </w:rPr>
        <w:t>、流动性受限资产：是指由于法律法规、监管、合同或操作障碍等原因无法以合理价格予以变现的资产，包括但不限于到期日在</w:t>
      </w:r>
      <w:r>
        <w:rPr>
          <w:rFonts w:asciiTheme="minorEastAsia" w:eastAsiaTheme="minorEastAsia" w:hAnsiTheme="minorEastAsia"/>
          <w:bCs/>
          <w:szCs w:val="21"/>
        </w:rPr>
        <w:t xml:space="preserve">10 </w:t>
      </w:r>
      <w:proofErr w:type="gramStart"/>
      <w:r>
        <w:rPr>
          <w:rFonts w:asciiTheme="minorEastAsia" w:eastAsiaTheme="minorEastAsia" w:hAnsiTheme="minorEastAsia" w:hint="eastAsia"/>
          <w:bCs/>
          <w:szCs w:val="21"/>
        </w:rPr>
        <w:t>个</w:t>
      </w:r>
      <w:proofErr w:type="gramEnd"/>
      <w:r>
        <w:rPr>
          <w:rFonts w:asciiTheme="minorEastAsia" w:eastAsiaTheme="minorEastAsia" w:hAnsiTheme="minorEastAsia" w:hint="eastAsia"/>
          <w:bCs/>
          <w:szCs w:val="21"/>
        </w:rPr>
        <w:t>交易日以上的逆回购与银行定期存款（</w:t>
      </w:r>
      <w:proofErr w:type="gramStart"/>
      <w:r>
        <w:rPr>
          <w:rFonts w:asciiTheme="minorEastAsia" w:eastAsiaTheme="minorEastAsia" w:hAnsiTheme="minorEastAsia" w:hint="eastAsia"/>
          <w:bCs/>
          <w:szCs w:val="21"/>
        </w:rPr>
        <w:t>含协议</w:t>
      </w:r>
      <w:proofErr w:type="gramEnd"/>
      <w:r>
        <w:rPr>
          <w:rFonts w:asciiTheme="minorEastAsia" w:eastAsiaTheme="minorEastAsia" w:hAnsiTheme="minorEastAsia" w:hint="eastAsia"/>
          <w:bCs/>
          <w:szCs w:val="21"/>
        </w:rPr>
        <w:t>约定有条件提前支取的银行存款）、停牌股票、流通受限的新股及非公开发行股票、资产支持证券、因发行人债务违约无法进行转让或交易的债券等</w:t>
      </w:r>
    </w:p>
    <w:p w14:paraId="432A7438" w14:textId="77777777" w:rsidR="004C06C5" w:rsidRDefault="00ED474B">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57</w:t>
      </w:r>
      <w:r>
        <w:rPr>
          <w:rFonts w:ascii="Arial Unicode MS" w:hAnsi="Arial Unicode MS" w:cs="Arial" w:hint="eastAsia"/>
          <w:szCs w:val="21"/>
        </w:rPr>
        <w:t>、</w:t>
      </w:r>
      <w:r>
        <w:rPr>
          <w:rFonts w:asciiTheme="minorEastAsia" w:eastAsiaTheme="minorEastAsia" w:hAnsiTheme="minorEastAsia" w:hint="eastAsia"/>
          <w:bCs/>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4EB9645B" w14:textId="77777777" w:rsidR="004C06C5" w:rsidRDefault="00ED474B">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lastRenderedPageBreak/>
        <w:t>58</w:t>
      </w:r>
      <w:r>
        <w:rPr>
          <w:rFonts w:ascii="Arial Unicode MS" w:hAnsi="Arial Unicode MS" w:cs="Arial" w:hint="eastAsia"/>
          <w:szCs w:val="21"/>
        </w:rPr>
        <w:t>、</w:t>
      </w:r>
      <w:r>
        <w:rPr>
          <w:rFonts w:asciiTheme="minorEastAsia" w:eastAsiaTheme="minorEastAsia" w:hAnsiTheme="minorEastAsia" w:hint="eastAsia"/>
          <w:bCs/>
          <w:szCs w:val="21"/>
        </w:rPr>
        <w:t>不可抗力：指本基金合同当事人不能预见、不能避免且不能克服的客观事件</w:t>
      </w:r>
    </w:p>
    <w:p w14:paraId="394BD2FF" w14:textId="77777777" w:rsidR="004C06C5" w:rsidRDefault="00ED474B">
      <w:pPr>
        <w:widowControl/>
        <w:jc w:val="left"/>
        <w:rPr>
          <w:rFonts w:asciiTheme="minorEastAsia" w:eastAsiaTheme="minorEastAsia" w:hAnsiTheme="minorEastAsia"/>
          <w:bCs/>
          <w:szCs w:val="21"/>
        </w:rPr>
      </w:pPr>
      <w:r>
        <w:rPr>
          <w:rFonts w:asciiTheme="minorEastAsia" w:eastAsiaTheme="minorEastAsia" w:hAnsiTheme="minorEastAsia"/>
          <w:bCs/>
          <w:szCs w:val="21"/>
        </w:rPr>
        <w:br w:type="page"/>
      </w:r>
    </w:p>
    <w:p w14:paraId="2CEA559B" w14:textId="77777777"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9" w:name="_Toc214873592"/>
      <w:bookmarkStart w:id="10" w:name="_Toc12357173"/>
      <w:bookmarkStart w:id="11" w:name="_Toc1464058"/>
      <w:bookmarkStart w:id="12" w:name="_Toc21073393"/>
      <w:bookmarkStart w:id="13" w:name="_Toc147463120"/>
      <w:r>
        <w:rPr>
          <w:rFonts w:ascii="Arial Unicode MS" w:eastAsia="宋体" w:hAnsi="Arial Unicode MS" w:cs="Arial"/>
          <w:b/>
          <w:bCs/>
          <w:sz w:val="28"/>
          <w:szCs w:val="28"/>
        </w:rPr>
        <w:lastRenderedPageBreak/>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9"/>
      <w:bookmarkEnd w:id="10"/>
      <w:bookmarkEnd w:id="11"/>
      <w:bookmarkEnd w:id="12"/>
      <w:bookmarkEnd w:id="13"/>
    </w:p>
    <w:p w14:paraId="34E2F466" w14:textId="77777777" w:rsidR="004C06C5" w:rsidRDefault="004C06C5">
      <w:pPr>
        <w:rPr>
          <w:rFonts w:ascii="Arial Unicode MS" w:hAnsi="Arial Unicode MS"/>
          <w:lang w:val="zh-CN"/>
        </w:rPr>
      </w:pPr>
    </w:p>
    <w:p w14:paraId="01C6C5C6" w14:textId="77777777" w:rsidR="004C06C5" w:rsidRDefault="00ED474B">
      <w:pPr>
        <w:tabs>
          <w:tab w:val="left" w:pos="1110"/>
        </w:tabs>
        <w:adjustRightInd w:val="0"/>
        <w:snapToGrid w:val="0"/>
        <w:spacing w:line="360" w:lineRule="auto"/>
        <w:ind w:firstLineChars="200" w:firstLine="422"/>
        <w:rPr>
          <w:rFonts w:ascii="Arial Unicode MS" w:hAnsi="Arial Unicode MS" w:cs="Arial"/>
          <w:b/>
          <w:bCs/>
          <w:szCs w:val="21"/>
        </w:rPr>
      </w:pPr>
      <w:bookmarkStart w:id="14" w:name="_Hlt88897298"/>
      <w:bookmarkStart w:id="15" w:name="_Toc238013747"/>
      <w:bookmarkEnd w:id="14"/>
      <w:bookmarkEnd w:id="15"/>
      <w:r>
        <w:rPr>
          <w:rFonts w:ascii="Arial Unicode MS" w:hAnsi="Arial Unicode MS" w:cs="Arial" w:hint="eastAsia"/>
          <w:b/>
          <w:bCs/>
          <w:szCs w:val="21"/>
        </w:rPr>
        <w:t>一、基金管理人概况</w:t>
      </w:r>
    </w:p>
    <w:p w14:paraId="419DF2C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6378935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注册地址：广州市南沙区海滨路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r>
        <w:rPr>
          <w:rFonts w:ascii="Arial Unicode MS" w:hAnsi="Arial Unicode MS" w:cs="Arial" w:hint="eastAsia"/>
          <w:kern w:val="0"/>
          <w:szCs w:val="21"/>
        </w:rPr>
        <w:t xml:space="preserve"> </w:t>
      </w:r>
    </w:p>
    <w:p w14:paraId="23B86A0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74C8AC6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r>
        <w:rPr>
          <w:rFonts w:ascii="Arial Unicode MS" w:hAnsi="Arial Unicode MS" w:cs="Arial" w:hint="eastAsia"/>
          <w:kern w:val="0"/>
          <w:szCs w:val="21"/>
        </w:rPr>
        <w:t xml:space="preserve"> </w:t>
      </w:r>
    </w:p>
    <w:p w14:paraId="518B53D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设立日期：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691C70B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批准设立机关：中国证监会</w:t>
      </w:r>
      <w:r>
        <w:rPr>
          <w:rFonts w:ascii="Arial Unicode MS" w:hAnsi="Arial Unicode MS" w:cs="Arial" w:hint="eastAsia"/>
          <w:kern w:val="0"/>
          <w:szCs w:val="21"/>
        </w:rPr>
        <w:t xml:space="preserve"> </w:t>
      </w:r>
    </w:p>
    <w:p w14:paraId="031C0D5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批准设立文号：证监许可【</w:t>
      </w:r>
      <w:r>
        <w:rPr>
          <w:rFonts w:ascii="Arial Unicode MS" w:hAnsi="Arial Unicode MS" w:cs="Arial" w:hint="eastAsia"/>
          <w:kern w:val="0"/>
          <w:szCs w:val="21"/>
        </w:rPr>
        <w:t>2015</w:t>
      </w:r>
      <w:r>
        <w:rPr>
          <w:rFonts w:ascii="Arial Unicode MS" w:hAnsi="Arial Unicode MS" w:cs="Arial" w:hint="eastAsia"/>
          <w:kern w:val="0"/>
          <w:szCs w:val="21"/>
        </w:rPr>
        <w:t>】</w:t>
      </w:r>
      <w:r>
        <w:rPr>
          <w:rFonts w:ascii="Arial Unicode MS" w:hAnsi="Arial Unicode MS" w:cs="Arial" w:hint="eastAsia"/>
          <w:kern w:val="0"/>
          <w:szCs w:val="21"/>
        </w:rPr>
        <w:t>3118</w:t>
      </w:r>
      <w:r>
        <w:rPr>
          <w:rFonts w:ascii="Arial Unicode MS" w:hAnsi="Arial Unicode MS" w:cs="Arial" w:hint="eastAsia"/>
          <w:kern w:val="0"/>
          <w:szCs w:val="21"/>
        </w:rPr>
        <w:t>号</w:t>
      </w:r>
      <w:r>
        <w:rPr>
          <w:rFonts w:ascii="Arial Unicode MS" w:hAnsi="Arial Unicode MS" w:cs="Arial" w:hint="eastAsia"/>
          <w:kern w:val="0"/>
          <w:szCs w:val="21"/>
        </w:rPr>
        <w:t xml:space="preserve"> </w:t>
      </w:r>
    </w:p>
    <w:p w14:paraId="6639AB8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14:paraId="4D767F3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55FA2BC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存续期限：永续经营</w:t>
      </w:r>
    </w:p>
    <w:p w14:paraId="796F4FB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联系人：蔡晓忠</w:t>
      </w:r>
    </w:p>
    <w:p w14:paraId="3E52A73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0755-84356636</w:t>
      </w:r>
    </w:p>
    <w:p w14:paraId="03E6444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w:t>
      </w:r>
      <w:r>
        <w:rPr>
          <w:rFonts w:ascii="Arial Unicode MS" w:hAnsi="Arial Unicode MS" w:cs="Arial" w:hint="eastAsia"/>
          <w:kern w:val="0"/>
          <w:szCs w:val="21"/>
        </w:rPr>
        <w:t xml:space="preserve">    </w:t>
      </w:r>
      <w:r>
        <w:rPr>
          <w:rFonts w:ascii="Arial Unicode MS" w:hAnsi="Arial Unicode MS" w:cs="Arial" w:hint="eastAsia"/>
          <w:kern w:val="0"/>
          <w:szCs w:val="21"/>
        </w:rPr>
        <w:t>真：</w:t>
      </w:r>
      <w:r>
        <w:rPr>
          <w:rFonts w:ascii="Arial Unicode MS" w:hAnsi="Arial Unicode MS" w:cs="Arial" w:hint="eastAsia"/>
          <w:kern w:val="0"/>
          <w:szCs w:val="21"/>
        </w:rPr>
        <w:t>0755-83230787</w:t>
      </w:r>
    </w:p>
    <w:p w14:paraId="33D6E47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4C06C5" w14:paraId="713897C4" w14:textId="77777777">
        <w:trPr>
          <w:jc w:val="center"/>
        </w:trPr>
        <w:tc>
          <w:tcPr>
            <w:tcW w:w="4250" w:type="dxa"/>
            <w:vAlign w:val="center"/>
          </w:tcPr>
          <w:p w14:paraId="560850D2" w14:textId="77777777" w:rsidR="004C06C5" w:rsidRDefault="00ED474B">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18117816" w14:textId="77777777" w:rsidR="004C06C5" w:rsidRDefault="00ED474B">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4C06C5" w14:paraId="47BCF17F" w14:textId="77777777">
        <w:trPr>
          <w:jc w:val="center"/>
        </w:trPr>
        <w:tc>
          <w:tcPr>
            <w:tcW w:w="4250" w:type="dxa"/>
            <w:vAlign w:val="center"/>
          </w:tcPr>
          <w:p w14:paraId="232327C0" w14:textId="77777777"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16B8B9CF" w14:textId="77777777"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50%</w:t>
            </w:r>
          </w:p>
        </w:tc>
      </w:tr>
      <w:tr w:rsidR="004C06C5" w14:paraId="00580253" w14:textId="77777777">
        <w:trPr>
          <w:jc w:val="center"/>
        </w:trPr>
        <w:tc>
          <w:tcPr>
            <w:tcW w:w="4250" w:type="dxa"/>
            <w:vAlign w:val="center"/>
          </w:tcPr>
          <w:p w14:paraId="368970ED" w14:textId="77777777"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51BDFB21" w14:textId="77777777"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45.1%</w:t>
            </w:r>
          </w:p>
        </w:tc>
      </w:tr>
      <w:tr w:rsidR="004C06C5" w14:paraId="0A662468" w14:textId="77777777">
        <w:trPr>
          <w:jc w:val="center"/>
        </w:trPr>
        <w:tc>
          <w:tcPr>
            <w:tcW w:w="4250" w:type="dxa"/>
            <w:vAlign w:val="center"/>
          </w:tcPr>
          <w:p w14:paraId="4B5DDBC1" w14:textId="77777777"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6AC45E64" w14:textId="77777777"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0B8F69D9"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17DC68ED" w14:textId="77777777" w:rsidR="004C06C5" w:rsidRDefault="00ED474B">
      <w:pPr>
        <w:spacing w:line="360" w:lineRule="auto"/>
        <w:ind w:firstLine="422"/>
        <w:rPr>
          <w:rFonts w:ascii="宋体" w:hAnsi="宋体"/>
          <w:b/>
          <w:kern w:val="0"/>
          <w:szCs w:val="21"/>
        </w:rPr>
      </w:pPr>
      <w:r>
        <w:rPr>
          <w:rFonts w:ascii="宋体" w:hAnsi="宋体" w:hint="eastAsia"/>
          <w:b/>
          <w:kern w:val="0"/>
          <w:szCs w:val="21"/>
        </w:rPr>
        <w:t>二、主要成员情况</w:t>
      </w:r>
    </w:p>
    <w:p w14:paraId="7DB1FD52"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14:paraId="0F945853"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90D2119" w14:textId="4D44979D" w:rsidR="00F53D43" w:rsidRPr="00F53D43" w:rsidRDefault="00C00ABA"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00ABA">
        <w:rPr>
          <w:rFonts w:ascii="Arial Unicode MS" w:hAnsi="Arial Unicode MS" w:cs="Arial" w:hint="eastAsia"/>
          <w:kern w:val="0"/>
          <w:szCs w:val="21"/>
        </w:rPr>
        <w:t>高峰先生，董事、总经理，曾任中国对外经济贸易信托有限公司计划财务部科长、中国化工进出口总公司财务部综合经理、宝</w:t>
      </w:r>
      <w:proofErr w:type="gramStart"/>
      <w:r w:rsidRPr="00C00ABA">
        <w:rPr>
          <w:rFonts w:ascii="Arial Unicode MS" w:hAnsi="Arial Unicode MS" w:cs="Arial" w:hint="eastAsia"/>
          <w:kern w:val="0"/>
          <w:szCs w:val="21"/>
        </w:rPr>
        <w:t>盈基金</w:t>
      </w:r>
      <w:proofErr w:type="gramEnd"/>
      <w:r w:rsidRPr="00C00ABA">
        <w:rPr>
          <w:rFonts w:ascii="Arial Unicode MS" w:hAnsi="Arial Unicode MS" w:cs="Arial" w:hint="eastAsia"/>
          <w:kern w:val="0"/>
          <w:szCs w:val="21"/>
        </w:rPr>
        <w:t>管理有限公司研究发展部总监，中国对外经济</w:t>
      </w:r>
      <w:r w:rsidRPr="00C00ABA">
        <w:rPr>
          <w:rFonts w:ascii="Arial Unicode MS" w:hAnsi="Arial Unicode MS" w:cs="Arial" w:hint="eastAsia"/>
          <w:kern w:val="0"/>
          <w:szCs w:val="21"/>
        </w:rPr>
        <w:lastRenderedPageBreak/>
        <w:t>贸易信托有限公司历任证券业务部总经理、资产管理总部执行总经理、高级投资经理，宝</w:t>
      </w:r>
      <w:proofErr w:type="gramStart"/>
      <w:r w:rsidRPr="00C00ABA">
        <w:rPr>
          <w:rFonts w:ascii="Arial Unicode MS" w:hAnsi="Arial Unicode MS" w:cs="Arial" w:hint="eastAsia"/>
          <w:kern w:val="0"/>
          <w:szCs w:val="21"/>
        </w:rPr>
        <w:t>盈基金</w:t>
      </w:r>
      <w:proofErr w:type="gramEnd"/>
      <w:r w:rsidRPr="00C00ABA">
        <w:rPr>
          <w:rFonts w:ascii="Arial Unicode MS" w:hAnsi="Arial Unicode MS" w:cs="Arial" w:hint="eastAsia"/>
          <w:kern w:val="0"/>
          <w:szCs w:val="21"/>
        </w:rPr>
        <w:t>管理有限公司总经理助理兼投资部总监、基金经理，北信瑞丰基金管理有限公司副总经理职务、红土创新基金管理有限公司总经理职务；现任富荣基金管理有限公司总经理。</w:t>
      </w:r>
    </w:p>
    <w:p w14:paraId="17BB97B9"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12B84D4E"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郭涛先生，董事，上海高级金融学院研究生（在读）。现任深圳市益德置业有限公司总经理、深圳福元德租赁有限公司董事长兼总经理、</w:t>
      </w:r>
      <w:proofErr w:type="gramStart"/>
      <w:r w:rsidRPr="00F53D43">
        <w:rPr>
          <w:rFonts w:ascii="Arial Unicode MS" w:hAnsi="Arial Unicode MS" w:cs="Arial" w:hint="eastAsia"/>
          <w:kern w:val="0"/>
          <w:szCs w:val="21"/>
        </w:rPr>
        <w:t>深圳融博融资租赁</w:t>
      </w:r>
      <w:proofErr w:type="gramEnd"/>
      <w:r w:rsidRPr="00F53D43">
        <w:rPr>
          <w:rFonts w:ascii="Arial Unicode MS" w:hAnsi="Arial Unicode MS" w:cs="Arial" w:hint="eastAsia"/>
          <w:kern w:val="0"/>
          <w:szCs w:val="21"/>
        </w:rPr>
        <w:t>有限公司董事长兼总经理、深圳市天汇</w:t>
      </w:r>
      <w:proofErr w:type="gramStart"/>
      <w:r w:rsidRPr="00F53D43">
        <w:rPr>
          <w:rFonts w:ascii="Arial Unicode MS" w:hAnsi="Arial Unicode MS" w:cs="Arial" w:hint="eastAsia"/>
          <w:kern w:val="0"/>
          <w:szCs w:val="21"/>
        </w:rPr>
        <w:t>鑫</w:t>
      </w:r>
      <w:proofErr w:type="gramEnd"/>
      <w:r w:rsidRPr="00F53D43">
        <w:rPr>
          <w:rFonts w:ascii="Arial Unicode MS" w:hAnsi="Arial Unicode MS" w:cs="Arial" w:hint="eastAsia"/>
          <w:kern w:val="0"/>
          <w:szCs w:val="21"/>
        </w:rPr>
        <w:t>达担保有限公司总经理、</w:t>
      </w:r>
      <w:proofErr w:type="gramStart"/>
      <w:r w:rsidRPr="00F53D43">
        <w:rPr>
          <w:rFonts w:ascii="Arial Unicode MS" w:hAnsi="Arial Unicode MS" w:cs="Arial" w:hint="eastAsia"/>
          <w:kern w:val="0"/>
          <w:szCs w:val="21"/>
        </w:rPr>
        <w:t>深圳市亿尔德</w:t>
      </w:r>
      <w:proofErr w:type="gramEnd"/>
      <w:r w:rsidRPr="00F53D43">
        <w:rPr>
          <w:rFonts w:ascii="Arial Unicode MS" w:hAnsi="Arial Unicode MS" w:cs="Arial" w:hint="eastAsia"/>
          <w:kern w:val="0"/>
          <w:szCs w:val="21"/>
        </w:rPr>
        <w:t>投资有限公司法人、嘉年实业股份有限公司董事、富荣基金管理有限公司董事。</w:t>
      </w:r>
    </w:p>
    <w:p w14:paraId="437A6C8C"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余</w:t>
      </w:r>
      <w:proofErr w:type="gramStart"/>
      <w:r w:rsidRPr="00F53D43">
        <w:rPr>
          <w:rFonts w:ascii="Arial Unicode MS" w:hAnsi="Arial Unicode MS" w:cs="Arial" w:hint="eastAsia"/>
          <w:kern w:val="0"/>
          <w:szCs w:val="21"/>
        </w:rPr>
        <w:t>关健</w:t>
      </w:r>
      <w:proofErr w:type="gramEnd"/>
      <w:r w:rsidRPr="00F53D43">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F53D43">
        <w:rPr>
          <w:rFonts w:ascii="Arial Unicode MS" w:hAnsi="Arial Unicode MS" w:cs="Arial" w:hint="eastAsia"/>
          <w:kern w:val="0"/>
          <w:szCs w:val="21"/>
        </w:rPr>
        <w:t>邦</w:t>
      </w:r>
      <w:proofErr w:type="gramEnd"/>
      <w:r w:rsidRPr="00F53D43">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4AA30E13"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李晓英女士，独立董事，南昌大学法学学士。曾任广东同益律师事务所法律顾问，负责商事诉讼、仲裁等，现任广东一粤律师事务所专职律师，负责法律顾问、商事诉讼、仲裁等。</w:t>
      </w:r>
    </w:p>
    <w:p w14:paraId="10CCF479" w14:textId="68D75EE1" w:rsidR="004C06C5" w:rsidRDefault="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李金声先生，独立董事，西南财经大学博士研究生。曾任黑龙江财政厅商业处商业会计财务、黑龙江省府财办、办公厅三办、省长办干部、中国银行哈尔滨分行办公室副主任、广发银行总行办公室主任、广发银行总行稽核部总经理、广发银行总行资金部总经理、广发银行广州分行副行长、党委书记、行长；广发银行总稽核、党委委员、监事会负责人、监事长。目前退休。</w:t>
      </w:r>
    </w:p>
    <w:p w14:paraId="21CB7A09"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、监事会成员</w:t>
      </w:r>
    </w:p>
    <w:p w14:paraId="161567F7"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14:paraId="4E422727" w14:textId="77777777" w:rsidR="00C05798" w:rsidRPr="00C05798" w:rsidRDefault="00C05798" w:rsidP="00C05798">
      <w:pPr>
        <w:spacing w:line="360" w:lineRule="auto"/>
        <w:ind w:firstLineChars="200" w:firstLine="420"/>
        <w:rPr>
          <w:rFonts w:ascii="Arial Unicode MS" w:hAnsi="Arial Unicode MS" w:cs="Arial"/>
          <w:kern w:val="0"/>
          <w:szCs w:val="21"/>
        </w:rPr>
      </w:pPr>
      <w:r w:rsidRPr="00C05798">
        <w:rPr>
          <w:rFonts w:ascii="Arial Unicode MS" w:hAnsi="Arial Unicode MS" w:cs="Arial" w:hint="eastAsia"/>
          <w:kern w:val="0"/>
          <w:szCs w:val="21"/>
        </w:rPr>
        <w:t>卢伟女士，监事，大专。</w:t>
      </w:r>
      <w:proofErr w:type="gramStart"/>
      <w:r w:rsidRPr="00C05798">
        <w:rPr>
          <w:rFonts w:ascii="Arial Unicode MS" w:hAnsi="Arial Unicode MS" w:cs="Arial" w:hint="eastAsia"/>
          <w:kern w:val="0"/>
          <w:szCs w:val="21"/>
        </w:rPr>
        <w:t>盈投控股</w:t>
      </w:r>
      <w:proofErr w:type="gramEnd"/>
      <w:r w:rsidRPr="00C05798">
        <w:rPr>
          <w:rFonts w:ascii="Arial Unicode MS" w:hAnsi="Arial Unicode MS" w:cs="Arial" w:hint="eastAsia"/>
          <w:kern w:val="0"/>
          <w:szCs w:val="21"/>
        </w:rPr>
        <w:t>有限公司员工，现任富荣基金管理有限公司监事。</w:t>
      </w:r>
    </w:p>
    <w:p w14:paraId="5AE4D464" w14:textId="77777777" w:rsidR="004C06C5" w:rsidRDefault="00C0579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05798">
        <w:rPr>
          <w:rFonts w:ascii="Arial Unicode MS" w:hAnsi="Arial Unicode MS" w:cs="Arial" w:hint="eastAsia"/>
          <w:kern w:val="0"/>
          <w:szCs w:val="21"/>
        </w:rPr>
        <w:t>魏丽红女士，职工监事，大专。现任富荣基金管理有限公司职工监事。</w:t>
      </w:r>
    </w:p>
    <w:p w14:paraId="17B4D64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08D3A501"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592A141" w14:textId="77777777" w:rsidR="00C00ABA" w:rsidRDefault="00C00ABA"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00ABA">
        <w:rPr>
          <w:rFonts w:ascii="Arial Unicode MS" w:hAnsi="Arial Unicode MS" w:cs="Arial" w:hint="eastAsia"/>
          <w:kern w:val="0"/>
          <w:szCs w:val="21"/>
        </w:rPr>
        <w:t>高峰先生，总经理，曾任中国对外经济贸易信托有限公司计划财务部科长、中国化工进出口总公司财务部综合经理、宝</w:t>
      </w:r>
      <w:proofErr w:type="gramStart"/>
      <w:r w:rsidRPr="00C00ABA">
        <w:rPr>
          <w:rFonts w:ascii="Arial Unicode MS" w:hAnsi="Arial Unicode MS" w:cs="Arial" w:hint="eastAsia"/>
          <w:kern w:val="0"/>
          <w:szCs w:val="21"/>
        </w:rPr>
        <w:t>盈基金</w:t>
      </w:r>
      <w:proofErr w:type="gramEnd"/>
      <w:r w:rsidRPr="00C00ABA">
        <w:rPr>
          <w:rFonts w:ascii="Arial Unicode MS" w:hAnsi="Arial Unicode MS" w:cs="Arial" w:hint="eastAsia"/>
          <w:kern w:val="0"/>
          <w:szCs w:val="21"/>
        </w:rPr>
        <w:t>管理有限公司研究发展部总监，中国对外经济贸易信</w:t>
      </w:r>
      <w:r w:rsidRPr="00C00ABA">
        <w:rPr>
          <w:rFonts w:ascii="Arial Unicode MS" w:hAnsi="Arial Unicode MS" w:cs="Arial" w:hint="eastAsia"/>
          <w:kern w:val="0"/>
          <w:szCs w:val="21"/>
        </w:rPr>
        <w:lastRenderedPageBreak/>
        <w:t>托有限公司历任证券业务部总经理、资产管理总部执行总经理、高级投资经理，宝</w:t>
      </w:r>
      <w:proofErr w:type="gramStart"/>
      <w:r w:rsidRPr="00C00ABA">
        <w:rPr>
          <w:rFonts w:ascii="Arial Unicode MS" w:hAnsi="Arial Unicode MS" w:cs="Arial" w:hint="eastAsia"/>
          <w:kern w:val="0"/>
          <w:szCs w:val="21"/>
        </w:rPr>
        <w:t>盈基金</w:t>
      </w:r>
      <w:proofErr w:type="gramEnd"/>
      <w:r w:rsidRPr="00C00ABA">
        <w:rPr>
          <w:rFonts w:ascii="Arial Unicode MS" w:hAnsi="Arial Unicode MS" w:cs="Arial" w:hint="eastAsia"/>
          <w:kern w:val="0"/>
          <w:szCs w:val="21"/>
        </w:rPr>
        <w:t>管理有限公司总经理助理兼投资部总监、基金经理，北信瑞丰基金管理有限公司副总经理职务、红土创新基金管理有限公司总经理职务；现任富荣基金管理有限公司总经理。</w:t>
      </w:r>
    </w:p>
    <w:p w14:paraId="0B2897B5" w14:textId="0BEB1BB5" w:rsidR="0079312D" w:rsidRPr="00F53D43" w:rsidRDefault="0079312D"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23F6CA28"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苏春华先生</w:t>
      </w:r>
      <w:r w:rsidRPr="00F53D43">
        <w:rPr>
          <w:rFonts w:ascii="Arial Unicode MS" w:hAnsi="Arial Unicode MS" w:cs="Arial" w:hint="eastAsia"/>
          <w:kern w:val="0"/>
          <w:szCs w:val="21"/>
        </w:rPr>
        <w:t>,</w:t>
      </w:r>
      <w:r w:rsidRPr="00F53D43">
        <w:rPr>
          <w:rFonts w:ascii="Arial Unicode MS" w:hAnsi="Arial Unicode MS" w:cs="Arial" w:hint="eastAsia"/>
          <w:kern w:val="0"/>
          <w:szCs w:val="21"/>
        </w:rPr>
        <w:t>副总经理，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F53D43">
        <w:rPr>
          <w:rFonts w:ascii="Arial Unicode MS" w:hAnsi="Arial Unicode MS" w:cs="Arial" w:hint="eastAsia"/>
          <w:kern w:val="0"/>
          <w:szCs w:val="21"/>
        </w:rPr>
        <w:t>线业务</w:t>
      </w:r>
      <w:proofErr w:type="gramEnd"/>
      <w:r w:rsidRPr="00F53D43">
        <w:rPr>
          <w:rFonts w:ascii="Arial Unicode MS" w:hAnsi="Arial Unicode MS" w:cs="Arial" w:hint="eastAsia"/>
          <w:kern w:val="0"/>
          <w:szCs w:val="21"/>
        </w:rPr>
        <w:t>总监、总行副行长，现任富荣基金管理有限公司副总经理。</w:t>
      </w:r>
    </w:p>
    <w:p w14:paraId="48F5F99E"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经理</w:t>
      </w:r>
    </w:p>
    <w:p w14:paraId="3828C265" w14:textId="317F6520" w:rsidR="00F53D43" w:rsidRDefault="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E66B64">
        <w:rPr>
          <w:rFonts w:ascii="宋体" w:hAnsi="宋体" w:hint="eastAsia"/>
          <w:szCs w:val="21"/>
        </w:rPr>
        <w:t>王丹女士，北京大学工商管理硕士、厦门大学理学学士，9年金融行业从业经验。曾任寰富投资咨询上海有限公司金融衍生品交易员，长盛基金管理有限公司债券交易员，嘉</w:t>
      </w:r>
      <w:proofErr w:type="gramStart"/>
      <w:r w:rsidRPr="00E66B64">
        <w:rPr>
          <w:rFonts w:ascii="宋体" w:hAnsi="宋体" w:hint="eastAsia"/>
          <w:szCs w:val="21"/>
        </w:rPr>
        <w:t>实基金</w:t>
      </w:r>
      <w:proofErr w:type="gramEnd"/>
      <w:r w:rsidRPr="00E66B64">
        <w:rPr>
          <w:rFonts w:ascii="宋体" w:hAnsi="宋体" w:hint="eastAsia"/>
          <w:szCs w:val="21"/>
        </w:rPr>
        <w:t>管理有限公司投资经理，</w:t>
      </w:r>
      <w:proofErr w:type="gramStart"/>
      <w:r w:rsidRPr="00E66B64">
        <w:rPr>
          <w:rFonts w:ascii="宋体" w:hAnsi="宋体" w:hint="eastAsia"/>
          <w:szCs w:val="21"/>
        </w:rPr>
        <w:t>华融证券股份有限公司固收</w:t>
      </w:r>
      <w:proofErr w:type="gramEnd"/>
      <w:r w:rsidRPr="00E66B64">
        <w:rPr>
          <w:rFonts w:ascii="宋体" w:hAnsi="宋体" w:hint="eastAsia"/>
          <w:szCs w:val="21"/>
        </w:rPr>
        <w:t>研究、交易主管。现任富荣基金管理有限公司基金经理。</w:t>
      </w:r>
    </w:p>
    <w:p w14:paraId="546A37EE"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hint="eastAsia"/>
          <w:kern w:val="0"/>
          <w:szCs w:val="21"/>
        </w:rPr>
        <w:t>、投资决策委员会成员的姓名、职务</w:t>
      </w:r>
    </w:p>
    <w:p w14:paraId="7C8C0562"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高峰先生，投资决策委员会主任委员、总经理。</w:t>
      </w:r>
    </w:p>
    <w:p w14:paraId="22B7780A"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吕晓蓉女士，投资决策委员会委员、固定收益部总监、基金经理。</w:t>
      </w:r>
    </w:p>
    <w:p w14:paraId="7384DFC9"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邓宇翔先生，投资决策委员会委员、权益投资部总监、基金经理。</w:t>
      </w:r>
    </w:p>
    <w:p w14:paraId="4B8A1F26"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郎骋成先生，投资决策委员会委员、研究部总监、基金经理。</w:t>
      </w:r>
    </w:p>
    <w:p w14:paraId="0CD9DBD6" w14:textId="77777777" w:rsidR="00F53D43" w:rsidRPr="00F53D43" w:rsidRDefault="00F53D43" w:rsidP="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邱紫华先生，投资决策委员会委员、投资决策委员会秘书、基金经理。</w:t>
      </w:r>
    </w:p>
    <w:p w14:paraId="02115826" w14:textId="32326A8A" w:rsidR="004C06C5" w:rsidRDefault="00F53D4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53D43">
        <w:rPr>
          <w:rFonts w:ascii="Arial Unicode MS" w:hAnsi="Arial Unicode MS" w:cs="Arial" w:hint="eastAsia"/>
          <w:kern w:val="0"/>
          <w:szCs w:val="21"/>
        </w:rPr>
        <w:t>王丹女士，投资决策委员会委员、基金经理。</w:t>
      </w:r>
    </w:p>
    <w:p w14:paraId="6E6F494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14:paraId="3E5AE75C" w14:textId="77777777"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基金管理人的职责</w:t>
      </w:r>
    </w:p>
    <w:p w14:paraId="406A989A"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、依法募集资金，办理或者委托经中国证监会认定的其他机构代为办理基金份额的发售、申购、赎回和登记事宜；</w:t>
      </w:r>
    </w:p>
    <w:p w14:paraId="546D202A"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hint="eastAsia"/>
          <w:kern w:val="0"/>
          <w:szCs w:val="21"/>
        </w:rPr>
        <w:t>、办理基金备案手续；</w:t>
      </w:r>
    </w:p>
    <w:p w14:paraId="7977CB63"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、自《基金合同》生效之日起，以诚实信用、谨慎勤勉的原则管理和运用基金财产；</w:t>
      </w:r>
    </w:p>
    <w:p w14:paraId="03C296E5"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5B238178"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7C2AADDC"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0C5CC5E3"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5E205DC5"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、采取适当合理的措施使计算基金份额认购、申购、赎回和注销价格的方法符合《基金合同》等法律文件的规定，按有关规定计算并公告基金净值信息，确定基金份额申购、赎回对价，编制申购赎回清单；</w:t>
      </w:r>
    </w:p>
    <w:p w14:paraId="1ABA334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744DBCB3"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w:t>
      </w:r>
      <w:r>
        <w:rPr>
          <w:rFonts w:ascii="Arial Unicode MS" w:hAnsi="Arial Unicode MS" w:cs="Arial"/>
          <w:bCs/>
          <w:szCs w:val="21"/>
        </w:rPr>
        <w:t>报告</w:t>
      </w:r>
      <w:r>
        <w:rPr>
          <w:rFonts w:ascii="Arial Unicode MS" w:hAnsi="Arial Unicode MS" w:cs="Arial" w:hint="eastAsia"/>
          <w:bCs/>
          <w:szCs w:val="21"/>
        </w:rPr>
        <w:t>和年度报告；</w:t>
      </w:r>
    </w:p>
    <w:p w14:paraId="654D08AD"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5752B32E"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1AB0DFDA"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0E887681"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2436F135"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6AD0368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50C89C54"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B2220DA"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14:paraId="275318F9"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39F1D0C3"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0CE2AD8C"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6F288C21"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14:paraId="0194B7A4"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14:paraId="4155C68D"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12AEDD01"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59611CC5"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7D998E40"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06F3218B" w14:textId="77777777"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385A8160"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03221C57"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4EA5EEA0"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4EC052BB"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4332C24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0D53D851"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649E4994"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hint="eastAsia"/>
          <w:szCs w:val="21"/>
        </w:rPr>
        <w:tab/>
      </w:r>
    </w:p>
    <w:p w14:paraId="2779AEC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14:paraId="0232AD03"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6D23FFB7"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1915EF18"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w:t>
      </w:r>
      <w:r>
        <w:rPr>
          <w:rFonts w:ascii="Arial Unicode MS" w:hAnsi="Arial Unicode MS" w:cs="Arial" w:hint="eastAsia"/>
          <w:szCs w:val="21"/>
        </w:rPr>
        <w:lastRenderedPageBreak/>
        <w:t>防止违反基金合同行为的发生；</w:t>
      </w:r>
      <w:r>
        <w:rPr>
          <w:rFonts w:ascii="Arial Unicode MS" w:hAnsi="Arial Unicode MS" w:cs="Arial" w:hint="eastAsia"/>
          <w:szCs w:val="21"/>
        </w:rPr>
        <w:t xml:space="preserve"> </w:t>
      </w:r>
    </w:p>
    <w:p w14:paraId="79822D94"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121B7A02"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r>
        <w:rPr>
          <w:rFonts w:ascii="Arial Unicode MS" w:hAnsi="Arial Unicode MS" w:cs="Arial"/>
          <w:szCs w:val="21"/>
        </w:rPr>
        <w:t xml:space="preserve"> </w:t>
      </w:r>
    </w:p>
    <w:p w14:paraId="4324604A" w14:textId="77777777"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t>五、基金经理承诺</w:t>
      </w:r>
    </w:p>
    <w:p w14:paraId="658ECE3F"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14:paraId="328B3F2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23025CBD"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2CAC808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70CB618E" w14:textId="77777777"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456A6C5D"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1ECBF54B"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118DF8FE"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0E95EB5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28720B8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3A30DFE2"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0009B088"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0EC5F334"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5B0FC24B"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069DABC8"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69D3D492"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E8ED8BA"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491D42CB"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、风险控制体系</w:t>
      </w:r>
    </w:p>
    <w:p w14:paraId="02983CE4"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2564B3D2"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353539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4EBA793C"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14:paraId="62C9C12C"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71048EAC"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6E24695"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w:t>
      </w:r>
      <w:proofErr w:type="gramStart"/>
      <w:r>
        <w:rPr>
          <w:rFonts w:ascii="Arial Unicode MS" w:hAnsi="Arial Unicode MS" w:cs="Arial" w:hint="eastAsia"/>
          <w:szCs w:val="21"/>
        </w:rPr>
        <w:t>长履行</w:t>
      </w:r>
      <w:proofErr w:type="gramEnd"/>
      <w:r>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41BAA3C3"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第二层次：公司经营管理层包括风险控制委员会、监察稽核部及各职能部门对经营风险的预防和控制。</w:t>
      </w:r>
    </w:p>
    <w:p w14:paraId="30293D51"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Arial Unicode MS" w:hAnsi="Arial Unicode MS" w:cs="Arial" w:hint="eastAsia"/>
          <w:szCs w:val="21"/>
        </w:rPr>
        <w:t>规</w:t>
      </w:r>
      <w:proofErr w:type="gramEnd"/>
      <w:r>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39221F39"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Pr>
          <w:rFonts w:ascii="Arial Unicode MS" w:hAnsi="Arial Unicode MS" w:cs="Arial" w:hint="eastAsia"/>
          <w:szCs w:val="21"/>
        </w:rPr>
        <w:t>规</w:t>
      </w:r>
      <w:proofErr w:type="gramEnd"/>
      <w:r>
        <w:rPr>
          <w:rFonts w:ascii="Arial Unicode MS" w:hAnsi="Arial Unicode MS" w:cs="Arial" w:hint="eastAsia"/>
          <w:szCs w:val="21"/>
        </w:rPr>
        <w:t>、完善；检查公司内部控制制度和业务流程的执行情</w:t>
      </w:r>
      <w:r>
        <w:rPr>
          <w:rFonts w:ascii="Arial Unicode MS" w:hAnsi="Arial Unicode MS" w:cs="Arial" w:hint="eastAsia"/>
          <w:szCs w:val="21"/>
        </w:rPr>
        <w:lastRenderedPageBreak/>
        <w:t>况，出具监察稽核报告；负责信息披露事务的管理；调查基金及其他类型产品的异常投资和交易以及对违规行为的调查；负责公司的法律事务、合</w:t>
      </w:r>
      <w:proofErr w:type="gramStart"/>
      <w:r>
        <w:rPr>
          <w:rFonts w:ascii="Arial Unicode MS" w:hAnsi="Arial Unicode MS" w:cs="Arial" w:hint="eastAsia"/>
          <w:szCs w:val="21"/>
        </w:rPr>
        <w:t>规</w:t>
      </w:r>
      <w:proofErr w:type="gramEnd"/>
      <w:r>
        <w:rPr>
          <w:rFonts w:ascii="Arial Unicode MS" w:hAnsi="Arial Unicode MS" w:cs="Arial" w:hint="eastAsia"/>
          <w:szCs w:val="21"/>
        </w:rPr>
        <w:t>咨询、合</w:t>
      </w:r>
      <w:proofErr w:type="gramStart"/>
      <w:r>
        <w:rPr>
          <w:rFonts w:ascii="Arial Unicode MS" w:hAnsi="Arial Unicode MS" w:cs="Arial" w:hint="eastAsia"/>
          <w:szCs w:val="21"/>
        </w:rPr>
        <w:t>规</w:t>
      </w:r>
      <w:proofErr w:type="gramEnd"/>
      <w:r>
        <w:rPr>
          <w:rFonts w:ascii="Arial Unicode MS" w:hAnsi="Arial Unicode MS" w:cs="Arial" w:hint="eastAsia"/>
          <w:szCs w:val="21"/>
        </w:rPr>
        <w:t>培训、离任审查等工作。</w:t>
      </w:r>
    </w:p>
    <w:p w14:paraId="6D149C87"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4AC5EA8B"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25C3A7F2"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14:paraId="5E0EB36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5052AA4"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6241C691"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06BA59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0CBC171B"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Pr>
          <w:rFonts w:ascii="Arial Unicode MS" w:hAnsi="Arial Unicode MS" w:cs="Arial" w:hint="eastAsia"/>
          <w:szCs w:val="21"/>
        </w:rPr>
        <w:t>限相应</w:t>
      </w:r>
      <w:proofErr w:type="gramEnd"/>
      <w:r>
        <w:rPr>
          <w:rFonts w:ascii="Arial Unicode MS" w:hAnsi="Arial Unicode MS" w:cs="Arial" w:hint="eastAsia"/>
          <w:szCs w:val="21"/>
        </w:rPr>
        <w:t>的约束制度和考核制度；建立严格的投资禁止和投资限制制度，保证基金投资的合法合</w:t>
      </w:r>
      <w:proofErr w:type="gramStart"/>
      <w:r>
        <w:rPr>
          <w:rFonts w:ascii="Arial Unicode MS" w:hAnsi="Arial Unicode MS" w:cs="Arial" w:hint="eastAsia"/>
          <w:szCs w:val="21"/>
        </w:rPr>
        <w:t>规</w:t>
      </w:r>
      <w:proofErr w:type="gramEnd"/>
      <w:r>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26CF0F59"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708C8712"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5A26B127"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19670980"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w:t>
      </w:r>
      <w:r>
        <w:rPr>
          <w:rFonts w:ascii="Arial Unicode MS" w:hAnsi="Arial Unicode MS" w:cs="Arial" w:hint="eastAsia"/>
          <w:szCs w:val="21"/>
        </w:rPr>
        <w:lastRenderedPageBreak/>
        <w:t>估值程序等会计措施真实、完整、及时地记载每一笔业务并正确进行会计核算和业务核算；建立会计档案保管制度，确保档案真实完整。</w:t>
      </w:r>
    </w:p>
    <w:p w14:paraId="20E42F4C"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6CF72822"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0CBA306"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7F3A14FD"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公司设立督察长。督察长由董事会聘任或解聘，报中国证监会或其指定的机构备案，并向董事会负责。督察</w:t>
      </w:r>
      <w:proofErr w:type="gramStart"/>
      <w:r>
        <w:rPr>
          <w:rFonts w:ascii="Arial Unicode MS" w:hAnsi="Arial Unicode MS" w:cs="Arial" w:hint="eastAsia"/>
          <w:szCs w:val="21"/>
        </w:rPr>
        <w:t>长依据</w:t>
      </w:r>
      <w:proofErr w:type="gramEnd"/>
      <w:r>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24418C1"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976A537"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17AD07A0"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640A3407"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767AE581"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63C37475"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C578A3D"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w:t>
      </w:r>
      <w:r>
        <w:rPr>
          <w:rFonts w:ascii="Arial Unicode MS" w:hAnsi="Arial Unicode MS" w:cs="Arial" w:hint="eastAsia"/>
          <w:szCs w:val="21"/>
        </w:rPr>
        <w:lastRenderedPageBreak/>
        <w:t>统、投资监控系统，能对可能出现的各种风险进行全面和实时的监控。</w:t>
      </w:r>
    </w:p>
    <w:p w14:paraId="255F28EB"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4EB18248" w14:textId="77777777"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0ADFE5DE" w14:textId="77777777" w:rsidR="004C06C5" w:rsidRDefault="00ED474B">
      <w:pPr>
        <w:widowControl/>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w:t>
      </w:r>
      <w:proofErr w:type="gramStart"/>
      <w:r>
        <w:rPr>
          <w:rFonts w:ascii="Arial Unicode MS" w:hAnsi="Arial Unicode MS" w:cs="Arial" w:hint="eastAsia"/>
          <w:szCs w:val="21"/>
        </w:rPr>
        <w:t>规</w:t>
      </w:r>
      <w:proofErr w:type="gramEnd"/>
      <w:r>
        <w:rPr>
          <w:rFonts w:ascii="Arial Unicode MS" w:hAnsi="Arial Unicode MS" w:cs="Arial" w:hint="eastAsia"/>
          <w:szCs w:val="21"/>
        </w:rPr>
        <w:t>控制。</w:t>
      </w:r>
    </w:p>
    <w:p w14:paraId="4A8223BB" w14:textId="77777777" w:rsidR="004C06C5" w:rsidRDefault="00ED474B">
      <w:pPr>
        <w:widowControl/>
        <w:jc w:val="left"/>
        <w:rPr>
          <w:rFonts w:ascii="Arial Unicode MS" w:hAnsi="Arial Unicode MS" w:cs="Arial"/>
          <w:szCs w:val="21"/>
        </w:rPr>
      </w:pPr>
      <w:r>
        <w:rPr>
          <w:rFonts w:ascii="Arial Unicode MS" w:hAnsi="Arial Unicode MS" w:cs="Arial"/>
          <w:szCs w:val="21"/>
        </w:rPr>
        <w:br w:type="page"/>
      </w:r>
    </w:p>
    <w:p w14:paraId="7DA18B9B" w14:textId="77777777" w:rsidR="004C06C5" w:rsidRDefault="00ED474B">
      <w:pPr>
        <w:pStyle w:val="11"/>
        <w:snapToGrid w:val="0"/>
        <w:spacing w:before="0" w:after="0" w:line="360" w:lineRule="auto"/>
        <w:rPr>
          <w:rFonts w:ascii="Arial Unicode MS" w:hAnsi="Arial Unicode MS" w:cs="Arial"/>
          <w:b/>
          <w:bCs/>
          <w:sz w:val="28"/>
          <w:szCs w:val="28"/>
        </w:rPr>
      </w:pPr>
      <w:bookmarkStart w:id="16" w:name="_Toc238013745"/>
      <w:bookmarkStart w:id="17" w:name="_Toc238027832"/>
      <w:bookmarkStart w:id="18" w:name="_Toc524923215"/>
      <w:bookmarkStart w:id="19" w:name="_Toc214873593"/>
      <w:bookmarkStart w:id="20" w:name="_Toc1464059"/>
      <w:bookmarkEnd w:id="16"/>
      <w:bookmarkEnd w:id="17"/>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8"/>
      <w:bookmarkEnd w:id="19"/>
      <w:bookmarkEnd w:id="20"/>
    </w:p>
    <w:p w14:paraId="3975AEDF" w14:textId="77777777" w:rsidR="004C06C5" w:rsidRDefault="004C06C5">
      <w:pPr>
        <w:spacing w:line="360" w:lineRule="auto"/>
        <w:jc w:val="center"/>
        <w:rPr>
          <w:rFonts w:ascii="Arial Unicode MS" w:hAnsi="Arial Unicode MS" w:cs="Arial"/>
          <w:sz w:val="24"/>
        </w:rPr>
      </w:pPr>
    </w:p>
    <w:p w14:paraId="72C27AB3" w14:textId="77777777"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一、基金托管人概况</w:t>
      </w:r>
    </w:p>
    <w:p w14:paraId="29EA0F21"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本基金托管人为上海浦东发展银行股份有限公司，基本信息如下：</w:t>
      </w:r>
    </w:p>
    <w:p w14:paraId="13532042"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名称：</w:t>
      </w:r>
      <w:r>
        <w:rPr>
          <w:rFonts w:ascii="Arial Unicode MS" w:hAnsi="Arial Unicode MS" w:cs="Arial"/>
          <w:szCs w:val="21"/>
        </w:rPr>
        <w:t xml:space="preserve"> </w:t>
      </w:r>
      <w:r>
        <w:rPr>
          <w:rFonts w:ascii="Arial Unicode MS" w:hAnsi="Arial Unicode MS" w:cs="Arial" w:hint="eastAsia"/>
          <w:szCs w:val="21"/>
        </w:rPr>
        <w:t>上海浦东发展银行股份有限公司</w:t>
      </w:r>
    </w:p>
    <w:p w14:paraId="77095173"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注册地址：上海市中山东一路</w:t>
      </w:r>
      <w:r>
        <w:rPr>
          <w:rFonts w:ascii="Arial Unicode MS" w:hAnsi="Arial Unicode MS" w:cs="Arial"/>
          <w:szCs w:val="21"/>
        </w:rPr>
        <w:t>12</w:t>
      </w:r>
      <w:r>
        <w:rPr>
          <w:rFonts w:ascii="Arial Unicode MS" w:hAnsi="Arial Unicode MS" w:cs="Arial" w:hint="eastAsia"/>
          <w:szCs w:val="21"/>
        </w:rPr>
        <w:t>号</w:t>
      </w:r>
    </w:p>
    <w:p w14:paraId="3B86A1F0"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办公地址：上海市中山东一路</w:t>
      </w:r>
      <w:r>
        <w:rPr>
          <w:rFonts w:ascii="Arial Unicode MS" w:hAnsi="Arial Unicode MS" w:cs="Arial"/>
          <w:szCs w:val="21"/>
        </w:rPr>
        <w:t>12</w:t>
      </w:r>
      <w:r>
        <w:rPr>
          <w:rFonts w:ascii="Arial Unicode MS" w:hAnsi="Arial Unicode MS" w:cs="Arial" w:hint="eastAsia"/>
          <w:szCs w:val="21"/>
        </w:rPr>
        <w:t>号</w:t>
      </w:r>
    </w:p>
    <w:p w14:paraId="36FF4316"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法定代表人：郑杨</w:t>
      </w:r>
    </w:p>
    <w:p w14:paraId="79BD8718"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成立时间：</w:t>
      </w:r>
      <w:r>
        <w:rPr>
          <w:rFonts w:ascii="Arial Unicode MS" w:hAnsi="Arial Unicode MS" w:cs="Arial"/>
          <w:szCs w:val="21"/>
        </w:rPr>
        <w:t xml:space="preserve"> 1992</w:t>
      </w:r>
      <w:r>
        <w:rPr>
          <w:rFonts w:ascii="Arial Unicode MS" w:hAnsi="Arial Unicode MS" w:cs="Arial" w:hint="eastAsia"/>
          <w:szCs w:val="21"/>
        </w:rPr>
        <w:t>年</w:t>
      </w:r>
      <w:r>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szCs w:val="21"/>
        </w:rPr>
        <w:t>19</w:t>
      </w:r>
      <w:r>
        <w:rPr>
          <w:rFonts w:ascii="Arial Unicode MS" w:hAnsi="Arial Unicode MS" w:cs="Arial" w:hint="eastAsia"/>
          <w:szCs w:val="21"/>
        </w:rPr>
        <w:t>日</w:t>
      </w:r>
    </w:p>
    <w:p w14:paraId="76F49755"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经营范围：</w:t>
      </w:r>
      <w:r w:rsidR="006962BE" w:rsidRPr="006962BE">
        <w:rPr>
          <w:rFonts w:ascii="Arial Unicode MS" w:hAnsi="Arial Unicode MS" w:cs="Arial" w:hint="eastAsia"/>
          <w:szCs w:val="21"/>
        </w:rPr>
        <w:t>经中国人民银行和中国银行业监督管理委员会批准，公司主营业务主要包括：吸收公众存款；发放短期、中期和长期贷款；办理结算；办理票据贴现；发行金融债券；代理发行、代理兑付、承销政府债券；买卖政府债券；同业拆借；提供信用证服务及担保；代理收付款项及代理保险业务；提供保险箱业务；外汇存款；外汇贷款；外汇汇款；外币兑换；国际结算；同业外汇拆借；外汇票据的承兑和贴现；外汇借款；外汇担保；结汇、售汇；买卖和代理买卖股票以外的外币有价证券；自营外汇买卖；代客外汇买卖；资信调查、咨询、见证业务；离岸银行业务；证券投资基金托管业务；全国社会保障基金托管业务；经中国人民银行和中国银行业监督管理委员会批准经营的其他业务。</w:t>
      </w:r>
    </w:p>
    <w:p w14:paraId="205E7C36"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组织形式：</w:t>
      </w:r>
      <w:r>
        <w:rPr>
          <w:rFonts w:ascii="Arial Unicode MS" w:hAnsi="Arial Unicode MS" w:cs="Arial"/>
          <w:szCs w:val="21"/>
        </w:rPr>
        <w:t xml:space="preserve"> </w:t>
      </w:r>
      <w:r>
        <w:rPr>
          <w:rFonts w:ascii="Arial Unicode MS" w:hAnsi="Arial Unicode MS" w:cs="Arial" w:hint="eastAsia"/>
          <w:szCs w:val="21"/>
        </w:rPr>
        <w:t>股份有限公司</w:t>
      </w:r>
    </w:p>
    <w:p w14:paraId="63CFDF7C"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注册资本：</w:t>
      </w:r>
      <w:r>
        <w:rPr>
          <w:rFonts w:ascii="Arial Unicode MS" w:hAnsi="Arial Unicode MS" w:cs="Arial"/>
          <w:szCs w:val="21"/>
        </w:rPr>
        <w:t xml:space="preserve"> 293.52</w:t>
      </w:r>
      <w:r>
        <w:rPr>
          <w:rFonts w:ascii="Arial Unicode MS" w:hAnsi="Arial Unicode MS" w:cs="Arial" w:hint="eastAsia"/>
          <w:szCs w:val="21"/>
        </w:rPr>
        <w:t>亿元人民币</w:t>
      </w:r>
    </w:p>
    <w:p w14:paraId="38BD76E8"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存续期间：</w:t>
      </w:r>
      <w:r>
        <w:rPr>
          <w:rFonts w:ascii="Arial Unicode MS" w:hAnsi="Arial Unicode MS" w:cs="Arial"/>
          <w:szCs w:val="21"/>
        </w:rPr>
        <w:t xml:space="preserve"> </w:t>
      </w:r>
      <w:r>
        <w:rPr>
          <w:rFonts w:ascii="Arial Unicode MS" w:hAnsi="Arial Unicode MS" w:cs="Arial" w:hint="eastAsia"/>
          <w:szCs w:val="21"/>
        </w:rPr>
        <w:t>持续经营</w:t>
      </w:r>
    </w:p>
    <w:p w14:paraId="57877A79"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基金托管资格批文及文号：中国证监会证</w:t>
      </w:r>
      <w:proofErr w:type="gramStart"/>
      <w:r>
        <w:rPr>
          <w:rFonts w:ascii="Arial Unicode MS" w:hAnsi="Arial Unicode MS" w:cs="Arial" w:hint="eastAsia"/>
          <w:szCs w:val="21"/>
        </w:rPr>
        <w:t>监基金字</w:t>
      </w:r>
      <w:proofErr w:type="gramEnd"/>
      <w:r>
        <w:rPr>
          <w:rFonts w:ascii="Arial Unicode MS" w:hAnsi="Arial Unicode MS" w:cs="Arial"/>
          <w:szCs w:val="21"/>
        </w:rPr>
        <w:t>[2003]105</w:t>
      </w:r>
      <w:r>
        <w:rPr>
          <w:rFonts w:ascii="Arial Unicode MS" w:hAnsi="Arial Unicode MS" w:cs="Arial" w:hint="eastAsia"/>
          <w:szCs w:val="21"/>
        </w:rPr>
        <w:t>号</w:t>
      </w:r>
    </w:p>
    <w:p w14:paraId="037245C8"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联系人：胡波</w:t>
      </w:r>
    </w:p>
    <w:p w14:paraId="51EBCA9E"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联系电话：（</w:t>
      </w:r>
      <w:r>
        <w:rPr>
          <w:rFonts w:ascii="Arial Unicode MS" w:hAnsi="Arial Unicode MS" w:cs="Arial"/>
          <w:szCs w:val="21"/>
        </w:rPr>
        <w:t>021</w:t>
      </w:r>
      <w:r>
        <w:rPr>
          <w:rFonts w:ascii="Arial Unicode MS" w:hAnsi="Arial Unicode MS" w:cs="Arial" w:hint="eastAsia"/>
          <w:szCs w:val="21"/>
        </w:rPr>
        <w:t>）</w:t>
      </w:r>
      <w:r>
        <w:rPr>
          <w:rFonts w:ascii="Arial Unicode MS" w:hAnsi="Arial Unicode MS" w:cs="Arial"/>
          <w:szCs w:val="21"/>
        </w:rPr>
        <w:t>61618888</w:t>
      </w:r>
    </w:p>
    <w:p w14:paraId="5DC8FBBE"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上海浦东发展银行自</w:t>
      </w:r>
      <w:r>
        <w:rPr>
          <w:rFonts w:ascii="Arial Unicode MS" w:hAnsi="Arial Unicode MS" w:cs="Arial"/>
          <w:szCs w:val="21"/>
        </w:rPr>
        <w:t>2003</w:t>
      </w:r>
      <w:r>
        <w:rPr>
          <w:rFonts w:ascii="Arial Unicode MS" w:hAnsi="Arial Unicode MS" w:cs="Arial" w:hint="eastAsia"/>
          <w:szCs w:val="21"/>
        </w:rPr>
        <w:t>年开展资产托管业务，是较早开展银行资产托管服务的股份制商业银行之一。经过二十年来的稳健经营和业务开拓，各项业务发展一直保持较快增长，各项经营指标在股份制商业银行中处于较好水平。</w:t>
      </w:r>
    </w:p>
    <w:p w14:paraId="026E9AE5"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上海浦东发展银行总行于</w:t>
      </w:r>
      <w:r>
        <w:rPr>
          <w:rFonts w:ascii="Arial Unicode MS" w:hAnsi="Arial Unicode MS" w:cs="Arial"/>
          <w:szCs w:val="21"/>
        </w:rPr>
        <w:t>2003</w:t>
      </w:r>
      <w:r>
        <w:rPr>
          <w:rFonts w:ascii="Arial Unicode MS" w:hAnsi="Arial Unicode MS" w:cs="Arial" w:hint="eastAsia"/>
          <w:szCs w:val="21"/>
        </w:rPr>
        <w:t>年设立基金托管部，</w:t>
      </w:r>
      <w:r>
        <w:rPr>
          <w:rFonts w:ascii="Arial Unicode MS" w:hAnsi="Arial Unicode MS" w:cs="Arial"/>
          <w:szCs w:val="21"/>
        </w:rPr>
        <w:t>2005</w:t>
      </w:r>
      <w:r>
        <w:rPr>
          <w:rFonts w:ascii="Arial Unicode MS" w:hAnsi="Arial Unicode MS" w:cs="Arial" w:hint="eastAsia"/>
          <w:szCs w:val="21"/>
        </w:rPr>
        <w:t>年更名为资产托管部，</w:t>
      </w:r>
      <w:r>
        <w:rPr>
          <w:rFonts w:ascii="Arial Unicode MS" w:hAnsi="Arial Unicode MS" w:cs="Arial"/>
          <w:szCs w:val="21"/>
        </w:rPr>
        <w:t>2013</w:t>
      </w:r>
      <w:r>
        <w:rPr>
          <w:rFonts w:ascii="Arial Unicode MS" w:hAnsi="Arial Unicode MS" w:cs="Arial" w:hint="eastAsia"/>
          <w:szCs w:val="21"/>
        </w:rPr>
        <w:t>年更名为资产托管与养老金业务部，</w:t>
      </w:r>
      <w:r>
        <w:rPr>
          <w:rFonts w:ascii="Arial Unicode MS" w:hAnsi="Arial Unicode MS" w:cs="Arial"/>
          <w:szCs w:val="21"/>
        </w:rPr>
        <w:t>2016</w:t>
      </w:r>
      <w:r>
        <w:rPr>
          <w:rFonts w:ascii="Arial Unicode MS" w:hAnsi="Arial Unicode MS" w:cs="Arial" w:hint="eastAsia"/>
          <w:szCs w:val="21"/>
        </w:rPr>
        <w:t>年进行组织架构优化调整，并更名为资产托管部，目前下设证券托管处、客户资产托管处、内控管理处、业务保障处、总行资产托管运营中心（含合肥分中心）五个职能处室。</w:t>
      </w:r>
    </w:p>
    <w:p w14:paraId="6838E1C3" w14:textId="77777777"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目前，上海浦东发展银行已拥有客户资金托管、资金信托保管、证券投资基金托管、全球资产托管、保险资金托管、基金专户理财托管、证券公司客户资产托管、期货公司客户资产托管、私募证券投资基金托管、私</w:t>
      </w:r>
      <w:proofErr w:type="gramStart"/>
      <w:r>
        <w:rPr>
          <w:rFonts w:ascii="Arial Unicode MS" w:hAnsi="Arial Unicode MS" w:cs="Arial" w:hint="eastAsia"/>
          <w:szCs w:val="21"/>
        </w:rPr>
        <w:t>募股权</w:t>
      </w:r>
      <w:proofErr w:type="gramEnd"/>
      <w:r>
        <w:rPr>
          <w:rFonts w:ascii="Arial Unicode MS" w:hAnsi="Arial Unicode MS" w:cs="Arial" w:hint="eastAsia"/>
          <w:szCs w:val="21"/>
        </w:rPr>
        <w:t>托管、银行理财产品托管、企业年金托管等多项托管产品，形成完备的产品体系，可满足多领域客户、境内外市场的资产托管需求。</w:t>
      </w:r>
    </w:p>
    <w:p w14:paraId="6939D3E0" w14:textId="77777777"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14:paraId="6A8227A4" w14:textId="77777777"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二、主要人员情况</w:t>
      </w:r>
    </w:p>
    <w:p w14:paraId="1E37B4AB"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郑杨，男，</w:t>
      </w:r>
      <w:r w:rsidRPr="006962BE">
        <w:rPr>
          <w:rFonts w:ascii="Arial Unicode MS" w:hAnsi="Arial Unicode MS" w:cs="Arial" w:hint="eastAsia"/>
          <w:szCs w:val="21"/>
        </w:rPr>
        <w:t>1966</w:t>
      </w:r>
      <w:r w:rsidRPr="006962BE">
        <w:rPr>
          <w:rFonts w:ascii="Arial Unicode MS" w:hAnsi="Arial Unicode MS" w:cs="Arial" w:hint="eastAsia"/>
          <w:szCs w:val="21"/>
        </w:rPr>
        <w:t>年出生，研究生学历，博士学位，高级经济师。曾任国家经贸委经济法规司调研处副处长；中国机电设备招标中心开发处处长、第七招标业务处处长；国家外汇管理局资本项目司副司长；中国人民银行上海分行党委委员、副行长、国家外汇管理局上海市分局副局长；中国人民银行上海总部党委委员、副主任兼外汇管理部主任；上海市金融工作党委副书记、市金融办主任；上海市金融工作党委书记、市金融办主任；上海市金融工作党委书记、市地方金融监管局（市金融工作局）局长。现任上海浦东发展银行党委书记、董事长。</w:t>
      </w:r>
    </w:p>
    <w:p w14:paraId="5A1AC1C9"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潘卫东，男，</w:t>
      </w:r>
      <w:r w:rsidRPr="006962BE">
        <w:rPr>
          <w:rFonts w:ascii="Arial Unicode MS" w:hAnsi="Arial Unicode MS" w:cs="Arial" w:hint="eastAsia"/>
          <w:szCs w:val="21"/>
        </w:rPr>
        <w:t>1966</w:t>
      </w:r>
      <w:r w:rsidRPr="006962BE">
        <w:rPr>
          <w:rFonts w:ascii="Arial Unicode MS" w:hAnsi="Arial Unicode MS" w:cs="Arial" w:hint="eastAsia"/>
          <w:szCs w:val="21"/>
        </w:rPr>
        <w:t>年出生，硕士研究生，高级经济师。曾任宁波证券公司业务一部副经理；上海浦东发展银行宁波分行资财部总经理兼任北仑办事处主任、宁波分行副行长；上海浦东发展银行产品开发部总经理；上海浦东发展银行昆明分行行长、党组书记；上海市金融服务办公室挂职并</w:t>
      </w:r>
      <w:proofErr w:type="gramStart"/>
      <w:r w:rsidRPr="006962BE">
        <w:rPr>
          <w:rFonts w:ascii="Arial Unicode MS" w:hAnsi="Arial Unicode MS" w:cs="Arial" w:hint="eastAsia"/>
          <w:szCs w:val="21"/>
        </w:rPr>
        <w:t>任金融</w:t>
      </w:r>
      <w:proofErr w:type="gramEnd"/>
      <w:r w:rsidRPr="006962BE">
        <w:rPr>
          <w:rFonts w:ascii="Arial Unicode MS" w:hAnsi="Arial Unicode MS" w:cs="Arial" w:hint="eastAsia"/>
          <w:szCs w:val="21"/>
        </w:rPr>
        <w:t>机构处处长；上海国际集团党委委员、总经理助理，上海国际集团党委委员、副总经理，上海国际信托有限公司党委书记、董事长；上海浦东发展银行党委委员、执行董事、副行长、财务总监。现任上海浦东发展银行党委副书记、副董事长、行长，上海国际信托有限公司董事长。</w:t>
      </w:r>
    </w:p>
    <w:p w14:paraId="4F8928AA" w14:textId="77777777" w:rsidR="004C06C5" w:rsidRDefault="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孔建，男，</w:t>
      </w:r>
      <w:r w:rsidRPr="006962BE">
        <w:rPr>
          <w:rFonts w:ascii="Arial Unicode MS" w:hAnsi="Arial Unicode MS" w:cs="Arial" w:hint="eastAsia"/>
          <w:szCs w:val="21"/>
        </w:rPr>
        <w:t>1968</w:t>
      </w:r>
      <w:r w:rsidRPr="006962BE">
        <w:rPr>
          <w:rFonts w:ascii="Arial Unicode MS" w:hAnsi="Arial Unicode MS" w:cs="Arial" w:hint="eastAsia"/>
          <w:szCs w:val="21"/>
        </w:rPr>
        <w:t>年出生，博士研究生。历任工商银行山东省分行资金营运处副处长，上海浦东发展银行济南分行信管处总经理，上海浦东发展银行济南分行行长助理、副行长、党委书记、行长。现任上海浦东发展银行总行金融市场业务工作党委委员，资产托管部总经理。</w:t>
      </w:r>
    </w:p>
    <w:p w14:paraId="5BE9EA22" w14:textId="77777777"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14:paraId="37C7F52A" w14:textId="77777777" w:rsidR="004C06C5" w:rsidRDefault="00ED474B">
      <w:pPr>
        <w:snapToGrid w:val="0"/>
        <w:spacing w:line="360" w:lineRule="auto"/>
        <w:ind w:firstLineChars="200" w:firstLine="422"/>
        <w:rPr>
          <w:rFonts w:ascii="Arial Unicode MS" w:hAnsi="Arial Unicode MS" w:cs="Arial"/>
          <w:szCs w:val="21"/>
        </w:rPr>
      </w:pPr>
      <w:r>
        <w:rPr>
          <w:rFonts w:ascii="Arial Unicode MS" w:hAnsi="Arial Unicode MS" w:cs="Arial" w:hint="eastAsia"/>
          <w:b/>
          <w:szCs w:val="21"/>
        </w:rPr>
        <w:t>三、基金托管业务经营情况</w:t>
      </w:r>
    </w:p>
    <w:p w14:paraId="0D152BCB" w14:textId="6C1C7CE2" w:rsidR="004C06C5" w:rsidRDefault="00EB7279">
      <w:pPr>
        <w:tabs>
          <w:tab w:val="left" w:pos="1110"/>
        </w:tabs>
        <w:adjustRightInd w:val="0"/>
        <w:snapToGrid w:val="0"/>
        <w:spacing w:line="360" w:lineRule="auto"/>
        <w:ind w:firstLineChars="200" w:firstLine="420"/>
        <w:rPr>
          <w:rFonts w:ascii="Arial Unicode MS" w:hAnsi="Arial Unicode MS" w:cs="Arial"/>
          <w:szCs w:val="21"/>
        </w:rPr>
      </w:pPr>
      <w:r w:rsidRPr="00EB7279">
        <w:rPr>
          <w:rFonts w:ascii="Arial Unicode MS" w:hAnsi="Arial Unicode MS" w:cs="Arial" w:hint="eastAsia"/>
          <w:szCs w:val="21"/>
        </w:rPr>
        <w:t>截止</w:t>
      </w:r>
      <w:r w:rsidRPr="00EB7279">
        <w:rPr>
          <w:rFonts w:ascii="Arial Unicode MS" w:hAnsi="Arial Unicode MS" w:cs="Arial" w:hint="eastAsia"/>
          <w:szCs w:val="21"/>
        </w:rPr>
        <w:t>2020</w:t>
      </w:r>
      <w:r w:rsidRPr="00EB7279">
        <w:rPr>
          <w:rFonts w:ascii="Arial Unicode MS" w:hAnsi="Arial Unicode MS" w:cs="Arial" w:hint="eastAsia"/>
          <w:szCs w:val="21"/>
        </w:rPr>
        <w:t>年</w:t>
      </w:r>
      <w:r w:rsidRPr="00EB7279">
        <w:rPr>
          <w:rFonts w:ascii="Arial Unicode MS" w:hAnsi="Arial Unicode MS" w:cs="Arial" w:hint="eastAsia"/>
          <w:szCs w:val="21"/>
        </w:rPr>
        <w:t>9</w:t>
      </w:r>
      <w:r w:rsidRPr="00EB7279">
        <w:rPr>
          <w:rFonts w:ascii="Arial Unicode MS" w:hAnsi="Arial Unicode MS" w:cs="Arial" w:hint="eastAsia"/>
          <w:szCs w:val="21"/>
        </w:rPr>
        <w:t>月</w:t>
      </w:r>
      <w:r w:rsidRPr="00EB7279">
        <w:rPr>
          <w:rFonts w:ascii="Arial Unicode MS" w:hAnsi="Arial Unicode MS" w:cs="Arial" w:hint="eastAsia"/>
          <w:szCs w:val="21"/>
        </w:rPr>
        <w:t>30</w:t>
      </w:r>
      <w:r w:rsidRPr="00EB7279">
        <w:rPr>
          <w:rFonts w:ascii="Arial Unicode MS" w:hAnsi="Arial Unicode MS" w:cs="Arial" w:hint="eastAsia"/>
          <w:szCs w:val="21"/>
        </w:rPr>
        <w:t>日，上海浦东发展银行证券投资基金托管规模为</w:t>
      </w:r>
      <w:r w:rsidRPr="00EB7279">
        <w:rPr>
          <w:rFonts w:ascii="Arial Unicode MS" w:hAnsi="Arial Unicode MS" w:cs="Arial" w:hint="eastAsia"/>
          <w:szCs w:val="21"/>
        </w:rPr>
        <w:t>9066.66</w:t>
      </w:r>
      <w:r w:rsidRPr="00EB7279">
        <w:rPr>
          <w:rFonts w:ascii="Arial Unicode MS" w:hAnsi="Arial Unicode MS" w:cs="Arial" w:hint="eastAsia"/>
          <w:szCs w:val="21"/>
        </w:rPr>
        <w:t>亿元，比去年末增加</w:t>
      </w:r>
      <w:r w:rsidRPr="00EB7279">
        <w:rPr>
          <w:rFonts w:ascii="Arial Unicode MS" w:hAnsi="Arial Unicode MS" w:cs="Arial" w:hint="eastAsia"/>
          <w:szCs w:val="21"/>
        </w:rPr>
        <w:t>50.53%</w:t>
      </w:r>
      <w:r w:rsidRPr="00EB7279">
        <w:rPr>
          <w:rFonts w:ascii="Arial Unicode MS" w:hAnsi="Arial Unicode MS" w:cs="Arial" w:hint="eastAsia"/>
          <w:szCs w:val="21"/>
        </w:rPr>
        <w:t>。托管证券投资基金共二百六十一只，分别为国泰金</w:t>
      </w:r>
      <w:proofErr w:type="gramStart"/>
      <w:r w:rsidRPr="00EB7279">
        <w:rPr>
          <w:rFonts w:ascii="Arial Unicode MS" w:hAnsi="Arial Unicode MS" w:cs="Arial" w:hint="eastAsia"/>
          <w:szCs w:val="21"/>
        </w:rPr>
        <w:t>龙行业</w:t>
      </w:r>
      <w:proofErr w:type="gramEnd"/>
      <w:r w:rsidRPr="00EB7279">
        <w:rPr>
          <w:rFonts w:ascii="Arial Unicode MS" w:hAnsi="Arial Unicode MS" w:cs="Arial" w:hint="eastAsia"/>
          <w:szCs w:val="21"/>
        </w:rPr>
        <w:t>精选基金、国泰金龙债券基金、天治财富增长基金、广发小盘成长基金、</w:t>
      </w:r>
      <w:proofErr w:type="gramStart"/>
      <w:r w:rsidRPr="00EB7279">
        <w:rPr>
          <w:rFonts w:ascii="Arial Unicode MS" w:hAnsi="Arial Unicode MS" w:cs="Arial" w:hint="eastAsia"/>
          <w:szCs w:val="21"/>
        </w:rPr>
        <w:t>汇添富货币</w:t>
      </w:r>
      <w:proofErr w:type="gramEnd"/>
      <w:r w:rsidRPr="00EB7279">
        <w:rPr>
          <w:rFonts w:ascii="Arial Unicode MS" w:hAnsi="Arial Unicode MS" w:cs="Arial" w:hint="eastAsia"/>
          <w:szCs w:val="21"/>
        </w:rPr>
        <w:t>基金、长信金</w:t>
      </w:r>
      <w:proofErr w:type="gramStart"/>
      <w:r w:rsidRPr="00EB7279">
        <w:rPr>
          <w:rFonts w:ascii="Arial Unicode MS" w:hAnsi="Arial Unicode MS" w:cs="Arial" w:hint="eastAsia"/>
          <w:szCs w:val="21"/>
        </w:rPr>
        <w:t>利趋势</w:t>
      </w:r>
      <w:proofErr w:type="gramEnd"/>
      <w:r w:rsidRPr="00EB7279">
        <w:rPr>
          <w:rFonts w:ascii="Arial Unicode MS" w:hAnsi="Arial Unicode MS" w:cs="Arial" w:hint="eastAsia"/>
          <w:szCs w:val="21"/>
        </w:rPr>
        <w:t>基金、嘉实优质企业基金、国联</w:t>
      </w:r>
      <w:proofErr w:type="gramStart"/>
      <w:r w:rsidRPr="00EB7279">
        <w:rPr>
          <w:rFonts w:ascii="Arial Unicode MS" w:hAnsi="Arial Unicode MS" w:cs="Arial" w:hint="eastAsia"/>
          <w:szCs w:val="21"/>
        </w:rPr>
        <w:t>安货币</w:t>
      </w:r>
      <w:proofErr w:type="gramEnd"/>
      <w:r w:rsidRPr="00EB7279">
        <w:rPr>
          <w:rFonts w:ascii="Arial Unicode MS" w:hAnsi="Arial Unicode MS" w:cs="Arial" w:hint="eastAsia"/>
          <w:szCs w:val="21"/>
        </w:rPr>
        <w:t>基金、长信利众债券基金（</w:t>
      </w:r>
      <w:r w:rsidRPr="00EB7279">
        <w:rPr>
          <w:rFonts w:ascii="Arial Unicode MS" w:hAnsi="Arial Unicode MS" w:cs="Arial" w:hint="eastAsia"/>
          <w:szCs w:val="21"/>
        </w:rPr>
        <w:t>LOF</w:t>
      </w:r>
      <w:r w:rsidRPr="00EB7279">
        <w:rPr>
          <w:rFonts w:ascii="Arial Unicode MS" w:hAnsi="Arial Unicode MS" w:cs="Arial" w:hint="eastAsia"/>
          <w:szCs w:val="21"/>
        </w:rPr>
        <w:t>）、博时安丰</w:t>
      </w:r>
      <w:r w:rsidRPr="00EB7279">
        <w:rPr>
          <w:rFonts w:ascii="Arial Unicode MS" w:hAnsi="Arial Unicode MS" w:cs="Arial" w:hint="eastAsia"/>
          <w:szCs w:val="21"/>
        </w:rPr>
        <w:t>18</w:t>
      </w:r>
      <w:r w:rsidRPr="00EB7279">
        <w:rPr>
          <w:rFonts w:ascii="Arial Unicode MS" w:hAnsi="Arial Unicode MS" w:cs="Arial" w:hint="eastAsia"/>
          <w:szCs w:val="21"/>
        </w:rPr>
        <w:t>个月基金（</w:t>
      </w:r>
      <w:r w:rsidRPr="00EB7279">
        <w:rPr>
          <w:rFonts w:ascii="Arial Unicode MS" w:hAnsi="Arial Unicode MS" w:cs="Arial" w:hint="eastAsia"/>
          <w:szCs w:val="21"/>
        </w:rPr>
        <w:t>LOF</w:t>
      </w:r>
      <w:r w:rsidRPr="00EB7279">
        <w:rPr>
          <w:rFonts w:ascii="Arial Unicode MS" w:hAnsi="Arial Unicode MS" w:cs="Arial" w:hint="eastAsia"/>
          <w:szCs w:val="21"/>
        </w:rPr>
        <w:t>）、</w:t>
      </w:r>
      <w:proofErr w:type="gramStart"/>
      <w:r w:rsidRPr="00EB7279">
        <w:rPr>
          <w:rFonts w:ascii="Arial Unicode MS" w:hAnsi="Arial Unicode MS" w:cs="Arial" w:hint="eastAsia"/>
          <w:szCs w:val="21"/>
        </w:rPr>
        <w:t>易方达裕丰回报</w:t>
      </w:r>
      <w:proofErr w:type="gramEnd"/>
      <w:r w:rsidRPr="00EB7279">
        <w:rPr>
          <w:rFonts w:ascii="Arial Unicode MS" w:hAnsi="Arial Unicode MS" w:cs="Arial" w:hint="eastAsia"/>
          <w:szCs w:val="21"/>
        </w:rPr>
        <w:t>基金、鹏华丰泰定期开放基金、</w:t>
      </w:r>
      <w:proofErr w:type="gramStart"/>
      <w:r w:rsidRPr="00EB7279">
        <w:rPr>
          <w:rFonts w:ascii="Arial Unicode MS" w:hAnsi="Arial Unicode MS" w:cs="Arial" w:hint="eastAsia"/>
          <w:szCs w:val="21"/>
        </w:rPr>
        <w:t>汇添富双利增强</w:t>
      </w:r>
      <w:proofErr w:type="gramEnd"/>
      <w:r w:rsidRPr="00EB7279">
        <w:rPr>
          <w:rFonts w:ascii="Arial Unicode MS" w:hAnsi="Arial Unicode MS" w:cs="Arial" w:hint="eastAsia"/>
          <w:szCs w:val="21"/>
        </w:rPr>
        <w:t>债券基</w:t>
      </w:r>
      <w:r w:rsidRPr="00EB7279">
        <w:rPr>
          <w:rFonts w:ascii="Arial Unicode MS" w:hAnsi="Arial Unicode MS" w:cs="Arial" w:hint="eastAsia"/>
          <w:szCs w:val="21"/>
        </w:rPr>
        <w:lastRenderedPageBreak/>
        <w:t>金、</w:t>
      </w:r>
      <w:proofErr w:type="gramStart"/>
      <w:r w:rsidRPr="00EB7279">
        <w:rPr>
          <w:rFonts w:ascii="Arial Unicode MS" w:hAnsi="Arial Unicode MS" w:cs="Arial" w:hint="eastAsia"/>
          <w:szCs w:val="21"/>
        </w:rPr>
        <w:t>华富恒财定开</w:t>
      </w:r>
      <w:proofErr w:type="gramEnd"/>
      <w:r w:rsidRPr="00EB7279">
        <w:rPr>
          <w:rFonts w:ascii="Arial Unicode MS" w:hAnsi="Arial Unicode MS" w:cs="Arial" w:hint="eastAsia"/>
          <w:szCs w:val="21"/>
        </w:rPr>
        <w:t>债券基金、</w:t>
      </w:r>
      <w:proofErr w:type="gramStart"/>
      <w:r w:rsidRPr="00EB7279">
        <w:rPr>
          <w:rFonts w:ascii="Arial Unicode MS" w:hAnsi="Arial Unicode MS" w:cs="Arial" w:hint="eastAsia"/>
          <w:szCs w:val="21"/>
        </w:rPr>
        <w:t>汇添富</w:t>
      </w:r>
      <w:proofErr w:type="gramEnd"/>
      <w:r w:rsidRPr="00EB7279">
        <w:rPr>
          <w:rFonts w:ascii="Arial Unicode MS" w:hAnsi="Arial Unicode MS" w:cs="Arial" w:hint="eastAsia"/>
          <w:szCs w:val="21"/>
        </w:rPr>
        <w:t>和聚宝货币基金、工</w:t>
      </w:r>
      <w:proofErr w:type="gramStart"/>
      <w:r w:rsidRPr="00EB7279">
        <w:rPr>
          <w:rFonts w:ascii="Arial Unicode MS" w:hAnsi="Arial Unicode MS" w:cs="Arial" w:hint="eastAsia"/>
          <w:szCs w:val="21"/>
        </w:rPr>
        <w:t>银目标</w:t>
      </w:r>
      <w:proofErr w:type="gramEnd"/>
      <w:r w:rsidRPr="00EB7279">
        <w:rPr>
          <w:rFonts w:ascii="Arial Unicode MS" w:hAnsi="Arial Unicode MS" w:cs="Arial" w:hint="eastAsia"/>
          <w:szCs w:val="21"/>
        </w:rPr>
        <w:t>收益一年定开债券基金、北信瑞丰</w:t>
      </w:r>
      <w:proofErr w:type="gramStart"/>
      <w:r w:rsidRPr="00EB7279">
        <w:rPr>
          <w:rFonts w:ascii="Arial Unicode MS" w:hAnsi="Arial Unicode MS" w:cs="Arial" w:hint="eastAsia"/>
          <w:szCs w:val="21"/>
        </w:rPr>
        <w:t>宜投宝货币</w:t>
      </w:r>
      <w:proofErr w:type="gramEnd"/>
      <w:r w:rsidRPr="00EB7279">
        <w:rPr>
          <w:rFonts w:ascii="Arial Unicode MS" w:hAnsi="Arial Unicode MS" w:cs="Arial" w:hint="eastAsia"/>
          <w:szCs w:val="21"/>
        </w:rPr>
        <w:t>基金、中海医药健康产业基金、华富国泰民安灵活配置混合基金、安信动态策略灵活配置基金、东方红稳健精选基金、国联安鑫享混合基金、长安</w:t>
      </w:r>
      <w:proofErr w:type="gramStart"/>
      <w:r w:rsidRPr="00EB7279">
        <w:rPr>
          <w:rFonts w:ascii="Arial Unicode MS" w:hAnsi="Arial Unicode MS" w:cs="Arial" w:hint="eastAsia"/>
          <w:szCs w:val="21"/>
        </w:rPr>
        <w:t>鑫</w:t>
      </w:r>
      <w:proofErr w:type="gramEnd"/>
      <w:r w:rsidRPr="00EB7279">
        <w:rPr>
          <w:rFonts w:ascii="Arial Unicode MS" w:hAnsi="Arial Unicode MS" w:cs="Arial" w:hint="eastAsia"/>
          <w:szCs w:val="21"/>
        </w:rPr>
        <w:t>利优选混合基金、</w:t>
      </w:r>
      <w:proofErr w:type="gramStart"/>
      <w:r w:rsidRPr="00EB7279">
        <w:rPr>
          <w:rFonts w:ascii="Arial Unicode MS" w:hAnsi="Arial Unicode MS" w:cs="Arial" w:hint="eastAsia"/>
          <w:szCs w:val="21"/>
        </w:rPr>
        <w:t>工银瑞信</w:t>
      </w:r>
      <w:proofErr w:type="gramEnd"/>
      <w:r w:rsidRPr="00EB7279">
        <w:rPr>
          <w:rFonts w:ascii="Arial Unicode MS" w:hAnsi="Arial Unicode MS" w:cs="Arial" w:hint="eastAsia"/>
          <w:szCs w:val="21"/>
        </w:rPr>
        <w:t>生态环境基金、</w:t>
      </w:r>
      <w:proofErr w:type="gramStart"/>
      <w:r w:rsidRPr="00EB7279">
        <w:rPr>
          <w:rFonts w:ascii="Arial Unicode MS" w:hAnsi="Arial Unicode MS" w:cs="Arial" w:hint="eastAsia"/>
          <w:szCs w:val="21"/>
        </w:rPr>
        <w:t>天弘新</w:t>
      </w:r>
      <w:proofErr w:type="gramEnd"/>
      <w:r w:rsidRPr="00EB7279">
        <w:rPr>
          <w:rFonts w:ascii="Arial Unicode MS" w:hAnsi="Arial Unicode MS" w:cs="Arial" w:hint="eastAsia"/>
          <w:szCs w:val="21"/>
        </w:rPr>
        <w:t>价值混合基金、嘉</w:t>
      </w:r>
      <w:proofErr w:type="gramStart"/>
      <w:r w:rsidRPr="00EB7279">
        <w:rPr>
          <w:rFonts w:ascii="Arial Unicode MS" w:hAnsi="Arial Unicode MS" w:cs="Arial" w:hint="eastAsia"/>
          <w:szCs w:val="21"/>
        </w:rPr>
        <w:t>实机构</w:t>
      </w:r>
      <w:proofErr w:type="gramEnd"/>
      <w:r w:rsidRPr="00EB7279">
        <w:rPr>
          <w:rFonts w:ascii="Arial Unicode MS" w:hAnsi="Arial Unicode MS" w:cs="Arial" w:hint="eastAsia"/>
          <w:szCs w:val="21"/>
        </w:rPr>
        <w:t>快线货币基金、鹏华</w:t>
      </w:r>
      <w:r w:rsidRPr="00EB7279">
        <w:rPr>
          <w:rFonts w:ascii="Arial Unicode MS" w:hAnsi="Arial Unicode MS" w:cs="Arial" w:hint="eastAsia"/>
          <w:szCs w:val="21"/>
        </w:rPr>
        <w:t>REITs</w:t>
      </w:r>
      <w:r w:rsidRPr="00EB7279">
        <w:rPr>
          <w:rFonts w:ascii="Arial Unicode MS" w:hAnsi="Arial Unicode MS" w:cs="Arial" w:hint="eastAsia"/>
          <w:szCs w:val="21"/>
        </w:rPr>
        <w:t>封闭式基金、华富健康文娱基金、金鹰改革红利基金、易方达裕</w:t>
      </w:r>
      <w:proofErr w:type="gramStart"/>
      <w:r w:rsidRPr="00EB7279">
        <w:rPr>
          <w:rFonts w:ascii="Arial Unicode MS" w:hAnsi="Arial Unicode MS" w:cs="Arial" w:hint="eastAsia"/>
          <w:szCs w:val="21"/>
        </w:rPr>
        <w:t>祥</w:t>
      </w:r>
      <w:proofErr w:type="gramEnd"/>
      <w:r w:rsidRPr="00EB7279">
        <w:rPr>
          <w:rFonts w:ascii="Arial Unicode MS" w:hAnsi="Arial Unicode MS" w:cs="Arial" w:hint="eastAsia"/>
          <w:szCs w:val="21"/>
        </w:rPr>
        <w:t>回报债券基金、</w:t>
      </w:r>
      <w:proofErr w:type="gramStart"/>
      <w:r w:rsidRPr="00EB7279">
        <w:rPr>
          <w:rFonts w:ascii="Arial Unicode MS" w:hAnsi="Arial Unicode MS" w:cs="Arial" w:hint="eastAsia"/>
          <w:szCs w:val="21"/>
        </w:rPr>
        <w:t>中银瑞利</w:t>
      </w:r>
      <w:proofErr w:type="gramEnd"/>
      <w:r w:rsidRPr="00EB7279">
        <w:rPr>
          <w:rFonts w:ascii="Arial Unicode MS" w:hAnsi="Arial Unicode MS" w:cs="Arial" w:hint="eastAsia"/>
          <w:szCs w:val="21"/>
        </w:rPr>
        <w:t>灵活配置混合基金、华夏新活力混合基金、</w:t>
      </w:r>
      <w:proofErr w:type="gramStart"/>
      <w:r w:rsidRPr="00EB7279">
        <w:rPr>
          <w:rFonts w:ascii="Arial Unicode MS" w:hAnsi="Arial Unicode MS" w:cs="Arial" w:hint="eastAsia"/>
          <w:szCs w:val="21"/>
        </w:rPr>
        <w:t>鑫</w:t>
      </w:r>
      <w:proofErr w:type="gramEnd"/>
      <w:r w:rsidRPr="00EB7279">
        <w:rPr>
          <w:rFonts w:ascii="Arial Unicode MS" w:hAnsi="Arial Unicode MS" w:cs="Arial" w:hint="eastAsia"/>
          <w:szCs w:val="21"/>
        </w:rPr>
        <w:t>元汇利债券型基金、南方转型驱动灵活配置基金、银华远景债券基金、富安达长盈灵活配置混合型基金、中信建投</w:t>
      </w:r>
      <w:proofErr w:type="gramStart"/>
      <w:r w:rsidRPr="00EB7279">
        <w:rPr>
          <w:rFonts w:ascii="Arial Unicode MS" w:hAnsi="Arial Unicode MS" w:cs="Arial" w:hint="eastAsia"/>
          <w:szCs w:val="21"/>
        </w:rPr>
        <w:t>睿</w:t>
      </w:r>
      <w:proofErr w:type="gramEnd"/>
      <w:r w:rsidRPr="00EB7279">
        <w:rPr>
          <w:rFonts w:ascii="Arial Unicode MS" w:hAnsi="Arial Unicode MS" w:cs="Arial" w:hint="eastAsia"/>
          <w:szCs w:val="21"/>
        </w:rPr>
        <w:t>溢混合型证券投资基金、工</w:t>
      </w:r>
      <w:proofErr w:type="gramStart"/>
      <w:r w:rsidRPr="00EB7279">
        <w:rPr>
          <w:rFonts w:ascii="Arial Unicode MS" w:hAnsi="Arial Unicode MS" w:cs="Arial" w:hint="eastAsia"/>
          <w:szCs w:val="21"/>
        </w:rPr>
        <w:t>银瑞信恒享纯债</w:t>
      </w:r>
      <w:proofErr w:type="gramEnd"/>
      <w:r w:rsidRPr="00EB7279">
        <w:rPr>
          <w:rFonts w:ascii="Arial Unicode MS" w:hAnsi="Arial Unicode MS" w:cs="Arial" w:hint="eastAsia"/>
          <w:szCs w:val="21"/>
        </w:rPr>
        <w:t>基金、长信利发债券基金、博</w:t>
      </w:r>
      <w:proofErr w:type="gramStart"/>
      <w:r w:rsidRPr="00EB7279">
        <w:rPr>
          <w:rFonts w:ascii="Arial Unicode MS" w:hAnsi="Arial Unicode MS" w:cs="Arial" w:hint="eastAsia"/>
          <w:szCs w:val="21"/>
        </w:rPr>
        <w:t>时景发纯债</w:t>
      </w:r>
      <w:proofErr w:type="gramEnd"/>
      <w:r w:rsidRPr="00EB7279">
        <w:rPr>
          <w:rFonts w:ascii="Arial Unicode MS" w:hAnsi="Arial Unicode MS" w:cs="Arial" w:hint="eastAsia"/>
          <w:szCs w:val="21"/>
        </w:rPr>
        <w:t>基金、</w:t>
      </w:r>
      <w:proofErr w:type="gramStart"/>
      <w:r w:rsidRPr="00EB7279">
        <w:rPr>
          <w:rFonts w:ascii="Arial Unicode MS" w:hAnsi="Arial Unicode MS" w:cs="Arial" w:hint="eastAsia"/>
          <w:szCs w:val="21"/>
        </w:rPr>
        <w:t>鑫</w:t>
      </w:r>
      <w:proofErr w:type="gramEnd"/>
      <w:r w:rsidRPr="00EB7279">
        <w:rPr>
          <w:rFonts w:ascii="Arial Unicode MS" w:hAnsi="Arial Unicode MS" w:cs="Arial" w:hint="eastAsia"/>
          <w:szCs w:val="21"/>
        </w:rPr>
        <w:t>元得利债券型基金、东方红战略沪港深混合基金、博时富</w:t>
      </w:r>
      <w:proofErr w:type="gramStart"/>
      <w:r w:rsidRPr="00EB7279">
        <w:rPr>
          <w:rFonts w:ascii="Arial Unicode MS" w:hAnsi="Arial Unicode MS" w:cs="Arial" w:hint="eastAsia"/>
          <w:szCs w:val="21"/>
        </w:rPr>
        <w:t>发纯债</w:t>
      </w:r>
      <w:proofErr w:type="gramEnd"/>
      <w:r w:rsidRPr="00EB7279">
        <w:rPr>
          <w:rFonts w:ascii="Arial Unicode MS" w:hAnsi="Arial Unicode MS" w:cs="Arial" w:hint="eastAsia"/>
          <w:szCs w:val="21"/>
        </w:rPr>
        <w:t>基金、博时利</w:t>
      </w:r>
      <w:proofErr w:type="gramStart"/>
      <w:r w:rsidRPr="00EB7279">
        <w:rPr>
          <w:rFonts w:ascii="Arial Unicode MS" w:hAnsi="Arial Unicode MS" w:cs="Arial" w:hint="eastAsia"/>
          <w:szCs w:val="21"/>
        </w:rPr>
        <w:t>发纯债</w:t>
      </w:r>
      <w:proofErr w:type="gramEnd"/>
      <w:r w:rsidRPr="00EB7279">
        <w:rPr>
          <w:rFonts w:ascii="Arial Unicode MS" w:hAnsi="Arial Unicode MS" w:cs="Arial" w:hint="eastAsia"/>
          <w:szCs w:val="21"/>
        </w:rPr>
        <w:t>基金、银河君信混合基金、兴业启元一年定开债券基金、工</w:t>
      </w:r>
      <w:proofErr w:type="gramStart"/>
      <w:r w:rsidRPr="00EB7279">
        <w:rPr>
          <w:rFonts w:ascii="Arial Unicode MS" w:hAnsi="Arial Unicode MS" w:cs="Arial" w:hint="eastAsia"/>
          <w:szCs w:val="21"/>
        </w:rPr>
        <w:t>银瑞信瑞盈</w:t>
      </w:r>
      <w:proofErr w:type="gramEnd"/>
      <w:r w:rsidRPr="00EB7279">
        <w:rPr>
          <w:rFonts w:ascii="Arial Unicode MS" w:hAnsi="Arial Unicode MS" w:cs="Arial" w:hint="eastAsia"/>
          <w:szCs w:val="21"/>
        </w:rPr>
        <w:t>18</w:t>
      </w:r>
      <w:r w:rsidRPr="00EB7279">
        <w:rPr>
          <w:rFonts w:ascii="Arial Unicode MS" w:hAnsi="Arial Unicode MS" w:cs="Arial" w:hint="eastAsia"/>
          <w:szCs w:val="21"/>
        </w:rPr>
        <w:t>个月定开债券基金、中信</w:t>
      </w:r>
      <w:proofErr w:type="gramStart"/>
      <w:r w:rsidRPr="00EB7279">
        <w:rPr>
          <w:rFonts w:ascii="Arial Unicode MS" w:hAnsi="Arial Unicode MS" w:cs="Arial" w:hint="eastAsia"/>
          <w:szCs w:val="21"/>
        </w:rPr>
        <w:t>建投稳裕</w:t>
      </w:r>
      <w:proofErr w:type="gramEnd"/>
      <w:r w:rsidRPr="00EB7279">
        <w:rPr>
          <w:rFonts w:ascii="Arial Unicode MS" w:hAnsi="Arial Unicode MS" w:cs="Arial" w:hint="eastAsia"/>
          <w:szCs w:val="21"/>
        </w:rPr>
        <w:t>定开债券基金、招商招</w:t>
      </w:r>
      <w:proofErr w:type="gramStart"/>
      <w:r w:rsidRPr="00EB7279">
        <w:rPr>
          <w:rFonts w:ascii="Arial Unicode MS" w:hAnsi="Arial Unicode MS" w:cs="Arial" w:hint="eastAsia"/>
          <w:szCs w:val="21"/>
        </w:rPr>
        <w:t>怡纯债</w:t>
      </w:r>
      <w:proofErr w:type="gramEnd"/>
      <w:r w:rsidRPr="00EB7279">
        <w:rPr>
          <w:rFonts w:ascii="Arial Unicode MS" w:hAnsi="Arial Unicode MS" w:cs="Arial" w:hint="eastAsia"/>
          <w:szCs w:val="21"/>
        </w:rPr>
        <w:t>债券基金、中加</w:t>
      </w:r>
      <w:proofErr w:type="gramStart"/>
      <w:r w:rsidRPr="00EB7279">
        <w:rPr>
          <w:rFonts w:ascii="Arial Unicode MS" w:hAnsi="Arial Unicode MS" w:cs="Arial" w:hint="eastAsia"/>
          <w:szCs w:val="21"/>
        </w:rPr>
        <w:t>丰享纯债</w:t>
      </w:r>
      <w:proofErr w:type="gramEnd"/>
      <w:r w:rsidRPr="00EB7279">
        <w:rPr>
          <w:rFonts w:ascii="Arial Unicode MS" w:hAnsi="Arial Unicode MS" w:cs="Arial" w:hint="eastAsia"/>
          <w:szCs w:val="21"/>
        </w:rPr>
        <w:t>债券基金、长安</w:t>
      </w:r>
      <w:proofErr w:type="gramStart"/>
      <w:r w:rsidRPr="00EB7279">
        <w:rPr>
          <w:rFonts w:ascii="Arial Unicode MS" w:hAnsi="Arial Unicode MS" w:cs="Arial" w:hint="eastAsia"/>
          <w:szCs w:val="21"/>
        </w:rPr>
        <w:t>泓泽纯债</w:t>
      </w:r>
      <w:proofErr w:type="gramEnd"/>
      <w:r w:rsidRPr="00EB7279">
        <w:rPr>
          <w:rFonts w:ascii="Arial Unicode MS" w:hAnsi="Arial Unicode MS" w:cs="Arial" w:hint="eastAsia"/>
          <w:szCs w:val="21"/>
        </w:rPr>
        <w:t>债券基金、</w:t>
      </w:r>
      <w:proofErr w:type="gramStart"/>
      <w:r w:rsidRPr="00EB7279">
        <w:rPr>
          <w:rFonts w:ascii="Arial Unicode MS" w:hAnsi="Arial Unicode MS" w:cs="Arial" w:hint="eastAsia"/>
          <w:szCs w:val="21"/>
        </w:rPr>
        <w:t>银河君耀灵活</w:t>
      </w:r>
      <w:proofErr w:type="gramEnd"/>
      <w:r w:rsidRPr="00EB7279">
        <w:rPr>
          <w:rFonts w:ascii="Arial Unicode MS" w:hAnsi="Arial Unicode MS" w:cs="Arial" w:hint="eastAsia"/>
          <w:szCs w:val="21"/>
        </w:rPr>
        <w:t>配置混合基金、广</w:t>
      </w:r>
      <w:proofErr w:type="gramStart"/>
      <w:r w:rsidRPr="00EB7279">
        <w:rPr>
          <w:rFonts w:ascii="Arial Unicode MS" w:hAnsi="Arial Unicode MS" w:cs="Arial" w:hint="eastAsia"/>
          <w:szCs w:val="21"/>
        </w:rPr>
        <w:t>发汇瑞</w:t>
      </w:r>
      <w:r w:rsidRPr="00EB7279">
        <w:rPr>
          <w:rFonts w:ascii="Arial Unicode MS" w:hAnsi="Arial Unicode MS" w:cs="Arial" w:hint="eastAsia"/>
          <w:szCs w:val="21"/>
        </w:rPr>
        <w:t>3</w:t>
      </w:r>
      <w:r w:rsidRPr="00EB7279">
        <w:rPr>
          <w:rFonts w:ascii="Arial Unicode MS" w:hAnsi="Arial Unicode MS" w:cs="Arial" w:hint="eastAsia"/>
          <w:szCs w:val="21"/>
        </w:rPr>
        <w:t>个月</w:t>
      </w:r>
      <w:proofErr w:type="gramEnd"/>
      <w:r w:rsidRPr="00EB7279">
        <w:rPr>
          <w:rFonts w:ascii="Arial Unicode MS" w:hAnsi="Arial Unicode MS" w:cs="Arial" w:hint="eastAsia"/>
          <w:szCs w:val="21"/>
        </w:rPr>
        <w:t>定期开放债券发起式证券投资基金、</w:t>
      </w:r>
      <w:proofErr w:type="gramStart"/>
      <w:r w:rsidRPr="00EB7279">
        <w:rPr>
          <w:rFonts w:ascii="Arial Unicode MS" w:hAnsi="Arial Unicode MS" w:cs="Arial" w:hint="eastAsia"/>
          <w:szCs w:val="21"/>
        </w:rPr>
        <w:t>汇安嘉汇纯债</w:t>
      </w:r>
      <w:proofErr w:type="gramEnd"/>
      <w:r w:rsidRPr="00EB7279">
        <w:rPr>
          <w:rFonts w:ascii="Arial Unicode MS" w:hAnsi="Arial Unicode MS" w:cs="Arial" w:hint="eastAsia"/>
          <w:szCs w:val="21"/>
        </w:rPr>
        <w:t>债券基金、</w:t>
      </w:r>
      <w:proofErr w:type="gramStart"/>
      <w:r w:rsidRPr="00EB7279">
        <w:rPr>
          <w:rFonts w:ascii="Arial Unicode MS" w:hAnsi="Arial Unicode MS" w:cs="Arial" w:hint="eastAsia"/>
          <w:szCs w:val="21"/>
        </w:rPr>
        <w:t>南方宣利定</w:t>
      </w:r>
      <w:proofErr w:type="gramEnd"/>
      <w:r w:rsidRPr="00EB7279">
        <w:rPr>
          <w:rFonts w:ascii="Arial Unicode MS" w:hAnsi="Arial Unicode MS" w:cs="Arial" w:hint="eastAsia"/>
          <w:szCs w:val="21"/>
        </w:rPr>
        <w:t>开债券基金、招商兴福灵活配置混合基金、博时鑫润灵活配置混合基金、兴业裕华债券基金、易方达瑞通灵活配置混合基金、招商招祥纯债债券基金、易方达瑞程混合基金、中欧骏泰货币基金、招商招华纯债债券基金、汇安丰融灵活配置混合基金、汇安嘉源纯债债券基金、国泰普益混合基金、汇添富鑫瑞债券基金、鑫元合丰纯债债券基金、博时鑫惠混合基金、国泰润利纯债基金、华富天益货币基金、汇安丰华混合基金、汇安沪深</w:t>
      </w:r>
      <w:r w:rsidRPr="00EB7279">
        <w:rPr>
          <w:rFonts w:ascii="Arial Unicode MS" w:hAnsi="Arial Unicode MS" w:cs="Arial" w:hint="eastAsia"/>
          <w:szCs w:val="21"/>
        </w:rPr>
        <w:t>300</w:t>
      </w:r>
      <w:r w:rsidRPr="00EB7279">
        <w:rPr>
          <w:rFonts w:ascii="Arial Unicode MS" w:hAnsi="Arial Unicode MS" w:cs="Arial" w:hint="eastAsia"/>
          <w:szCs w:val="21"/>
        </w:rPr>
        <w:t>指数增强型证券投资基金、汇安丰恒混合基金、景顺长城中证</w:t>
      </w:r>
      <w:r w:rsidRPr="00EB7279">
        <w:rPr>
          <w:rFonts w:ascii="Arial Unicode MS" w:hAnsi="Arial Unicode MS" w:cs="Arial" w:hint="eastAsia"/>
          <w:szCs w:val="21"/>
        </w:rPr>
        <w:t>500</w:t>
      </w:r>
      <w:r w:rsidRPr="00EB7279">
        <w:rPr>
          <w:rFonts w:ascii="Arial Unicode MS" w:hAnsi="Arial Unicode MS" w:cs="Arial" w:hint="eastAsia"/>
          <w:szCs w:val="21"/>
        </w:rPr>
        <w:t>指数基金、鹏华丰康债券基金、兴业安润货币基金、兴业瑞丰</w:t>
      </w:r>
      <w:r w:rsidRPr="00EB7279">
        <w:rPr>
          <w:rFonts w:ascii="Arial Unicode MS" w:hAnsi="Arial Unicode MS" w:cs="Arial" w:hint="eastAsia"/>
          <w:szCs w:val="21"/>
        </w:rPr>
        <w:t>6</w:t>
      </w:r>
      <w:r w:rsidRPr="00EB7279">
        <w:rPr>
          <w:rFonts w:ascii="Arial Unicode MS" w:hAnsi="Arial Unicode MS" w:cs="Arial" w:hint="eastAsia"/>
          <w:szCs w:val="21"/>
        </w:rPr>
        <w:t>个月定开债券基金、兴业裕丰债券基金、易方达瑞弘混合基金、长安鑫富领先混合基金、万家现金增利货币基金、上银慧增利货币市场基金、易方达瑞富灵活配置证券投资基金、博时富腾纯债债券型证券投资基金、安信工业</w:t>
      </w:r>
      <w:r w:rsidRPr="00EB7279">
        <w:rPr>
          <w:rFonts w:ascii="Arial Unicode MS" w:hAnsi="Arial Unicode MS" w:cs="Arial" w:hint="eastAsia"/>
          <w:szCs w:val="21"/>
        </w:rPr>
        <w:t>4.0</w:t>
      </w:r>
      <w:r w:rsidRPr="00EB7279">
        <w:rPr>
          <w:rFonts w:ascii="Arial Unicode MS" w:hAnsi="Arial Unicode MS" w:cs="Arial" w:hint="eastAsia"/>
          <w:szCs w:val="21"/>
        </w:rPr>
        <w:t>主题沪港深精选混合基金、万家天添宝货币基金、中欧瑾泰债券型证券投资基金、中银证券安弘债券基金、鑫元鑫趋势灵活配置混合基金、泰康年年红纯债一年定期开放债券基金、广发高端制造股票型发起式基金、永赢永益债券基金、南方安福混合基金、中银证券聚瑞混合基金、太平改革红利精选灵活配置混合基金、富荣富乾债券型证券投资基金、国联安安稳灵活配置混合型证券投资基金、前海开源弘泽债券型发起式证券投资基金、前海开源弘丰债券型发起式证券投资基金、中海沪港深多策略灵活配置混合型基金、中银证券祥瑞混合型证券投资基金、前海开源盛鑫灵活配置混合型证券投资基金、鑫元行业轮动灵活配置混合型证券投资基金、兴业</w:t>
      </w:r>
      <w:r w:rsidRPr="00EB7279">
        <w:rPr>
          <w:rFonts w:ascii="Arial Unicode MS" w:hAnsi="Arial Unicode MS" w:cs="Arial" w:hint="eastAsia"/>
          <w:szCs w:val="21"/>
        </w:rPr>
        <w:t>3</w:t>
      </w:r>
      <w:r w:rsidRPr="00EB7279">
        <w:rPr>
          <w:rFonts w:ascii="Arial Unicode MS" w:hAnsi="Arial Unicode MS" w:cs="Arial" w:hint="eastAsia"/>
          <w:szCs w:val="21"/>
        </w:rPr>
        <w:t>个月定期开放债券型发起式证券投资基金、富国颐利纯债债券型证券投资基金、华安安浦债券型证券投资基金、南方泽元债券型证券投资基金、鹏扬淳利定期开放债券型证券投资基金、万家鑫悦纯债债券型基金、新疆前海联合泳祺纯债债券型证券投资基金、永赢</w:t>
      </w:r>
      <w:r w:rsidRPr="00EB7279">
        <w:rPr>
          <w:rFonts w:ascii="Arial Unicode MS" w:hAnsi="Arial Unicode MS" w:cs="Arial" w:hint="eastAsia"/>
          <w:szCs w:val="21"/>
        </w:rPr>
        <w:lastRenderedPageBreak/>
        <w:t>盈益债券型证券投资基金、中加颐合纯债债券型证券投资基金、中信保诚稳达债券型证券投资基金、中银中债</w:t>
      </w:r>
      <w:r w:rsidRPr="00EB7279">
        <w:rPr>
          <w:rFonts w:ascii="Arial Unicode MS" w:hAnsi="Arial Unicode MS" w:cs="Arial" w:hint="eastAsia"/>
          <w:szCs w:val="21"/>
        </w:rPr>
        <w:t>3-5</w:t>
      </w:r>
      <w:r w:rsidRPr="00EB7279">
        <w:rPr>
          <w:rFonts w:ascii="Arial Unicode MS" w:hAnsi="Arial Unicode MS" w:cs="Arial" w:hint="eastAsia"/>
          <w:szCs w:val="21"/>
        </w:rPr>
        <w:t>年期农发行债券指数证券投资基金、东方红核心优选一年定期开放混合型证券投资基金、平安惠锦纯债债券型证券投资基金、华夏鼎通债券型证券投资基金、鑫元全利债券型发起式证券投资基金、中融恒裕纯债债券型证券投资基金、嘉实致盈债券型证券投资基金、永赢消费主题灵活配置混合型证券投资基金、工银瑞信瑞福纯债债券型证券投资基金、广发景智纯债债券型证券投资基金、东兴品牌精选灵活配置混合型证券投资基金、广发中债</w:t>
      </w:r>
      <w:r w:rsidRPr="00EB7279">
        <w:rPr>
          <w:rFonts w:ascii="Arial Unicode MS" w:hAnsi="Arial Unicode MS" w:cs="Arial" w:hint="eastAsia"/>
          <w:szCs w:val="21"/>
        </w:rPr>
        <w:t>1-3</w:t>
      </w:r>
      <w:r w:rsidRPr="00EB7279">
        <w:rPr>
          <w:rFonts w:ascii="Arial Unicode MS" w:hAnsi="Arial Unicode MS" w:cs="Arial" w:hint="eastAsia"/>
          <w:szCs w:val="21"/>
        </w:rPr>
        <w:t>年国开行债券指数证券投资基金、融通通捷债券型证券投资基金、华富恒盛纯债债券型证券投资基金、建信中证</w:t>
      </w:r>
      <w:r w:rsidRPr="00EB7279">
        <w:rPr>
          <w:rFonts w:ascii="Arial Unicode MS" w:hAnsi="Arial Unicode MS" w:cs="Arial" w:hint="eastAsia"/>
          <w:szCs w:val="21"/>
        </w:rPr>
        <w:t>1000</w:t>
      </w:r>
      <w:r w:rsidRPr="00EB7279">
        <w:rPr>
          <w:rFonts w:ascii="Arial Unicode MS" w:hAnsi="Arial Unicode MS" w:cs="Arial" w:hint="eastAsia"/>
          <w:szCs w:val="21"/>
        </w:rPr>
        <w:t>指数增强型发起式证券投资基金、汇安嘉鑫纯债债券型证券投资基金、国寿安保安丰纯债债券型证券投资基金、博时中债</w:t>
      </w:r>
      <w:r w:rsidRPr="00EB7279">
        <w:rPr>
          <w:rFonts w:ascii="Arial Unicode MS" w:hAnsi="Arial Unicode MS" w:cs="Arial" w:hint="eastAsia"/>
          <w:szCs w:val="21"/>
        </w:rPr>
        <w:t>1-3</w:t>
      </w:r>
      <w:r w:rsidRPr="00EB7279">
        <w:rPr>
          <w:rFonts w:ascii="Arial Unicode MS" w:hAnsi="Arial Unicode MS" w:cs="Arial" w:hint="eastAsia"/>
          <w:szCs w:val="21"/>
        </w:rPr>
        <w:t>年政策性金融债指数证券投资基金、银河家盈纯债债券型证券投资基金、博时富永纯债</w:t>
      </w:r>
      <w:r w:rsidRPr="00EB7279">
        <w:rPr>
          <w:rFonts w:ascii="Arial Unicode MS" w:hAnsi="Arial Unicode MS" w:cs="Arial" w:hint="eastAsia"/>
          <w:szCs w:val="21"/>
        </w:rPr>
        <w:t>3</w:t>
      </w:r>
      <w:r w:rsidRPr="00EB7279">
        <w:rPr>
          <w:rFonts w:ascii="Arial Unicode MS" w:hAnsi="Arial Unicode MS" w:cs="Arial" w:hint="eastAsia"/>
          <w:szCs w:val="21"/>
        </w:rPr>
        <w:t>个月定期开放债券型发起式证券投资基金、南方畅利定期开放债券型发起式证券投资基金、中加瑞利纯债债券型证券投资基金、华富中证</w:t>
      </w:r>
      <w:r w:rsidRPr="00EB7279">
        <w:rPr>
          <w:rFonts w:ascii="Arial Unicode MS" w:hAnsi="Arial Unicode MS" w:cs="Arial" w:hint="eastAsia"/>
          <w:szCs w:val="21"/>
        </w:rPr>
        <w:t>5</w:t>
      </w:r>
      <w:r w:rsidRPr="00EB7279">
        <w:rPr>
          <w:rFonts w:ascii="Arial Unicode MS" w:hAnsi="Arial Unicode MS" w:cs="Arial" w:hint="eastAsia"/>
          <w:szCs w:val="21"/>
        </w:rPr>
        <w:t>年恒定久期国开债指数型证券投资基金、永赢合益债券型证券投资基金、嘉实中债</w:t>
      </w:r>
      <w:r w:rsidRPr="00EB7279">
        <w:rPr>
          <w:rFonts w:ascii="Arial Unicode MS" w:hAnsi="Arial Unicode MS" w:cs="Arial" w:hint="eastAsia"/>
          <w:szCs w:val="21"/>
        </w:rPr>
        <w:t>1-3</w:t>
      </w:r>
      <w:r w:rsidRPr="00EB7279">
        <w:rPr>
          <w:rFonts w:ascii="Arial Unicode MS" w:hAnsi="Arial Unicode MS" w:cs="Arial" w:hint="eastAsia"/>
          <w:szCs w:val="21"/>
        </w:rPr>
        <w:t>年政策性金融债指数证券投资基金、广发港股通优质增长混合型证券投资基金、长安泓沣中短债债券型证券投资基金、中海信息产业精选混合型证券投资基金、民生加银恒裕债券型证券投资基金、国寿安保尊益信用纯债债券型证券投资基金、平安惠泰纯债债券型证券投资基金、中信建投景和中短债债券型证券投资基金、工银瑞信添慧债券型证券投资基金、华富安鑫债券型证券投资基金、汇添富中债</w:t>
      </w:r>
      <w:r w:rsidRPr="00EB7279">
        <w:rPr>
          <w:rFonts w:ascii="Arial Unicode MS" w:hAnsi="Arial Unicode MS" w:cs="Arial" w:hint="eastAsia"/>
          <w:szCs w:val="21"/>
        </w:rPr>
        <w:t>1-3</w:t>
      </w:r>
      <w:r w:rsidRPr="00EB7279">
        <w:rPr>
          <w:rFonts w:ascii="Arial Unicode MS" w:hAnsi="Arial Unicode MS" w:cs="Arial" w:hint="eastAsia"/>
          <w:szCs w:val="21"/>
        </w:rPr>
        <w:t>年农发行债券指数证券投资基金、南方旭元债券型发起式证券投资基金、大成中债</w:t>
      </w:r>
      <w:r w:rsidRPr="00EB7279">
        <w:rPr>
          <w:rFonts w:ascii="Arial Unicode MS" w:hAnsi="Arial Unicode MS" w:cs="Arial" w:hint="eastAsia"/>
          <w:szCs w:val="21"/>
        </w:rPr>
        <w:t>3-5</w:t>
      </w:r>
      <w:r w:rsidRPr="00EB7279">
        <w:rPr>
          <w:rFonts w:ascii="Arial Unicode MS" w:hAnsi="Arial Unicode MS" w:cs="Arial" w:hint="eastAsia"/>
          <w:szCs w:val="21"/>
        </w:rPr>
        <w:t>年国开行债券指数基金、永赢众利债券型证券投资基金、华夏中债</w:t>
      </w:r>
      <w:r w:rsidRPr="00EB7279">
        <w:rPr>
          <w:rFonts w:ascii="Arial Unicode MS" w:hAnsi="Arial Unicode MS" w:cs="Arial" w:hint="eastAsia"/>
          <w:szCs w:val="21"/>
        </w:rPr>
        <w:t>3-5</w:t>
      </w:r>
      <w:r w:rsidRPr="00EB7279">
        <w:rPr>
          <w:rFonts w:ascii="Arial Unicode MS" w:hAnsi="Arial Unicode MS" w:cs="Arial" w:hint="eastAsia"/>
          <w:szCs w:val="21"/>
        </w:rPr>
        <w:t>年政策性金融债指数证券投资基金、中证长三角一体化发展主题交易型开放式指数证券投资基金、新疆前海联合科技先锋混合型证券投资基金、银华尊尚稳健养老目标一年持有期混合型发起式基金中基金（</w:t>
      </w:r>
      <w:r w:rsidRPr="00EB7279">
        <w:rPr>
          <w:rFonts w:ascii="Arial Unicode MS" w:hAnsi="Arial Unicode MS" w:cs="Arial" w:hint="eastAsia"/>
          <w:szCs w:val="21"/>
        </w:rPr>
        <w:t>FOF</w:t>
      </w:r>
      <w:r w:rsidRPr="00EB7279">
        <w:rPr>
          <w:rFonts w:ascii="Arial Unicode MS" w:hAnsi="Arial Unicode MS" w:cs="Arial" w:hint="eastAsia"/>
          <w:szCs w:val="21"/>
        </w:rPr>
        <w:t>）、博时颐泽平衡养老目标三年持有期混合型发起式基金中基金（</w:t>
      </w:r>
      <w:r w:rsidRPr="00EB7279">
        <w:rPr>
          <w:rFonts w:ascii="Arial Unicode MS" w:hAnsi="Arial Unicode MS" w:cs="Arial" w:hint="eastAsia"/>
          <w:szCs w:val="21"/>
        </w:rPr>
        <w:t>FOF</w:t>
      </w:r>
      <w:r w:rsidRPr="00EB7279">
        <w:rPr>
          <w:rFonts w:ascii="Arial Unicode MS" w:hAnsi="Arial Unicode MS" w:cs="Arial" w:hint="eastAsia"/>
          <w:szCs w:val="21"/>
        </w:rPr>
        <w:t>）、农银养老目标日期</w:t>
      </w:r>
      <w:r w:rsidRPr="00EB7279">
        <w:rPr>
          <w:rFonts w:ascii="Arial Unicode MS" w:hAnsi="Arial Unicode MS" w:cs="Arial" w:hint="eastAsia"/>
          <w:szCs w:val="21"/>
        </w:rPr>
        <w:t>2035</w:t>
      </w:r>
      <w:r w:rsidRPr="00EB7279">
        <w:rPr>
          <w:rFonts w:ascii="Arial Unicode MS" w:hAnsi="Arial Unicode MS" w:cs="Arial" w:hint="eastAsia"/>
          <w:szCs w:val="21"/>
        </w:rPr>
        <w:t>三年持有期混合型发起式基金中基金</w:t>
      </w:r>
      <w:r w:rsidRPr="00EB7279">
        <w:rPr>
          <w:rFonts w:ascii="Arial Unicode MS" w:hAnsi="Arial Unicode MS" w:cs="Arial" w:hint="eastAsia"/>
          <w:szCs w:val="21"/>
        </w:rPr>
        <w:t>(FOF)</w:t>
      </w:r>
      <w:r w:rsidRPr="00EB7279">
        <w:rPr>
          <w:rFonts w:ascii="Arial Unicode MS" w:hAnsi="Arial Unicode MS" w:cs="Arial" w:hint="eastAsia"/>
          <w:szCs w:val="21"/>
        </w:rPr>
        <w:t>、汇添富汇鑫浮动净值货币市场基金、泰康安欣纯债债券型证券投资基金、恒生前海港股通精选混合型证券投资基金、鹏华丰鑫债券型证券投资基金、中证长三角一体化发展主题交易型开放式指数证券投资基金联接基金、汇添富保鑫灵活配置混合型证券投资基金、华富安兴</w:t>
      </w:r>
      <w:r w:rsidRPr="00EB7279">
        <w:rPr>
          <w:rFonts w:ascii="Arial Unicode MS" w:hAnsi="Arial Unicode MS" w:cs="Arial" w:hint="eastAsia"/>
          <w:szCs w:val="21"/>
        </w:rPr>
        <w:t>39</w:t>
      </w:r>
      <w:r w:rsidRPr="00EB7279">
        <w:rPr>
          <w:rFonts w:ascii="Arial Unicode MS" w:hAnsi="Arial Unicode MS" w:cs="Arial" w:hint="eastAsia"/>
          <w:szCs w:val="21"/>
        </w:rPr>
        <w:t>个月定期开放债券型证券投资基金、中融睿享</w:t>
      </w:r>
      <w:r w:rsidRPr="00EB7279">
        <w:rPr>
          <w:rFonts w:ascii="Arial Unicode MS" w:hAnsi="Arial Unicode MS" w:cs="Arial" w:hint="eastAsia"/>
          <w:szCs w:val="21"/>
        </w:rPr>
        <w:t>86</w:t>
      </w:r>
      <w:r w:rsidRPr="00EB7279">
        <w:rPr>
          <w:rFonts w:ascii="Arial Unicode MS" w:hAnsi="Arial Unicode MS" w:cs="Arial" w:hint="eastAsia"/>
          <w:szCs w:val="21"/>
        </w:rPr>
        <w:t>个月定期开放债券型基金、南方梦元短债债券型证券投资基金、鹏扬淳开债券型证券投资基金、华宝宝惠纯债</w:t>
      </w:r>
      <w:r w:rsidRPr="00EB7279">
        <w:rPr>
          <w:rFonts w:ascii="Arial Unicode MS" w:hAnsi="Arial Unicode MS" w:cs="Arial" w:hint="eastAsia"/>
          <w:szCs w:val="21"/>
        </w:rPr>
        <w:t>39</w:t>
      </w:r>
      <w:r w:rsidRPr="00EB7279">
        <w:rPr>
          <w:rFonts w:ascii="Arial Unicode MS" w:hAnsi="Arial Unicode MS" w:cs="Arial" w:hint="eastAsia"/>
          <w:szCs w:val="21"/>
        </w:rPr>
        <w:t>个月定期开放债券型证券投资基金、建信</w:t>
      </w:r>
      <w:r w:rsidRPr="00EB7279">
        <w:rPr>
          <w:rFonts w:ascii="Arial Unicode MS" w:hAnsi="Arial Unicode MS" w:cs="Arial" w:hint="eastAsia"/>
          <w:szCs w:val="21"/>
        </w:rPr>
        <w:t>MSCI</w:t>
      </w:r>
      <w:r w:rsidRPr="00EB7279">
        <w:rPr>
          <w:rFonts w:ascii="Arial Unicode MS" w:hAnsi="Arial Unicode MS" w:cs="Arial" w:hint="eastAsia"/>
          <w:szCs w:val="21"/>
        </w:rPr>
        <w:t>中国</w:t>
      </w:r>
      <w:r w:rsidRPr="00EB7279">
        <w:rPr>
          <w:rFonts w:ascii="Arial Unicode MS" w:hAnsi="Arial Unicode MS" w:cs="Arial" w:hint="eastAsia"/>
          <w:szCs w:val="21"/>
        </w:rPr>
        <w:t>A</w:t>
      </w:r>
      <w:r w:rsidRPr="00EB7279">
        <w:rPr>
          <w:rFonts w:ascii="Arial Unicode MS" w:hAnsi="Arial Unicode MS" w:cs="Arial" w:hint="eastAsia"/>
          <w:szCs w:val="21"/>
        </w:rPr>
        <w:t>股指数增强型证券投资基金、农银汇理金益债券型证券投资基金、博时稳欣</w:t>
      </w:r>
      <w:r w:rsidRPr="00EB7279">
        <w:rPr>
          <w:rFonts w:ascii="Arial Unicode MS" w:hAnsi="Arial Unicode MS" w:cs="Arial" w:hint="eastAsia"/>
          <w:szCs w:val="21"/>
        </w:rPr>
        <w:t>39</w:t>
      </w:r>
      <w:r w:rsidRPr="00EB7279">
        <w:rPr>
          <w:rFonts w:ascii="Arial Unicode MS" w:hAnsi="Arial Unicode MS" w:cs="Arial" w:hint="eastAsia"/>
          <w:szCs w:val="21"/>
        </w:rPr>
        <w:t>个月定期开放债券型证券投资</w:t>
      </w:r>
      <w:r w:rsidRPr="00EB7279">
        <w:rPr>
          <w:rFonts w:ascii="Arial Unicode MS" w:hAnsi="Arial Unicode MS" w:cs="Arial" w:hint="eastAsia"/>
          <w:szCs w:val="21"/>
        </w:rPr>
        <w:lastRenderedPageBreak/>
        <w:t>基金、同泰慧择混合型证券投资基金、招商中证红利交易型开放式指数证券投资基金、嘉实致禄</w:t>
      </w:r>
      <w:r w:rsidRPr="00EB7279">
        <w:rPr>
          <w:rFonts w:ascii="Arial Unicode MS" w:hAnsi="Arial Unicode MS" w:cs="Arial" w:hint="eastAsia"/>
          <w:szCs w:val="21"/>
        </w:rPr>
        <w:t>3</w:t>
      </w:r>
      <w:r w:rsidRPr="00EB7279">
        <w:rPr>
          <w:rFonts w:ascii="Arial Unicode MS" w:hAnsi="Arial Unicode MS" w:cs="Arial" w:hint="eastAsia"/>
          <w:szCs w:val="21"/>
        </w:rPr>
        <w:t>个月定期开放纯债债券型发起式证券投资基金、永赢久利债券型证券投资基金、嘉实安元</w:t>
      </w:r>
      <w:r w:rsidRPr="00EB7279">
        <w:rPr>
          <w:rFonts w:ascii="Arial Unicode MS" w:hAnsi="Arial Unicode MS" w:cs="Arial" w:hint="eastAsia"/>
          <w:szCs w:val="21"/>
        </w:rPr>
        <w:t>39</w:t>
      </w:r>
      <w:r w:rsidRPr="00EB7279">
        <w:rPr>
          <w:rFonts w:ascii="Arial Unicode MS" w:hAnsi="Arial Unicode MS" w:cs="Arial" w:hint="eastAsia"/>
          <w:szCs w:val="21"/>
        </w:rPr>
        <w:t>个月定期开放纯债债券型证券投资基金、交银施罗德裕泰两年定期开放债券型证券投资基金、长城嘉鑫两年定期开放债券型证券投资基金、建信荣禧一年定期开放债券型证券投资基金、鹏扬浦利中短债债券型证券投资基金、平安惠合纯债债券型证券投资基金、工银瑞信深证</w:t>
      </w:r>
      <w:r w:rsidRPr="00EB7279">
        <w:rPr>
          <w:rFonts w:ascii="Arial Unicode MS" w:hAnsi="Arial Unicode MS" w:cs="Arial" w:hint="eastAsia"/>
          <w:szCs w:val="21"/>
        </w:rPr>
        <w:t>100</w:t>
      </w:r>
      <w:r w:rsidRPr="00EB7279">
        <w:rPr>
          <w:rFonts w:ascii="Arial Unicode MS" w:hAnsi="Arial Unicode MS" w:cs="Arial" w:hint="eastAsia"/>
          <w:szCs w:val="21"/>
        </w:rPr>
        <w:t>交易型开放式指数证券投资基金、鹏华</w:t>
      </w:r>
      <w:r w:rsidRPr="00EB7279">
        <w:rPr>
          <w:rFonts w:ascii="Arial Unicode MS" w:hAnsi="Arial Unicode MS" w:cs="Arial" w:hint="eastAsia"/>
          <w:szCs w:val="21"/>
        </w:rPr>
        <w:t>0-5</w:t>
      </w:r>
      <w:r w:rsidRPr="00EB7279">
        <w:rPr>
          <w:rFonts w:ascii="Arial Unicode MS" w:hAnsi="Arial Unicode MS" w:cs="Arial" w:hint="eastAsia"/>
          <w:szCs w:val="21"/>
        </w:rPr>
        <w:t>年利率债债券型发起式证券投资基金、景顺长城弘利</w:t>
      </w:r>
      <w:r w:rsidRPr="00EB7279">
        <w:rPr>
          <w:rFonts w:ascii="Arial Unicode MS" w:hAnsi="Arial Unicode MS" w:cs="Arial" w:hint="eastAsia"/>
          <w:szCs w:val="21"/>
        </w:rPr>
        <w:t>39</w:t>
      </w:r>
      <w:r w:rsidRPr="00EB7279">
        <w:rPr>
          <w:rFonts w:ascii="Arial Unicode MS" w:hAnsi="Arial Unicode MS" w:cs="Arial" w:hint="eastAsia"/>
          <w:szCs w:val="21"/>
        </w:rPr>
        <w:t>个月定期开放债券型证券投资基金、工银瑞信泰颐三年定期开放债券型证券投资基金、华安鑫浦</w:t>
      </w:r>
      <w:r w:rsidRPr="00EB7279">
        <w:rPr>
          <w:rFonts w:ascii="Arial Unicode MS" w:hAnsi="Arial Unicode MS" w:cs="Arial" w:hint="eastAsia"/>
          <w:szCs w:val="21"/>
        </w:rPr>
        <w:t>87</w:t>
      </w:r>
      <w:r w:rsidRPr="00EB7279">
        <w:rPr>
          <w:rFonts w:ascii="Arial Unicode MS" w:hAnsi="Arial Unicode MS" w:cs="Arial" w:hint="eastAsia"/>
          <w:szCs w:val="21"/>
        </w:rPr>
        <w:t>个月定期开放债券型证券投资基金、汇安嘉盛纯债债券型证券投资基金、东方红安鑫甄选一年持有期混合型证券投资基金、西藏东财中证通信技术主题指数型发起式证券投资基金、财通裕惠</w:t>
      </w:r>
      <w:r w:rsidRPr="00EB7279">
        <w:rPr>
          <w:rFonts w:ascii="Arial Unicode MS" w:hAnsi="Arial Unicode MS" w:cs="Arial" w:hint="eastAsia"/>
          <w:szCs w:val="21"/>
        </w:rPr>
        <w:t>63</w:t>
      </w:r>
      <w:r w:rsidRPr="00EB7279">
        <w:rPr>
          <w:rFonts w:ascii="Arial Unicode MS" w:hAnsi="Arial Unicode MS" w:cs="Arial" w:hint="eastAsia"/>
          <w:szCs w:val="21"/>
        </w:rPr>
        <w:t>个月定期开放债券型证券投资基金、南方尊利一年定期开放债券型发起式证券投资基金、国泰中证全指家用电器交易型开放式指数证券投资基金、鹏华尊裕一年定期开放债券型发起式证券投资基金、鹏扬淳悦一年定期开放债券型发起式证券投资基金、兴业鼎泰一年定期开放债券型发起式证券投资基金、安信丰泽</w:t>
      </w:r>
      <w:r w:rsidRPr="00EB7279">
        <w:rPr>
          <w:rFonts w:ascii="Arial Unicode MS" w:hAnsi="Arial Unicode MS" w:cs="Arial" w:hint="eastAsia"/>
          <w:szCs w:val="21"/>
        </w:rPr>
        <w:t>39</w:t>
      </w:r>
      <w:r w:rsidRPr="00EB7279">
        <w:rPr>
          <w:rFonts w:ascii="Arial Unicode MS" w:hAnsi="Arial Unicode MS" w:cs="Arial" w:hint="eastAsia"/>
          <w:szCs w:val="21"/>
        </w:rPr>
        <w:t>个月定期开放债券型证券投资基金、国泰中证新能源汽车交易型开放式指数证券投资基金、广发恒隆一年持有期混合型证券投资基金、安信中证信用主体</w:t>
      </w:r>
      <w:r w:rsidRPr="00EB7279">
        <w:rPr>
          <w:rFonts w:ascii="Arial Unicode MS" w:hAnsi="Arial Unicode MS" w:cs="Arial" w:hint="eastAsia"/>
          <w:szCs w:val="21"/>
        </w:rPr>
        <w:t>50</w:t>
      </w:r>
      <w:r w:rsidRPr="00EB7279">
        <w:rPr>
          <w:rFonts w:ascii="Arial Unicode MS" w:hAnsi="Arial Unicode MS" w:cs="Arial" w:hint="eastAsia"/>
          <w:szCs w:val="21"/>
        </w:rPr>
        <w:t>债券指数证券投资基金、大成彭博巴克莱政策性银行债券</w:t>
      </w:r>
      <w:r w:rsidRPr="00EB7279">
        <w:rPr>
          <w:rFonts w:ascii="Arial Unicode MS" w:hAnsi="Arial Unicode MS" w:cs="Arial" w:hint="eastAsia"/>
          <w:szCs w:val="21"/>
        </w:rPr>
        <w:t>3-5</w:t>
      </w:r>
      <w:r w:rsidRPr="00EB7279">
        <w:rPr>
          <w:rFonts w:ascii="Arial Unicode MS" w:hAnsi="Arial Unicode MS" w:cs="Arial" w:hint="eastAsia"/>
          <w:szCs w:val="21"/>
        </w:rPr>
        <w:t>年指数证券投资基金、国泰中证全指家用电器交易型开放式指数证券投资基金发起式联接基金、国泰中证新能源汽车交易型开放式指数证券投资基金发起式联接基金、海富通富泽混合型证券投资基金、华富中债</w:t>
      </w:r>
      <w:r w:rsidRPr="00EB7279">
        <w:rPr>
          <w:rFonts w:ascii="Arial Unicode MS" w:hAnsi="Arial Unicode MS" w:cs="Arial" w:hint="eastAsia"/>
          <w:szCs w:val="21"/>
        </w:rPr>
        <w:t>-0-5</w:t>
      </w:r>
      <w:r w:rsidRPr="00EB7279">
        <w:rPr>
          <w:rFonts w:ascii="Arial Unicode MS" w:hAnsi="Arial Unicode MS" w:cs="Arial" w:hint="eastAsia"/>
          <w:szCs w:val="21"/>
        </w:rPr>
        <w:t>年中高等级信用债收益平衡指数证券投资基金、汇添富稳健增益一年持有期混合型证券投资基金、南方誉慧一年持有期混合型证券投资基金、农银汇理永乐</w:t>
      </w:r>
      <w:r w:rsidRPr="00EB7279">
        <w:rPr>
          <w:rFonts w:ascii="Arial Unicode MS" w:hAnsi="Arial Unicode MS" w:cs="Arial" w:hint="eastAsia"/>
          <w:szCs w:val="21"/>
        </w:rPr>
        <w:t>3</w:t>
      </w:r>
      <w:r w:rsidRPr="00EB7279">
        <w:rPr>
          <w:rFonts w:ascii="Arial Unicode MS" w:hAnsi="Arial Unicode MS" w:cs="Arial" w:hint="eastAsia"/>
          <w:szCs w:val="21"/>
        </w:rPr>
        <w:t>个月持有期混合型基金中基金（</w:t>
      </w:r>
      <w:r w:rsidRPr="00EB7279">
        <w:rPr>
          <w:rFonts w:ascii="Arial Unicode MS" w:hAnsi="Arial Unicode MS" w:cs="Arial" w:hint="eastAsia"/>
          <w:szCs w:val="21"/>
        </w:rPr>
        <w:t>FOF</w:t>
      </w:r>
      <w:r w:rsidRPr="00EB7279">
        <w:rPr>
          <w:rFonts w:ascii="Arial Unicode MS" w:hAnsi="Arial Unicode MS" w:cs="Arial" w:hint="eastAsia"/>
          <w:szCs w:val="21"/>
        </w:rPr>
        <w:t>）、鹏扬景恒六个月持有期混合型证券投资基金、平安合兴</w:t>
      </w:r>
      <w:r w:rsidRPr="00EB7279">
        <w:rPr>
          <w:rFonts w:ascii="Arial Unicode MS" w:hAnsi="Arial Unicode MS" w:cs="Arial" w:hint="eastAsia"/>
          <w:szCs w:val="21"/>
        </w:rPr>
        <w:t>1</w:t>
      </w:r>
      <w:r w:rsidRPr="00EB7279">
        <w:rPr>
          <w:rFonts w:ascii="Arial Unicode MS" w:hAnsi="Arial Unicode MS" w:cs="Arial" w:hint="eastAsia"/>
          <w:szCs w:val="21"/>
        </w:rPr>
        <w:t>年定期开放债券型发起式证券投资基金、融通中债</w:t>
      </w:r>
      <w:r w:rsidRPr="00EB7279">
        <w:rPr>
          <w:rFonts w:ascii="Arial Unicode MS" w:hAnsi="Arial Unicode MS" w:cs="Arial" w:hint="eastAsia"/>
          <w:szCs w:val="21"/>
        </w:rPr>
        <w:t>1-3</w:t>
      </w:r>
      <w:r w:rsidRPr="00EB7279">
        <w:rPr>
          <w:rFonts w:ascii="Arial Unicode MS" w:hAnsi="Arial Unicode MS" w:cs="Arial" w:hint="eastAsia"/>
          <w:szCs w:val="21"/>
        </w:rPr>
        <w:t>年国开行债券指数基金、太平中债</w:t>
      </w:r>
      <w:r w:rsidRPr="00EB7279">
        <w:rPr>
          <w:rFonts w:ascii="Arial Unicode MS" w:hAnsi="Arial Unicode MS" w:cs="Arial" w:hint="eastAsia"/>
          <w:szCs w:val="21"/>
        </w:rPr>
        <w:t>1-3</w:t>
      </w:r>
      <w:r w:rsidRPr="00EB7279">
        <w:rPr>
          <w:rFonts w:ascii="Arial Unicode MS" w:hAnsi="Arial Unicode MS" w:cs="Arial" w:hint="eastAsia"/>
          <w:szCs w:val="21"/>
        </w:rPr>
        <w:t>年政策性金融债指数证券投资基金、天弘永裕稳健养老目标一年持有期混合型基金中基金（</w:t>
      </w:r>
      <w:r w:rsidRPr="00EB7279">
        <w:rPr>
          <w:rFonts w:ascii="Arial Unicode MS" w:hAnsi="Arial Unicode MS" w:cs="Arial" w:hint="eastAsia"/>
          <w:szCs w:val="21"/>
        </w:rPr>
        <w:t>FOF</w:t>
      </w:r>
      <w:r w:rsidRPr="00EB7279">
        <w:rPr>
          <w:rFonts w:ascii="Arial Unicode MS" w:hAnsi="Arial Unicode MS" w:cs="Arial" w:hint="eastAsia"/>
          <w:szCs w:val="21"/>
        </w:rPr>
        <w:t>）、中欧真益稳健一年持有期混合型证券投资基金、南华中证杭州湾区交易型开放式指数证券投资基金联接基金、金信核心竞争力灵活配置混合型证券投资基金、华泰紫金中债</w:t>
      </w:r>
      <w:r w:rsidRPr="00EB7279">
        <w:rPr>
          <w:rFonts w:ascii="Arial Unicode MS" w:hAnsi="Arial Unicode MS" w:cs="Arial" w:hint="eastAsia"/>
          <w:szCs w:val="21"/>
        </w:rPr>
        <w:t>1-5</w:t>
      </w:r>
      <w:r w:rsidRPr="00EB7279">
        <w:rPr>
          <w:rFonts w:ascii="Arial Unicode MS" w:hAnsi="Arial Unicode MS" w:cs="Arial" w:hint="eastAsia"/>
          <w:szCs w:val="21"/>
        </w:rPr>
        <w:t>年国开行债券指数证券投资基金、博时价值臻选两年持有期灵活配置混合型证券投资基金、东方红益丰纯债债券型证券投资基金、东方红鑫泰</w:t>
      </w:r>
      <w:r w:rsidRPr="00EB7279">
        <w:rPr>
          <w:rFonts w:ascii="Arial Unicode MS" w:hAnsi="Arial Unicode MS" w:cs="Arial" w:hint="eastAsia"/>
          <w:szCs w:val="21"/>
        </w:rPr>
        <w:t>66</w:t>
      </w:r>
      <w:r w:rsidRPr="00EB7279">
        <w:rPr>
          <w:rFonts w:ascii="Arial Unicode MS" w:hAnsi="Arial Unicode MS" w:cs="Arial" w:hint="eastAsia"/>
          <w:szCs w:val="21"/>
        </w:rPr>
        <w:t>个月定期开放债券型证券投资基金、东方红鼎元</w:t>
      </w:r>
      <w:r w:rsidRPr="00EB7279">
        <w:rPr>
          <w:rFonts w:ascii="Arial Unicode MS" w:hAnsi="Arial Unicode MS" w:cs="Arial" w:hint="eastAsia"/>
          <w:szCs w:val="21"/>
        </w:rPr>
        <w:t>3</w:t>
      </w:r>
      <w:r w:rsidRPr="00EB7279">
        <w:rPr>
          <w:rFonts w:ascii="Arial Unicode MS" w:hAnsi="Arial Unicode MS" w:cs="Arial" w:hint="eastAsia"/>
          <w:szCs w:val="21"/>
        </w:rPr>
        <w:t>个月定期开放混合型发起式证券投资基金、富国上海金交易型开放式证券投资基金、富国上海金交易型开放式证券投</w:t>
      </w:r>
      <w:r w:rsidRPr="00EB7279">
        <w:rPr>
          <w:rFonts w:ascii="Arial Unicode MS" w:hAnsi="Arial Unicode MS" w:cs="Arial" w:hint="eastAsia"/>
          <w:szCs w:val="21"/>
        </w:rPr>
        <w:lastRenderedPageBreak/>
        <w:t>资基金联接基金、工银瑞信深证</w:t>
      </w:r>
      <w:r w:rsidRPr="00EB7279">
        <w:rPr>
          <w:rFonts w:ascii="Arial Unicode MS" w:hAnsi="Arial Unicode MS" w:cs="Arial" w:hint="eastAsia"/>
          <w:szCs w:val="21"/>
        </w:rPr>
        <w:t>100</w:t>
      </w:r>
      <w:r w:rsidRPr="00EB7279">
        <w:rPr>
          <w:rFonts w:ascii="Arial Unicode MS" w:hAnsi="Arial Unicode MS" w:cs="Arial" w:hint="eastAsia"/>
          <w:szCs w:val="21"/>
        </w:rPr>
        <w:t>交易型开放式指数证券投资基金联接基金、广发汇浦三年定期开放债券型证券投资基金、国联安增泰一年定期开放纯债债券型发起式证券投资基金、海富通惠增多策略一年定期开放灵活配置混合型证券投资基金、华安中债</w:t>
      </w:r>
      <w:r w:rsidRPr="00EB7279">
        <w:rPr>
          <w:rFonts w:ascii="Arial Unicode MS" w:hAnsi="Arial Unicode MS" w:cs="Arial" w:hint="eastAsia"/>
          <w:szCs w:val="21"/>
        </w:rPr>
        <w:t>1-5</w:t>
      </w:r>
      <w:r w:rsidRPr="00EB7279">
        <w:rPr>
          <w:rFonts w:ascii="Arial Unicode MS" w:hAnsi="Arial Unicode MS" w:cs="Arial" w:hint="eastAsia"/>
          <w:szCs w:val="21"/>
        </w:rPr>
        <w:t>年国开行债券指数证券投资基金、华宝中债</w:t>
      </w:r>
      <w:r w:rsidRPr="00EB7279">
        <w:rPr>
          <w:rFonts w:ascii="Arial Unicode MS" w:hAnsi="Arial Unicode MS" w:cs="Arial" w:hint="eastAsia"/>
          <w:szCs w:val="21"/>
        </w:rPr>
        <w:t>1-3</w:t>
      </w:r>
      <w:r w:rsidRPr="00EB7279">
        <w:rPr>
          <w:rFonts w:ascii="Arial Unicode MS" w:hAnsi="Arial Unicode MS" w:cs="Arial" w:hint="eastAsia"/>
          <w:szCs w:val="21"/>
        </w:rPr>
        <w:t>年国开行债券指数证券投资基金、景顺长城安鑫回报一年持有期混合型证券投资基金、景顺长城电子信息产业股票型证券投资基金、景顺长城中债</w:t>
      </w:r>
      <w:r w:rsidRPr="00EB7279">
        <w:rPr>
          <w:rFonts w:ascii="Arial Unicode MS" w:hAnsi="Arial Unicode MS" w:cs="Arial" w:hint="eastAsia"/>
          <w:szCs w:val="21"/>
        </w:rPr>
        <w:t>3-5</w:t>
      </w:r>
      <w:r w:rsidRPr="00EB7279">
        <w:rPr>
          <w:rFonts w:ascii="Arial Unicode MS" w:hAnsi="Arial Unicode MS" w:cs="Arial" w:hint="eastAsia"/>
          <w:szCs w:val="21"/>
        </w:rPr>
        <w:t>年政策性金融债指数证券投资基金、民生加银瑞鑫一年定期开放债券型发起式证券投资基金、鹏华锦润</w:t>
      </w:r>
      <w:r w:rsidRPr="00EB7279">
        <w:rPr>
          <w:rFonts w:ascii="Arial Unicode MS" w:hAnsi="Arial Unicode MS" w:cs="Arial" w:hint="eastAsia"/>
          <w:szCs w:val="21"/>
        </w:rPr>
        <w:t>86</w:t>
      </w:r>
      <w:r w:rsidRPr="00EB7279">
        <w:rPr>
          <w:rFonts w:ascii="Arial Unicode MS" w:hAnsi="Arial Unicode MS" w:cs="Arial" w:hint="eastAsia"/>
          <w:szCs w:val="21"/>
        </w:rPr>
        <w:t>个月定期开放债券型证券投资基金、鹏华创新未来</w:t>
      </w:r>
      <w:r w:rsidRPr="00EB7279">
        <w:rPr>
          <w:rFonts w:ascii="Arial Unicode MS" w:hAnsi="Arial Unicode MS" w:cs="Arial" w:hint="eastAsia"/>
          <w:szCs w:val="21"/>
        </w:rPr>
        <w:t>18</w:t>
      </w:r>
      <w:r w:rsidRPr="00EB7279">
        <w:rPr>
          <w:rFonts w:ascii="Arial Unicode MS" w:hAnsi="Arial Unicode MS" w:cs="Arial" w:hint="eastAsia"/>
          <w:szCs w:val="21"/>
        </w:rPr>
        <w:t>个月封闭运作混合型证券投资基金、鹏扬淳安</w:t>
      </w:r>
      <w:r w:rsidRPr="00EB7279">
        <w:rPr>
          <w:rFonts w:ascii="Arial Unicode MS" w:hAnsi="Arial Unicode MS" w:cs="Arial" w:hint="eastAsia"/>
          <w:szCs w:val="21"/>
        </w:rPr>
        <w:t>66</w:t>
      </w:r>
      <w:r w:rsidRPr="00EB7279">
        <w:rPr>
          <w:rFonts w:ascii="Arial Unicode MS" w:hAnsi="Arial Unicode MS" w:cs="Arial" w:hint="eastAsia"/>
          <w:szCs w:val="21"/>
        </w:rPr>
        <w:t>个月定期开放债券型证券投资基金、融通通恒</w:t>
      </w:r>
      <w:r w:rsidRPr="00EB7279">
        <w:rPr>
          <w:rFonts w:ascii="Arial Unicode MS" w:hAnsi="Arial Unicode MS" w:cs="Arial" w:hint="eastAsia"/>
          <w:szCs w:val="21"/>
        </w:rPr>
        <w:t>63</w:t>
      </w:r>
      <w:r w:rsidRPr="00EB7279">
        <w:rPr>
          <w:rFonts w:ascii="Arial Unicode MS" w:hAnsi="Arial Unicode MS" w:cs="Arial" w:hint="eastAsia"/>
          <w:szCs w:val="21"/>
        </w:rPr>
        <w:t>个月定期开放债券型证券投资基金、上银聚远盈</w:t>
      </w:r>
      <w:r w:rsidRPr="00EB7279">
        <w:rPr>
          <w:rFonts w:ascii="Arial Unicode MS" w:hAnsi="Arial Unicode MS" w:cs="Arial" w:hint="eastAsia"/>
          <w:szCs w:val="21"/>
        </w:rPr>
        <w:t>42</w:t>
      </w:r>
      <w:r w:rsidRPr="00EB7279">
        <w:rPr>
          <w:rFonts w:ascii="Arial Unicode MS" w:hAnsi="Arial Unicode MS" w:cs="Arial" w:hint="eastAsia"/>
          <w:szCs w:val="21"/>
        </w:rPr>
        <w:t>个月定期开放债券型证券投资基金、新疆前海联合淳丰纯债</w:t>
      </w:r>
      <w:r w:rsidRPr="00EB7279">
        <w:rPr>
          <w:rFonts w:ascii="Arial Unicode MS" w:hAnsi="Arial Unicode MS" w:cs="Arial" w:hint="eastAsia"/>
          <w:szCs w:val="21"/>
        </w:rPr>
        <w:t>87</w:t>
      </w:r>
      <w:r w:rsidRPr="00EB7279">
        <w:rPr>
          <w:rFonts w:ascii="Arial Unicode MS" w:hAnsi="Arial Unicode MS" w:cs="Arial" w:hint="eastAsia"/>
          <w:szCs w:val="21"/>
        </w:rPr>
        <w:t>个月定期开放债券型证券投资基金、兴业稳泰</w:t>
      </w:r>
      <w:r w:rsidRPr="00EB7279">
        <w:rPr>
          <w:rFonts w:ascii="Arial Unicode MS" w:hAnsi="Arial Unicode MS" w:cs="Arial" w:hint="eastAsia"/>
          <w:szCs w:val="21"/>
        </w:rPr>
        <w:t>66</w:t>
      </w:r>
      <w:r w:rsidRPr="00EB7279">
        <w:rPr>
          <w:rFonts w:ascii="Arial Unicode MS" w:hAnsi="Arial Unicode MS" w:cs="Arial" w:hint="eastAsia"/>
          <w:szCs w:val="21"/>
        </w:rPr>
        <w:t>个月定期开放债券型证券投资基金、兴业睿进混合型证券投资基金、易方达悦享一年持有期混合型基金、易方达创新未来</w:t>
      </w:r>
      <w:r w:rsidRPr="00EB7279">
        <w:rPr>
          <w:rFonts w:ascii="Arial Unicode MS" w:hAnsi="Arial Unicode MS" w:cs="Arial" w:hint="eastAsia"/>
          <w:szCs w:val="21"/>
        </w:rPr>
        <w:t>18</w:t>
      </w:r>
      <w:r w:rsidRPr="00EB7279">
        <w:rPr>
          <w:rFonts w:ascii="Arial Unicode MS" w:hAnsi="Arial Unicode MS" w:cs="Arial" w:hint="eastAsia"/>
          <w:szCs w:val="21"/>
        </w:rPr>
        <w:t>个月封闭运作混合型基金、银华汇益一年持有期混合型基金、永赢瑞宁</w:t>
      </w:r>
      <w:r w:rsidRPr="00EB7279">
        <w:rPr>
          <w:rFonts w:ascii="Arial Unicode MS" w:hAnsi="Arial Unicode MS" w:cs="Arial" w:hint="eastAsia"/>
          <w:szCs w:val="21"/>
        </w:rPr>
        <w:t>87</w:t>
      </w:r>
      <w:r w:rsidRPr="00EB7279">
        <w:rPr>
          <w:rFonts w:ascii="Arial Unicode MS" w:hAnsi="Arial Unicode MS" w:cs="Arial" w:hint="eastAsia"/>
          <w:szCs w:val="21"/>
        </w:rPr>
        <w:t>个月定期开放债券型证券投资基金、长信浦瑞</w:t>
      </w:r>
      <w:r w:rsidRPr="00EB7279">
        <w:rPr>
          <w:rFonts w:ascii="Arial Unicode MS" w:hAnsi="Arial Unicode MS" w:cs="Arial" w:hint="eastAsia"/>
          <w:szCs w:val="21"/>
        </w:rPr>
        <w:t>87</w:t>
      </w:r>
      <w:r w:rsidRPr="00EB7279">
        <w:rPr>
          <w:rFonts w:ascii="Arial Unicode MS" w:hAnsi="Arial Unicode MS" w:cs="Arial" w:hint="eastAsia"/>
          <w:szCs w:val="21"/>
        </w:rPr>
        <w:t>个月定期开放债券型证券投资基金、招商添盛</w:t>
      </w:r>
      <w:r w:rsidRPr="00EB7279">
        <w:rPr>
          <w:rFonts w:ascii="Arial Unicode MS" w:hAnsi="Arial Unicode MS" w:cs="Arial" w:hint="eastAsia"/>
          <w:szCs w:val="21"/>
        </w:rPr>
        <w:t>78</w:t>
      </w:r>
      <w:r w:rsidRPr="00EB7279">
        <w:rPr>
          <w:rFonts w:ascii="Arial Unicode MS" w:hAnsi="Arial Unicode MS" w:cs="Arial" w:hint="eastAsia"/>
          <w:szCs w:val="21"/>
        </w:rPr>
        <w:t>个月定期开放债券型证券投资基金、中信建投稳丰</w:t>
      </w:r>
      <w:r w:rsidRPr="00EB7279">
        <w:rPr>
          <w:rFonts w:ascii="Arial Unicode MS" w:hAnsi="Arial Unicode MS" w:cs="Arial" w:hint="eastAsia"/>
          <w:szCs w:val="21"/>
        </w:rPr>
        <w:t>63</w:t>
      </w:r>
      <w:r w:rsidRPr="00EB7279">
        <w:rPr>
          <w:rFonts w:ascii="Arial Unicode MS" w:hAnsi="Arial Unicode MS" w:cs="Arial" w:hint="eastAsia"/>
          <w:szCs w:val="21"/>
        </w:rPr>
        <w:t>个月定期开放债券型证券投资基金、中信保诚景裕中短债债券型证券投资基金、泰达宏利中证申万绩优策略指数增强型证券投资基金、泰达宏利乐盈</w:t>
      </w:r>
      <w:r w:rsidRPr="00EB7279">
        <w:rPr>
          <w:rFonts w:ascii="Arial Unicode MS" w:hAnsi="Arial Unicode MS" w:cs="Arial" w:hint="eastAsia"/>
          <w:szCs w:val="21"/>
        </w:rPr>
        <w:t>66</w:t>
      </w:r>
      <w:r w:rsidRPr="00EB7279">
        <w:rPr>
          <w:rFonts w:ascii="Arial Unicode MS" w:hAnsi="Arial Unicode MS" w:cs="Arial" w:hint="eastAsia"/>
          <w:szCs w:val="21"/>
        </w:rPr>
        <w:t>个月定期开放债券型证券投资基金、创金合信泰博</w:t>
      </w:r>
      <w:r w:rsidRPr="00EB7279">
        <w:rPr>
          <w:rFonts w:ascii="Arial Unicode MS" w:hAnsi="Arial Unicode MS" w:cs="Arial" w:hint="eastAsia"/>
          <w:szCs w:val="21"/>
        </w:rPr>
        <w:t>66</w:t>
      </w:r>
      <w:r w:rsidRPr="00EB7279">
        <w:rPr>
          <w:rFonts w:ascii="Arial Unicode MS" w:hAnsi="Arial Unicode MS" w:cs="Arial" w:hint="eastAsia"/>
          <w:szCs w:val="21"/>
        </w:rPr>
        <w:t>个月定期开放债券型证券投资基金、淳厚安裕</w:t>
      </w:r>
      <w:r w:rsidRPr="00EB7279">
        <w:rPr>
          <w:rFonts w:ascii="Arial Unicode MS" w:hAnsi="Arial Unicode MS" w:cs="Arial" w:hint="eastAsia"/>
          <w:szCs w:val="21"/>
        </w:rPr>
        <w:t>87</w:t>
      </w:r>
      <w:r w:rsidRPr="00EB7279">
        <w:rPr>
          <w:rFonts w:ascii="Arial Unicode MS" w:hAnsi="Arial Unicode MS" w:cs="Arial" w:hint="eastAsia"/>
          <w:szCs w:val="21"/>
        </w:rPr>
        <w:t>个月定期开放债券型证券投资基金、西部利得尊泰</w:t>
      </w:r>
      <w:r w:rsidRPr="00EB7279">
        <w:rPr>
          <w:rFonts w:ascii="Arial Unicode MS" w:hAnsi="Arial Unicode MS" w:cs="Arial" w:hint="eastAsia"/>
          <w:szCs w:val="21"/>
        </w:rPr>
        <w:t>86</w:t>
      </w:r>
      <w:r w:rsidRPr="00EB7279">
        <w:rPr>
          <w:rFonts w:ascii="Arial Unicode MS" w:hAnsi="Arial Unicode MS" w:cs="Arial" w:hint="eastAsia"/>
          <w:szCs w:val="21"/>
        </w:rPr>
        <w:t>个月定期开放债券型证券投资基金、西部利得聚禾灵活配置混合型基金、德邦锐泽</w:t>
      </w:r>
      <w:r w:rsidRPr="00EB7279">
        <w:rPr>
          <w:rFonts w:ascii="Arial Unicode MS" w:hAnsi="Arial Unicode MS" w:cs="Arial" w:hint="eastAsia"/>
          <w:szCs w:val="21"/>
        </w:rPr>
        <w:t>86</w:t>
      </w:r>
      <w:r w:rsidRPr="00EB7279">
        <w:rPr>
          <w:rFonts w:ascii="Arial Unicode MS" w:hAnsi="Arial Unicode MS" w:cs="Arial" w:hint="eastAsia"/>
          <w:szCs w:val="21"/>
        </w:rPr>
        <w:t>个月定期开放债券型证券投资基金、德邦惠利混合型证券投资基金、光大保德信尊合</w:t>
      </w:r>
      <w:r w:rsidRPr="00EB7279">
        <w:rPr>
          <w:rFonts w:ascii="Arial Unicode MS" w:hAnsi="Arial Unicode MS" w:cs="Arial" w:hint="eastAsia"/>
          <w:szCs w:val="21"/>
        </w:rPr>
        <w:t>87</w:t>
      </w:r>
      <w:r w:rsidRPr="00EB7279">
        <w:rPr>
          <w:rFonts w:ascii="Arial Unicode MS" w:hAnsi="Arial Unicode MS" w:cs="Arial" w:hint="eastAsia"/>
          <w:szCs w:val="21"/>
        </w:rPr>
        <w:t>个月定期开放债券型证券投资基金、蜂巢添禧</w:t>
      </w:r>
      <w:r w:rsidRPr="00EB7279">
        <w:rPr>
          <w:rFonts w:ascii="Arial Unicode MS" w:hAnsi="Arial Unicode MS" w:cs="Arial" w:hint="eastAsia"/>
          <w:szCs w:val="21"/>
        </w:rPr>
        <w:t>87</w:t>
      </w:r>
      <w:r w:rsidRPr="00EB7279">
        <w:rPr>
          <w:rFonts w:ascii="Arial Unicode MS" w:hAnsi="Arial Unicode MS" w:cs="Arial" w:hint="eastAsia"/>
          <w:szCs w:val="21"/>
        </w:rPr>
        <w:t>个月定期开放债券型证券投资基金、国金惠丰</w:t>
      </w:r>
      <w:r w:rsidRPr="00EB7279">
        <w:rPr>
          <w:rFonts w:ascii="Arial Unicode MS" w:hAnsi="Arial Unicode MS" w:cs="Arial" w:hint="eastAsia"/>
          <w:szCs w:val="21"/>
        </w:rPr>
        <w:t>39</w:t>
      </w:r>
      <w:r w:rsidRPr="00EB7279">
        <w:rPr>
          <w:rFonts w:ascii="Arial Unicode MS" w:hAnsi="Arial Unicode MS" w:cs="Arial" w:hint="eastAsia"/>
          <w:szCs w:val="21"/>
        </w:rPr>
        <w:t>个月定期开放债券型证券投资基金、九泰科新优享灵活配置混合型证券投资基金、华泰保兴久盈</w:t>
      </w:r>
      <w:r w:rsidRPr="00EB7279">
        <w:rPr>
          <w:rFonts w:ascii="Arial Unicode MS" w:hAnsi="Arial Unicode MS" w:cs="Arial" w:hint="eastAsia"/>
          <w:szCs w:val="21"/>
        </w:rPr>
        <w:t>63</w:t>
      </w:r>
      <w:r w:rsidRPr="00EB7279">
        <w:rPr>
          <w:rFonts w:ascii="Arial Unicode MS" w:hAnsi="Arial Unicode MS" w:cs="Arial" w:hint="eastAsia"/>
          <w:szCs w:val="21"/>
        </w:rPr>
        <w:t>个月定期开放债券型证券投资基金等。</w:t>
      </w:r>
    </w:p>
    <w:p w14:paraId="003DD4EE" w14:textId="77777777"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14:paraId="5F1E5B31" w14:textId="77777777" w:rsidR="004C06C5" w:rsidRDefault="00ED474B">
      <w:pPr>
        <w:snapToGrid w:val="0"/>
        <w:spacing w:line="360" w:lineRule="auto"/>
        <w:ind w:firstLineChars="200" w:firstLine="422"/>
        <w:rPr>
          <w:rFonts w:ascii="Arial Unicode MS" w:hAnsi="Arial Unicode MS" w:cs="Arial"/>
          <w:szCs w:val="21"/>
        </w:rPr>
      </w:pPr>
      <w:r>
        <w:rPr>
          <w:rFonts w:ascii="Arial Unicode MS" w:hAnsi="Arial Unicode MS" w:cs="Arial" w:hint="eastAsia"/>
          <w:b/>
          <w:szCs w:val="21"/>
        </w:rPr>
        <w:t>四、基金托管人的内部控制制度</w:t>
      </w:r>
    </w:p>
    <w:p w14:paraId="2A9D5180"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1</w:t>
      </w:r>
      <w:r w:rsidRPr="006962BE">
        <w:rPr>
          <w:rFonts w:ascii="Arial Unicode MS" w:hAnsi="Arial Unicode MS" w:cs="Arial" w:hint="eastAsia"/>
          <w:szCs w:val="21"/>
        </w:rPr>
        <w:t>、本行内部控制目标为：确保经营活动中严格遵守国家有关法律法规、监管部门监管规则和本行规章制度，形成守法经营、规范运作的经营思想。确保经营业务的稳健运行，保证基金资产的安全和完整，确保业务活动信息的真实、准确、完整，保护基金份额持有人的</w:t>
      </w:r>
      <w:r w:rsidRPr="006962BE">
        <w:rPr>
          <w:rFonts w:ascii="Arial Unicode MS" w:hAnsi="Arial Unicode MS" w:cs="Arial" w:hint="eastAsia"/>
          <w:szCs w:val="21"/>
        </w:rPr>
        <w:lastRenderedPageBreak/>
        <w:t>合法权益。</w:t>
      </w:r>
    </w:p>
    <w:p w14:paraId="704C7689"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2</w:t>
      </w:r>
      <w:r w:rsidRPr="006962BE">
        <w:rPr>
          <w:rFonts w:ascii="Arial Unicode MS" w:hAnsi="Arial Unicode MS" w:cs="Arial" w:hint="eastAsia"/>
          <w:szCs w:val="21"/>
        </w:rPr>
        <w:t>、本行内部控制组织架构为：总行法律合</w:t>
      </w:r>
      <w:proofErr w:type="gramStart"/>
      <w:r w:rsidRPr="006962BE">
        <w:rPr>
          <w:rFonts w:ascii="Arial Unicode MS" w:hAnsi="Arial Unicode MS" w:cs="Arial" w:hint="eastAsia"/>
          <w:szCs w:val="21"/>
        </w:rPr>
        <w:t>规</w:t>
      </w:r>
      <w:proofErr w:type="gramEnd"/>
      <w:r w:rsidRPr="006962BE">
        <w:rPr>
          <w:rFonts w:ascii="Arial Unicode MS" w:hAnsi="Arial Unicode MS" w:cs="Arial" w:hint="eastAsia"/>
          <w:szCs w:val="21"/>
        </w:rPr>
        <w:t>部是全行内部控制的牵头管理部门，指导业务部门建立并维护资产托管业务的内部控制体系。总行风险监控部是全行操作风险的牵头管理部门。指导业务部门开展资产托管业务的操作风险管控工作。总行资产托管部下设内控管理处。内控管理处是全行托管业务条线的内部控制具体管理实施机构，并配备专职内控监督人员负责托管业务的内控监督工作，独立行使监督稽核职责。</w:t>
      </w:r>
    </w:p>
    <w:p w14:paraId="406C5A35"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3</w:t>
      </w:r>
      <w:r w:rsidRPr="006962BE">
        <w:rPr>
          <w:rFonts w:ascii="Arial Unicode MS" w:hAnsi="Arial Unicode MS" w:cs="Arial" w:hint="eastAsia"/>
          <w:szCs w:val="21"/>
        </w:rPr>
        <w:t>、内部控制制度及措施</w:t>
      </w:r>
      <w:r w:rsidRPr="006962BE">
        <w:rPr>
          <w:rFonts w:ascii="Arial Unicode MS" w:hAnsi="Arial Unicode MS" w:cs="Arial" w:hint="eastAsia"/>
          <w:szCs w:val="21"/>
        </w:rPr>
        <w:t xml:space="preserve">: </w:t>
      </w:r>
      <w:r w:rsidRPr="006962BE">
        <w:rPr>
          <w:rFonts w:ascii="Arial Unicode MS" w:hAnsi="Arial Unicode MS" w:cs="Arial" w:hint="eastAsia"/>
          <w:szCs w:val="21"/>
        </w:rPr>
        <w:t>本行已建立完善的内部控制制度。内控制度贯穿资产托管业务的决策、执行、监督全过程，渗透到各业务流程和各操作环节，覆盖</w:t>
      </w:r>
      <w:proofErr w:type="gramStart"/>
      <w:r w:rsidRPr="006962BE">
        <w:rPr>
          <w:rFonts w:ascii="Arial Unicode MS" w:hAnsi="Arial Unicode MS" w:cs="Arial" w:hint="eastAsia"/>
          <w:szCs w:val="21"/>
        </w:rPr>
        <w:t>到从事</w:t>
      </w:r>
      <w:proofErr w:type="gramEnd"/>
      <w:r w:rsidRPr="006962BE">
        <w:rPr>
          <w:rFonts w:ascii="Arial Unicode MS" w:hAnsi="Arial Unicode MS" w:cs="Arial" w:hint="eastAsia"/>
          <w:szCs w:val="21"/>
        </w:rPr>
        <w:t>资产托管各级组织结构、岗位及人员。内部控制以防范风险、合</w:t>
      </w:r>
      <w:proofErr w:type="gramStart"/>
      <w:r w:rsidRPr="006962BE">
        <w:rPr>
          <w:rFonts w:ascii="Arial Unicode MS" w:hAnsi="Arial Unicode MS" w:cs="Arial" w:hint="eastAsia"/>
          <w:szCs w:val="21"/>
        </w:rPr>
        <w:t>规</w:t>
      </w:r>
      <w:proofErr w:type="gramEnd"/>
      <w:r w:rsidRPr="006962BE">
        <w:rPr>
          <w:rFonts w:ascii="Arial Unicode MS" w:hAnsi="Arial Unicode MS" w:cs="Arial" w:hint="eastAsia"/>
          <w:szCs w:val="21"/>
        </w:rPr>
        <w:t>经营为出发点，各项业务流程体现“内控优先”要求。</w:t>
      </w:r>
    </w:p>
    <w:p w14:paraId="17CD8796" w14:textId="77777777" w:rsidR="004C06C5" w:rsidRDefault="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具体内控措施包括：培育员工树立内控优先、制度先行、全员化风险控制的风险管理理念，营造浓厚的内控文化氛围，使风险意识贯穿到组织架构、业务岗位、人员的各个环节。制定权责清晰的业务授权管理制度、明确岗位职责和各项操作规程、员工职业道德规范、业务数据备份和保密等在内的各项业务管理制度；建立严格完善的资产隔离和资产保管制度，托管资产与托管人资产及不同托管资产之间实行独立运作、分别核算；对各类突发事件或故障，建立完备有效的应急方案，定期</w:t>
      </w:r>
      <w:proofErr w:type="gramStart"/>
      <w:r w:rsidRPr="006962BE">
        <w:rPr>
          <w:rFonts w:ascii="Arial Unicode MS" w:hAnsi="Arial Unicode MS" w:cs="Arial" w:hint="eastAsia"/>
          <w:szCs w:val="21"/>
        </w:rPr>
        <w:t>组织灾备演练</w:t>
      </w:r>
      <w:proofErr w:type="gramEnd"/>
      <w:r w:rsidRPr="006962BE">
        <w:rPr>
          <w:rFonts w:ascii="Arial Unicode MS" w:hAnsi="Arial Unicode MS" w:cs="Arial" w:hint="eastAsia"/>
          <w:szCs w:val="21"/>
        </w:rPr>
        <w:t>，建立重大事项报告制度；在基金运作办公区域建立健全安全监控系统，利用录音、录像等技术手段实现风险控制；定期对业务情况进行自查、内部稽核等措施进行监控，通过专项</w:t>
      </w:r>
      <w:r w:rsidRPr="006962BE">
        <w:rPr>
          <w:rFonts w:ascii="Arial Unicode MS" w:hAnsi="Arial Unicode MS" w:cs="Arial" w:hint="eastAsia"/>
          <w:szCs w:val="21"/>
        </w:rPr>
        <w:t>/</w:t>
      </w:r>
      <w:r w:rsidRPr="006962BE">
        <w:rPr>
          <w:rFonts w:ascii="Arial Unicode MS" w:hAnsi="Arial Unicode MS" w:cs="Arial" w:hint="eastAsia"/>
          <w:szCs w:val="21"/>
        </w:rPr>
        <w:t>全面审计等措施实施业务监控，排查风险隐患。</w:t>
      </w:r>
    </w:p>
    <w:p w14:paraId="42D74149" w14:textId="77777777"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14:paraId="56F06569" w14:textId="77777777" w:rsidR="004C06C5" w:rsidRDefault="00ED474B">
      <w:pPr>
        <w:snapToGrid w:val="0"/>
        <w:spacing w:line="360" w:lineRule="auto"/>
        <w:ind w:firstLineChars="200" w:firstLine="422"/>
        <w:rPr>
          <w:rFonts w:ascii="Arial Unicode MS" w:hAnsi="Arial Unicode MS" w:cs="Arial"/>
          <w:szCs w:val="21"/>
        </w:rPr>
      </w:pPr>
      <w:r>
        <w:rPr>
          <w:rFonts w:ascii="Arial Unicode MS" w:hAnsi="Arial Unicode MS" w:cs="Arial" w:hint="eastAsia"/>
          <w:b/>
          <w:szCs w:val="21"/>
        </w:rPr>
        <w:t>五、托管人对管理人运作基金进行监督的方法和程序</w:t>
      </w:r>
    </w:p>
    <w:p w14:paraId="5F6F4974"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1</w:t>
      </w:r>
      <w:r w:rsidRPr="006962BE">
        <w:rPr>
          <w:rFonts w:ascii="Arial Unicode MS" w:hAnsi="Arial Unicode MS" w:cs="Arial" w:hint="eastAsia"/>
          <w:szCs w:val="21"/>
        </w:rPr>
        <w:t>、监督依据</w:t>
      </w:r>
    </w:p>
    <w:p w14:paraId="4B61DEF3"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托管人严格按照有关政策法规、以及基金合同、托管协议等进行监督。监督依据具体包括：</w:t>
      </w:r>
    </w:p>
    <w:p w14:paraId="04B2FB21"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1</w:t>
      </w:r>
      <w:r w:rsidRPr="006962BE">
        <w:rPr>
          <w:rFonts w:ascii="Arial Unicode MS" w:hAnsi="Arial Unicode MS" w:cs="Arial" w:hint="eastAsia"/>
          <w:szCs w:val="21"/>
        </w:rPr>
        <w:t>）《中华人民共和国证券法》；</w:t>
      </w:r>
    </w:p>
    <w:p w14:paraId="6158D536"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2</w:t>
      </w:r>
      <w:r w:rsidRPr="006962BE">
        <w:rPr>
          <w:rFonts w:ascii="Arial Unicode MS" w:hAnsi="Arial Unicode MS" w:cs="Arial" w:hint="eastAsia"/>
          <w:szCs w:val="21"/>
        </w:rPr>
        <w:t>）《中华人民共和国证券投资基金法》；</w:t>
      </w:r>
    </w:p>
    <w:p w14:paraId="27F8699C"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3</w:t>
      </w:r>
      <w:r w:rsidRPr="006962BE">
        <w:rPr>
          <w:rFonts w:ascii="Arial Unicode MS" w:hAnsi="Arial Unicode MS" w:cs="Arial" w:hint="eastAsia"/>
          <w:szCs w:val="21"/>
        </w:rPr>
        <w:t>）《公开募集证券投资基金运作管理办法》；</w:t>
      </w:r>
      <w:r w:rsidR="00397972" w:rsidRPr="006962BE" w:rsidDel="00397972">
        <w:rPr>
          <w:rFonts w:ascii="Arial Unicode MS" w:hAnsi="Arial Unicode MS" w:cs="Arial" w:hint="eastAsia"/>
          <w:szCs w:val="21"/>
        </w:rPr>
        <w:t xml:space="preserve"> </w:t>
      </w:r>
    </w:p>
    <w:p w14:paraId="7FF85C36"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4</w:t>
      </w:r>
      <w:r w:rsidRPr="006962BE">
        <w:rPr>
          <w:rFonts w:ascii="Arial Unicode MS" w:hAnsi="Arial Unicode MS" w:cs="Arial" w:hint="eastAsia"/>
          <w:szCs w:val="21"/>
        </w:rPr>
        <w:t>）《证券投资基金销售管理办法》</w:t>
      </w:r>
      <w:r w:rsidR="00397972">
        <w:rPr>
          <w:rFonts w:ascii="Arial Unicode MS" w:hAnsi="Arial Unicode MS" w:cs="Arial" w:hint="eastAsia"/>
          <w:szCs w:val="21"/>
        </w:rPr>
        <w:t>；</w:t>
      </w:r>
    </w:p>
    <w:p w14:paraId="75F67BF3"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5</w:t>
      </w:r>
      <w:r w:rsidRPr="006962BE">
        <w:rPr>
          <w:rFonts w:ascii="Arial Unicode MS" w:hAnsi="Arial Unicode MS" w:cs="Arial" w:hint="eastAsia"/>
          <w:szCs w:val="21"/>
        </w:rPr>
        <w:t>）《基金合同》、《基金托管协议》；</w:t>
      </w:r>
    </w:p>
    <w:p w14:paraId="0BFE0EB2"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6</w:t>
      </w:r>
      <w:r w:rsidRPr="006962BE">
        <w:rPr>
          <w:rFonts w:ascii="Arial Unicode MS" w:hAnsi="Arial Unicode MS" w:cs="Arial" w:hint="eastAsia"/>
          <w:szCs w:val="21"/>
        </w:rPr>
        <w:t>）法律、法规、政策的其他规定。</w:t>
      </w:r>
    </w:p>
    <w:p w14:paraId="2C86680E"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lastRenderedPageBreak/>
        <w:t>2</w:t>
      </w:r>
      <w:r w:rsidRPr="006962BE">
        <w:rPr>
          <w:rFonts w:ascii="Arial Unicode MS" w:hAnsi="Arial Unicode MS" w:cs="Arial" w:hint="eastAsia"/>
          <w:szCs w:val="21"/>
        </w:rPr>
        <w:t>、监督内容</w:t>
      </w:r>
    </w:p>
    <w:p w14:paraId="3B52AD10"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 xml:space="preserve">    </w:t>
      </w:r>
      <w:r w:rsidRPr="006962BE">
        <w:rPr>
          <w:rFonts w:ascii="Arial Unicode MS" w:hAnsi="Arial Unicode MS" w:cs="Arial" w:hint="eastAsia"/>
          <w:szCs w:val="21"/>
        </w:rPr>
        <w:t>我行根据基金合同及托管协议约定，对基金合同生效之后所托管基金的投资范围、投资比例、投资限制等进行严格监督，及时提示基金管理人违规风险。</w:t>
      </w:r>
    </w:p>
    <w:p w14:paraId="6DC61FB1"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3</w:t>
      </w:r>
      <w:r w:rsidRPr="006962BE">
        <w:rPr>
          <w:rFonts w:ascii="Arial Unicode MS" w:hAnsi="Arial Unicode MS" w:cs="Arial" w:hint="eastAsia"/>
          <w:szCs w:val="21"/>
        </w:rPr>
        <w:t>、监督方法</w:t>
      </w:r>
    </w:p>
    <w:p w14:paraId="64BAC42E"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1</w:t>
      </w:r>
      <w:r w:rsidRPr="006962BE">
        <w:rPr>
          <w:rFonts w:ascii="Arial Unicode MS" w:hAnsi="Arial Unicode MS" w:cs="Arial" w:hint="eastAsia"/>
          <w:szCs w:val="21"/>
        </w:rPr>
        <w:t>）资产托管部设置核算监督岗位，配备相应的业务人员，在授权范围内独立行使对基金管理人投资交易行为的监督职责，规范基金运作，维护基金投资人的合法权益，不受任何外界力量的干预；</w:t>
      </w:r>
    </w:p>
    <w:p w14:paraId="6C0514B7"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2</w:t>
      </w:r>
      <w:r w:rsidRPr="006962BE">
        <w:rPr>
          <w:rFonts w:ascii="Arial Unicode MS" w:hAnsi="Arial Unicode MS" w:cs="Arial" w:hint="eastAsia"/>
          <w:szCs w:val="21"/>
        </w:rPr>
        <w:t>）在日常运作中，凡可量化的监督指标，由核算监督岗通过托管业务的自动处理程序进行监督，实现系统的自动跟踪和预警；</w:t>
      </w:r>
    </w:p>
    <w:p w14:paraId="19F8A1ED"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3</w:t>
      </w:r>
      <w:r w:rsidRPr="006962BE">
        <w:rPr>
          <w:rFonts w:ascii="Arial Unicode MS" w:hAnsi="Arial Unicode MS" w:cs="Arial" w:hint="eastAsia"/>
          <w:szCs w:val="21"/>
        </w:rPr>
        <w:t>）对非量化指标、投资指令、管理人提供的各种报表和报告等，采取人工监督的方法。</w:t>
      </w:r>
    </w:p>
    <w:p w14:paraId="7268B4DF"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4</w:t>
      </w:r>
      <w:r w:rsidRPr="006962BE">
        <w:rPr>
          <w:rFonts w:ascii="Arial Unicode MS" w:hAnsi="Arial Unicode MS" w:cs="Arial" w:hint="eastAsia"/>
          <w:szCs w:val="21"/>
        </w:rPr>
        <w:t>、监督结果的处理方式</w:t>
      </w:r>
    </w:p>
    <w:p w14:paraId="35EFBC8F"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1</w:t>
      </w:r>
      <w:r w:rsidRPr="006962BE">
        <w:rPr>
          <w:rFonts w:ascii="Arial Unicode MS" w:hAnsi="Arial Unicode MS" w:cs="Arial" w:hint="eastAsia"/>
          <w:szCs w:val="21"/>
        </w:rPr>
        <w:t>）基金托管人对基金管理人的投资运作监督结果，采取定期和不定期报告形式向基金管理人和中国证监会报告。定期报告包括基金监控周报等。不定期报告包括提示函、临时日报、其他临时报告等；</w:t>
      </w:r>
    </w:p>
    <w:p w14:paraId="49218301" w14:textId="77777777"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2</w:t>
      </w:r>
      <w:r w:rsidRPr="006962BE">
        <w:rPr>
          <w:rFonts w:ascii="Arial Unicode MS" w:hAnsi="Arial Unicode MS" w:cs="Arial" w:hint="eastAsia"/>
          <w:szCs w:val="21"/>
        </w:rPr>
        <w:t>）</w:t>
      </w:r>
      <w:proofErr w:type="gramStart"/>
      <w:r w:rsidRPr="006962BE">
        <w:rPr>
          <w:rFonts w:ascii="Arial Unicode MS" w:hAnsi="Arial Unicode MS" w:cs="Arial" w:hint="eastAsia"/>
          <w:szCs w:val="21"/>
        </w:rPr>
        <w:t>若基金</w:t>
      </w:r>
      <w:proofErr w:type="gramEnd"/>
      <w:r w:rsidRPr="006962BE">
        <w:rPr>
          <w:rFonts w:ascii="Arial Unicode MS" w:hAnsi="Arial Unicode MS" w:cs="Arial" w:hint="eastAsia"/>
          <w:szCs w:val="21"/>
        </w:rPr>
        <w:t>托管人发现基金管理人违规违法操作，以电话、邮件、书面提示函的方式通知基金管理人，指明违规事项，明确纠正期限。在规定期限内基金托管人再对基金管理人违规事项进行复查，如果基金管理人对违规事项未予纠正，基金托管人将报告中国证监会。如果发现基金管理人投资运作有重大违规行为时，基金托管人应立即报告中国证监会，同时通知基金管理人限期纠正；</w:t>
      </w:r>
    </w:p>
    <w:p w14:paraId="25AB9B07" w14:textId="77777777" w:rsidR="004C06C5" w:rsidRDefault="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3</w:t>
      </w:r>
      <w:r w:rsidRPr="006962BE">
        <w:rPr>
          <w:rFonts w:ascii="Arial Unicode MS" w:hAnsi="Arial Unicode MS" w:cs="Arial" w:hint="eastAsia"/>
          <w:szCs w:val="21"/>
        </w:rPr>
        <w:t>）针对中国证监会、中国人民银行对基金投资运作监督情况的检查，应及时提供有关情况和资料。</w:t>
      </w:r>
    </w:p>
    <w:p w14:paraId="436710F8" w14:textId="77777777" w:rsidR="004C06C5" w:rsidRDefault="004C06C5">
      <w:pPr>
        <w:spacing w:line="360" w:lineRule="auto"/>
        <w:ind w:firstLineChars="200" w:firstLine="420"/>
        <w:rPr>
          <w:rFonts w:ascii="宋体" w:hAnsi="宋体" w:cs="Arial"/>
          <w:szCs w:val="21"/>
        </w:rPr>
      </w:pPr>
    </w:p>
    <w:p w14:paraId="6402C120" w14:textId="77777777" w:rsidR="004C06C5" w:rsidRDefault="004C06C5">
      <w:pPr>
        <w:spacing w:line="360" w:lineRule="auto"/>
        <w:ind w:firstLineChars="200" w:firstLine="420"/>
        <w:rPr>
          <w:rFonts w:ascii="宋体" w:hAnsi="宋体" w:cs="Arial"/>
          <w:szCs w:val="21"/>
        </w:rPr>
      </w:pPr>
    </w:p>
    <w:p w14:paraId="58B7C9F5" w14:textId="77777777" w:rsidR="004C06C5" w:rsidRDefault="004C06C5">
      <w:pPr>
        <w:spacing w:line="360" w:lineRule="auto"/>
        <w:ind w:firstLineChars="200" w:firstLine="420"/>
        <w:rPr>
          <w:rFonts w:ascii="宋体" w:hAnsi="宋体" w:cs="Arial"/>
          <w:szCs w:val="21"/>
        </w:rPr>
      </w:pPr>
    </w:p>
    <w:p w14:paraId="1DCB93F9" w14:textId="77777777" w:rsidR="004C06C5" w:rsidRDefault="00ED474B">
      <w:pPr>
        <w:widowControl/>
        <w:jc w:val="left"/>
        <w:rPr>
          <w:rFonts w:ascii="宋体" w:hAnsi="宋体" w:cs="Arial"/>
          <w:szCs w:val="21"/>
        </w:rPr>
      </w:pPr>
      <w:r>
        <w:rPr>
          <w:rFonts w:ascii="宋体" w:hAnsi="宋体" w:cs="Arial"/>
          <w:szCs w:val="21"/>
        </w:rPr>
        <w:br w:type="page"/>
      </w:r>
    </w:p>
    <w:p w14:paraId="25F87460" w14:textId="77777777"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21" w:name="_Toc214873594"/>
      <w:bookmarkStart w:id="22" w:name="_Toc317088142"/>
      <w:bookmarkStart w:id="23" w:name="_Toc317088539"/>
      <w:bookmarkStart w:id="24" w:name="_Toc320887644"/>
      <w:bookmarkStart w:id="25" w:name="_Toc335232693"/>
      <w:bookmarkStart w:id="26" w:name="_Toc1464060"/>
      <w:r>
        <w:rPr>
          <w:rFonts w:ascii="Arial Unicode MS" w:eastAsia="宋体" w:hAnsi="Arial Unicode MS" w:cs="Arial"/>
          <w:b/>
          <w:bCs/>
          <w:sz w:val="28"/>
          <w:szCs w:val="28"/>
        </w:rPr>
        <w:lastRenderedPageBreak/>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21"/>
      <w:bookmarkEnd w:id="22"/>
      <w:bookmarkEnd w:id="23"/>
      <w:bookmarkEnd w:id="24"/>
      <w:bookmarkEnd w:id="25"/>
      <w:bookmarkEnd w:id="26"/>
    </w:p>
    <w:p w14:paraId="47955433" w14:textId="77777777" w:rsidR="004C06C5" w:rsidRDefault="004C06C5">
      <w:pPr>
        <w:rPr>
          <w:rFonts w:ascii="Arial Unicode MS" w:hAnsi="Arial Unicode MS"/>
          <w:lang w:val="zh-CN"/>
        </w:rPr>
      </w:pPr>
    </w:p>
    <w:p w14:paraId="46CC13C0" w14:textId="77777777"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1E1E83D2" w14:textId="77777777" w:rsidR="004C06C5" w:rsidRDefault="00ED474B">
      <w:pPr>
        <w:spacing w:line="360" w:lineRule="auto"/>
        <w:ind w:firstLineChars="200" w:firstLine="420"/>
        <w:rPr>
          <w:rFonts w:ascii="宋体" w:hAnsi="宋体"/>
          <w:color w:val="000000"/>
          <w:kern w:val="0"/>
          <w:szCs w:val="21"/>
        </w:rPr>
      </w:pPr>
      <w:r>
        <w:rPr>
          <w:rFonts w:ascii="宋体" w:hAnsi="宋体"/>
          <w:color w:val="000000"/>
          <w:kern w:val="0"/>
          <w:szCs w:val="21"/>
        </w:rPr>
        <w:t>1、直销机构：富荣基金管理有限公司直销中心</w:t>
      </w:r>
    </w:p>
    <w:p w14:paraId="13B3C551" w14:textId="77777777" w:rsidR="004C06C5" w:rsidRDefault="00ED474B">
      <w:pPr>
        <w:spacing w:line="360" w:lineRule="auto"/>
        <w:ind w:firstLineChars="200" w:firstLine="420"/>
        <w:rPr>
          <w:rFonts w:ascii="宋体" w:hAnsi="宋体"/>
          <w:color w:val="000000"/>
          <w:kern w:val="0"/>
          <w:szCs w:val="21"/>
        </w:rPr>
      </w:pPr>
      <w:r>
        <w:rPr>
          <w:rFonts w:ascii="宋体" w:hAnsi="宋体" w:hint="eastAsia"/>
          <w:szCs w:val="21"/>
        </w:rPr>
        <w:t>注册地址</w:t>
      </w:r>
      <w:r>
        <w:rPr>
          <w:rFonts w:ascii="宋体" w:hAnsi="宋体" w:hint="eastAsia"/>
          <w:color w:val="000000"/>
          <w:kern w:val="0"/>
          <w:szCs w:val="21"/>
        </w:rPr>
        <w:t>：广州市南沙区海滨路</w:t>
      </w:r>
      <w:r>
        <w:rPr>
          <w:rFonts w:ascii="宋体" w:hAnsi="宋体"/>
          <w:color w:val="000000"/>
          <w:kern w:val="0"/>
          <w:szCs w:val="21"/>
        </w:rPr>
        <w:t xml:space="preserve">171号南沙金融大厦11楼1101之一J20室 </w:t>
      </w:r>
    </w:p>
    <w:p w14:paraId="72A5667A" w14:textId="77777777"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4E593D0C" w14:textId="77777777"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法定代表人：</w:t>
      </w:r>
      <w:r>
        <w:rPr>
          <w:rFonts w:ascii="宋体" w:hAnsi="宋体"/>
          <w:color w:val="000000"/>
          <w:kern w:val="0"/>
          <w:szCs w:val="21"/>
        </w:rPr>
        <w:t xml:space="preserve"> </w:t>
      </w:r>
      <w:r>
        <w:rPr>
          <w:rFonts w:ascii="宋体" w:hAnsi="宋体" w:hint="eastAsia"/>
          <w:color w:val="000000"/>
          <w:kern w:val="0"/>
          <w:szCs w:val="21"/>
        </w:rPr>
        <w:t>杨小舟</w:t>
      </w:r>
    </w:p>
    <w:p w14:paraId="5087D066" w14:textId="77777777"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电话：</w:t>
      </w:r>
      <w:r>
        <w:rPr>
          <w:rFonts w:ascii="宋体" w:hAnsi="宋体" w:cs="Arial"/>
          <w:color w:val="000000"/>
        </w:rPr>
        <w:t>0755-84356629</w:t>
      </w:r>
    </w:p>
    <w:p w14:paraId="0552A722" w14:textId="77777777"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传真：</w:t>
      </w:r>
      <w:r>
        <w:rPr>
          <w:rFonts w:ascii="宋体" w:hAnsi="宋体" w:cs="Arial"/>
          <w:color w:val="000000"/>
        </w:rPr>
        <w:t>0755-83230902</w:t>
      </w:r>
    </w:p>
    <w:p w14:paraId="4EE2812B" w14:textId="77777777"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客服电话：</w:t>
      </w:r>
      <w:r>
        <w:rPr>
          <w:rFonts w:ascii="宋体" w:hAnsi="宋体"/>
          <w:color w:val="000000"/>
          <w:kern w:val="0"/>
          <w:szCs w:val="21"/>
        </w:rPr>
        <w:t>4006855600</w:t>
      </w:r>
    </w:p>
    <w:p w14:paraId="628222D7" w14:textId="77777777"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网址：</w:t>
      </w:r>
      <w:r>
        <w:rPr>
          <w:rFonts w:ascii="宋体" w:hAnsi="宋体"/>
          <w:color w:val="000000"/>
          <w:kern w:val="0"/>
          <w:szCs w:val="21"/>
        </w:rPr>
        <w:t>www.furamc.com.cn</w:t>
      </w:r>
    </w:p>
    <w:p w14:paraId="357F723D" w14:textId="77777777"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p>
    <w:tbl>
      <w:tblPr>
        <w:tblStyle w:val="affc"/>
        <w:tblW w:w="8522" w:type="dxa"/>
        <w:tblLayout w:type="fixed"/>
        <w:tblLook w:val="04A0" w:firstRow="1" w:lastRow="0" w:firstColumn="1" w:lastColumn="0" w:noHBand="0" w:noVBand="1"/>
      </w:tblPr>
      <w:tblGrid>
        <w:gridCol w:w="817"/>
        <w:gridCol w:w="2977"/>
        <w:gridCol w:w="4728"/>
      </w:tblGrid>
      <w:tr w:rsidR="004C06C5" w14:paraId="65D35822" w14:textId="77777777">
        <w:tc>
          <w:tcPr>
            <w:tcW w:w="817" w:type="dxa"/>
            <w:vAlign w:val="center"/>
          </w:tcPr>
          <w:p w14:paraId="754E69B8" w14:textId="77777777" w:rsidR="004C06C5" w:rsidRDefault="00ED474B">
            <w:pPr>
              <w:snapToGrid w:val="0"/>
              <w:spacing w:line="360" w:lineRule="auto"/>
              <w:rPr>
                <w:rFonts w:ascii="宋体" w:hAnsi="宋体" w:cs="Arial"/>
                <w:b/>
                <w:color w:val="000000"/>
                <w:kern w:val="0"/>
                <w:szCs w:val="21"/>
              </w:rPr>
            </w:pPr>
            <w:r>
              <w:rPr>
                <w:rFonts w:ascii="宋体" w:hAnsi="宋体" w:cs="Calibri" w:hint="eastAsia"/>
                <w:b/>
                <w:color w:val="000000"/>
                <w:szCs w:val="21"/>
              </w:rPr>
              <w:t>序号</w:t>
            </w:r>
          </w:p>
        </w:tc>
        <w:tc>
          <w:tcPr>
            <w:tcW w:w="2977" w:type="dxa"/>
            <w:vAlign w:val="center"/>
          </w:tcPr>
          <w:p w14:paraId="5C3AB6B2" w14:textId="77777777" w:rsidR="004C06C5" w:rsidRDefault="00ED474B">
            <w:pPr>
              <w:snapToGrid w:val="0"/>
              <w:spacing w:line="360" w:lineRule="auto"/>
              <w:rPr>
                <w:rFonts w:ascii="宋体" w:hAnsi="宋体" w:cs="Arial"/>
                <w:b/>
                <w:color w:val="000000" w:themeColor="text1"/>
                <w:kern w:val="0"/>
                <w:szCs w:val="21"/>
              </w:rPr>
            </w:pPr>
            <w:r>
              <w:rPr>
                <w:rFonts w:ascii="宋体" w:hAnsi="宋体" w:cs="Calibri" w:hint="eastAsia"/>
                <w:b/>
                <w:color w:val="000000"/>
                <w:szCs w:val="21"/>
              </w:rPr>
              <w:t>代销机构名称</w:t>
            </w:r>
          </w:p>
        </w:tc>
        <w:tc>
          <w:tcPr>
            <w:tcW w:w="4728" w:type="dxa"/>
          </w:tcPr>
          <w:p w14:paraId="537FB86F" w14:textId="77777777" w:rsidR="004C06C5" w:rsidRDefault="00ED474B">
            <w:pPr>
              <w:snapToGrid w:val="0"/>
              <w:spacing w:line="360" w:lineRule="auto"/>
              <w:rPr>
                <w:rFonts w:ascii="宋体" w:hAnsi="宋体" w:cs="Arial"/>
                <w:b/>
                <w:color w:val="000000"/>
                <w:kern w:val="0"/>
                <w:szCs w:val="21"/>
              </w:rPr>
            </w:pPr>
            <w:r>
              <w:rPr>
                <w:rFonts w:ascii="宋体" w:hAnsi="宋体" w:cs="Calibri" w:hint="eastAsia"/>
                <w:b/>
                <w:color w:val="000000"/>
                <w:szCs w:val="21"/>
              </w:rPr>
              <w:t>代销机构信息</w:t>
            </w:r>
          </w:p>
        </w:tc>
      </w:tr>
      <w:tr w:rsidR="004C06C5" w14:paraId="059488AF" w14:textId="77777777">
        <w:trPr>
          <w:trHeight w:val="510"/>
        </w:trPr>
        <w:tc>
          <w:tcPr>
            <w:tcW w:w="817" w:type="dxa"/>
          </w:tcPr>
          <w:p w14:paraId="77E8FA13"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p>
        </w:tc>
        <w:tc>
          <w:tcPr>
            <w:tcW w:w="2977" w:type="dxa"/>
          </w:tcPr>
          <w:p w14:paraId="3FCE900E"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包商银行股份有限公司</w:t>
            </w:r>
          </w:p>
        </w:tc>
        <w:tc>
          <w:tcPr>
            <w:tcW w:w="4728" w:type="dxa"/>
          </w:tcPr>
          <w:p w14:paraId="72794B50"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注册（办公）地址：内蒙古包头市钢铁大街</w:t>
            </w:r>
            <w:r>
              <w:rPr>
                <w:rFonts w:ascii="宋体" w:hAnsi="宋体" w:cs="Calibri"/>
                <w:color w:val="000000"/>
                <w:szCs w:val="21"/>
              </w:rPr>
              <w:t>6</w:t>
            </w:r>
            <w:r>
              <w:rPr>
                <w:rFonts w:ascii="宋体" w:hAnsi="宋体" w:cs="Calibri" w:hint="eastAsia"/>
                <w:color w:val="000000"/>
                <w:szCs w:val="21"/>
              </w:rPr>
              <w:t>号</w:t>
            </w:r>
          </w:p>
          <w:p w14:paraId="324B414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 xml:space="preserve"> 95352</w:t>
            </w:r>
          </w:p>
          <w:p w14:paraId="0C1465DD" w14:textId="77777777" w:rsidR="004C06C5" w:rsidRDefault="00ED474B">
            <w:pPr>
              <w:spacing w:line="360" w:lineRule="auto"/>
              <w:rPr>
                <w:rFonts w:asciiTheme="minorEastAsia" w:eastAsiaTheme="minorEastAsia" w:hAnsiTheme="minorEastAsia"/>
                <w:color w:val="000000"/>
                <w:kern w:val="0"/>
                <w:sz w:val="24"/>
              </w:rPr>
            </w:pPr>
            <w:r>
              <w:rPr>
                <w:rFonts w:ascii="宋体" w:hAnsi="宋体" w:cs="Calibri" w:hint="eastAsia"/>
                <w:color w:val="000000"/>
                <w:szCs w:val="21"/>
              </w:rPr>
              <w:t>网站：</w:t>
            </w:r>
            <w:r w:rsidR="00FA67CC">
              <w:fldChar w:fldCharType="begin"/>
            </w:r>
            <w:r w:rsidR="00FA67CC">
              <w:instrText xml:space="preserve"> HYPERLINK "http://www.bsb.com.cn" </w:instrText>
            </w:r>
            <w:r w:rsidR="00FA67CC">
              <w:fldChar w:fldCharType="separate"/>
            </w:r>
            <w:r>
              <w:rPr>
                <w:rFonts w:ascii="宋体" w:hAnsi="宋体" w:cs="Calibri"/>
                <w:color w:val="000000"/>
                <w:szCs w:val="21"/>
              </w:rPr>
              <w:t>www.bsb.com.cn</w:t>
            </w:r>
            <w:r w:rsidR="00FA67CC">
              <w:rPr>
                <w:rFonts w:ascii="宋体" w:hAnsi="宋体" w:cs="Calibri"/>
                <w:color w:val="000000"/>
                <w:szCs w:val="21"/>
              </w:rPr>
              <w:fldChar w:fldCharType="end"/>
            </w:r>
          </w:p>
        </w:tc>
      </w:tr>
      <w:tr w:rsidR="004C06C5" w14:paraId="30488991" w14:textId="77777777">
        <w:trPr>
          <w:trHeight w:val="510"/>
        </w:trPr>
        <w:tc>
          <w:tcPr>
            <w:tcW w:w="817" w:type="dxa"/>
          </w:tcPr>
          <w:p w14:paraId="2E4C5A4C"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p>
        </w:tc>
        <w:tc>
          <w:tcPr>
            <w:tcW w:w="2977" w:type="dxa"/>
          </w:tcPr>
          <w:p w14:paraId="4230DC58"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平安证券股份有限公司</w:t>
            </w:r>
          </w:p>
        </w:tc>
        <w:tc>
          <w:tcPr>
            <w:tcW w:w="4728" w:type="dxa"/>
          </w:tcPr>
          <w:p w14:paraId="6781E16D"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注册（办公）地址：深圳市福田中心区金田路</w:t>
            </w:r>
            <w:r>
              <w:rPr>
                <w:rFonts w:ascii="宋体" w:hAnsi="宋体" w:cs="Calibri"/>
                <w:color w:val="000000"/>
                <w:szCs w:val="21"/>
              </w:rPr>
              <w:t>4036</w:t>
            </w:r>
            <w:r>
              <w:rPr>
                <w:rFonts w:ascii="宋体" w:hAnsi="宋体" w:cs="Calibri" w:hint="eastAsia"/>
                <w:color w:val="000000"/>
                <w:szCs w:val="21"/>
              </w:rPr>
              <w:t>号荣</w:t>
            </w:r>
            <w:proofErr w:type="gramStart"/>
            <w:r>
              <w:rPr>
                <w:rFonts w:ascii="宋体" w:hAnsi="宋体" w:cs="Calibri" w:hint="eastAsia"/>
                <w:color w:val="000000"/>
                <w:szCs w:val="21"/>
              </w:rPr>
              <w:t>超大厦</w:t>
            </w:r>
            <w:proofErr w:type="gramEnd"/>
            <w:r>
              <w:rPr>
                <w:rFonts w:ascii="宋体" w:hAnsi="宋体" w:cs="Calibri"/>
                <w:color w:val="000000"/>
                <w:szCs w:val="21"/>
              </w:rPr>
              <w:t>16-20</w:t>
            </w:r>
            <w:r>
              <w:rPr>
                <w:rFonts w:ascii="宋体" w:hAnsi="宋体" w:cs="Calibri" w:hint="eastAsia"/>
                <w:color w:val="000000"/>
                <w:szCs w:val="21"/>
              </w:rPr>
              <w:t>层</w:t>
            </w:r>
            <w:r>
              <w:rPr>
                <w:rFonts w:ascii="宋体" w:hAnsi="宋体" w:cs="Calibri"/>
                <w:color w:val="000000"/>
                <w:szCs w:val="21"/>
              </w:rPr>
              <w:t xml:space="preserve"> </w:t>
            </w:r>
          </w:p>
          <w:p w14:paraId="7CB1FB0B"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52F8DD24" w14:textId="77777777"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stock.pingan.com</w:t>
            </w:r>
          </w:p>
        </w:tc>
      </w:tr>
      <w:tr w:rsidR="004C06C5" w14:paraId="4636C198" w14:textId="77777777">
        <w:trPr>
          <w:trHeight w:val="510"/>
        </w:trPr>
        <w:tc>
          <w:tcPr>
            <w:tcW w:w="817" w:type="dxa"/>
          </w:tcPr>
          <w:p w14:paraId="69D25132"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w:t>
            </w:r>
          </w:p>
        </w:tc>
        <w:tc>
          <w:tcPr>
            <w:tcW w:w="2977" w:type="dxa"/>
          </w:tcPr>
          <w:p w14:paraId="4481DCFB"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世纪证券有限责任公司</w:t>
            </w:r>
          </w:p>
        </w:tc>
        <w:tc>
          <w:tcPr>
            <w:tcW w:w="4728" w:type="dxa"/>
          </w:tcPr>
          <w:p w14:paraId="45075FA7"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注册（办公）地址：深圳市福田区深南大道招商银行大厦</w:t>
            </w:r>
            <w:r>
              <w:rPr>
                <w:rFonts w:ascii="宋体" w:hAnsi="宋体" w:cs="Calibri"/>
                <w:color w:val="000000"/>
                <w:szCs w:val="21"/>
              </w:rPr>
              <w:t>40-42</w:t>
            </w:r>
            <w:r>
              <w:rPr>
                <w:rFonts w:ascii="宋体" w:hAnsi="宋体" w:cs="Calibri" w:hint="eastAsia"/>
                <w:color w:val="000000"/>
                <w:szCs w:val="21"/>
              </w:rPr>
              <w:t>层</w:t>
            </w:r>
          </w:p>
          <w:p w14:paraId="46ED54AC"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4008323000</w:t>
            </w:r>
          </w:p>
          <w:p w14:paraId="19D61D82" w14:textId="77777777"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网站：</w:t>
            </w:r>
            <w:r>
              <w:rPr>
                <w:rFonts w:ascii="宋体" w:hAnsi="宋体" w:cs="Calibri"/>
                <w:color w:val="000000"/>
                <w:szCs w:val="21"/>
              </w:rPr>
              <w:t xml:space="preserve"> http://www.csco.com.cn</w:t>
            </w:r>
          </w:p>
        </w:tc>
      </w:tr>
      <w:tr w:rsidR="004C06C5" w14:paraId="53A458B6" w14:textId="77777777">
        <w:trPr>
          <w:trHeight w:val="510"/>
        </w:trPr>
        <w:tc>
          <w:tcPr>
            <w:tcW w:w="817" w:type="dxa"/>
          </w:tcPr>
          <w:p w14:paraId="3DADB4FE"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4</w:t>
            </w:r>
          </w:p>
        </w:tc>
        <w:tc>
          <w:tcPr>
            <w:tcW w:w="2977" w:type="dxa"/>
          </w:tcPr>
          <w:p w14:paraId="4C0546C5"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华鑫证券有限责任公司</w:t>
            </w:r>
          </w:p>
        </w:tc>
        <w:tc>
          <w:tcPr>
            <w:tcW w:w="4728" w:type="dxa"/>
          </w:tcPr>
          <w:p w14:paraId="0178CCE3"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(办公)地址：深圳市福田区金田路4018号安联大厦28层A01、B01（b）单元</w:t>
            </w:r>
          </w:p>
          <w:p w14:paraId="1258C15D"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71FEB64B" w14:textId="77777777"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www.cfsc.com.cn</w:t>
            </w:r>
          </w:p>
        </w:tc>
      </w:tr>
      <w:tr w:rsidR="004C06C5" w14:paraId="68106532" w14:textId="77777777">
        <w:trPr>
          <w:trHeight w:val="510"/>
        </w:trPr>
        <w:tc>
          <w:tcPr>
            <w:tcW w:w="817" w:type="dxa"/>
          </w:tcPr>
          <w:p w14:paraId="62EC3148"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5</w:t>
            </w:r>
          </w:p>
        </w:tc>
        <w:tc>
          <w:tcPr>
            <w:tcW w:w="2977" w:type="dxa"/>
          </w:tcPr>
          <w:p w14:paraId="1A2B77F7"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长城证券股份有限公司</w:t>
            </w:r>
          </w:p>
        </w:tc>
        <w:tc>
          <w:tcPr>
            <w:tcW w:w="4728" w:type="dxa"/>
          </w:tcPr>
          <w:p w14:paraId="10A60C4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(办公)地址：深圳市福田区深南大道6008号特区报业16-17楼 </w:t>
            </w:r>
          </w:p>
          <w:p w14:paraId="4D31FFEB"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95514/400 6666 888</w:t>
            </w:r>
          </w:p>
          <w:p w14:paraId="1233CB71" w14:textId="77777777"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www.cgws.com</w:t>
            </w:r>
          </w:p>
        </w:tc>
      </w:tr>
      <w:tr w:rsidR="004C06C5" w14:paraId="72C61CFF" w14:textId="77777777">
        <w:trPr>
          <w:trHeight w:val="510"/>
        </w:trPr>
        <w:tc>
          <w:tcPr>
            <w:tcW w:w="817" w:type="dxa"/>
          </w:tcPr>
          <w:p w14:paraId="58072360"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lastRenderedPageBreak/>
              <w:t>6</w:t>
            </w:r>
          </w:p>
        </w:tc>
        <w:tc>
          <w:tcPr>
            <w:tcW w:w="2977" w:type="dxa"/>
          </w:tcPr>
          <w:p w14:paraId="24E50F84"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五</w:t>
            </w:r>
            <w:proofErr w:type="gramStart"/>
            <w:r>
              <w:rPr>
                <w:rFonts w:ascii="宋体" w:hAnsi="宋体" w:cs="Calibri" w:hint="eastAsia"/>
                <w:color w:val="000000"/>
                <w:szCs w:val="21"/>
              </w:rPr>
              <w:t>矿证券</w:t>
            </w:r>
            <w:proofErr w:type="gramEnd"/>
            <w:r>
              <w:rPr>
                <w:rFonts w:ascii="宋体" w:hAnsi="宋体" w:cs="Calibri" w:hint="eastAsia"/>
                <w:color w:val="000000"/>
                <w:szCs w:val="21"/>
              </w:rPr>
              <w:t>有限公司</w:t>
            </w:r>
          </w:p>
        </w:tc>
        <w:tc>
          <w:tcPr>
            <w:tcW w:w="4728" w:type="dxa"/>
          </w:tcPr>
          <w:p w14:paraId="0290F52D"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深圳市福田区金田路</w:t>
            </w:r>
            <w:r>
              <w:rPr>
                <w:rFonts w:ascii="宋体" w:hAnsi="宋体" w:cs="Calibri"/>
                <w:color w:val="000000"/>
                <w:szCs w:val="21"/>
              </w:rPr>
              <w:t>4028号荣</w:t>
            </w:r>
            <w:proofErr w:type="gramStart"/>
            <w:r>
              <w:rPr>
                <w:rFonts w:ascii="宋体" w:hAnsi="宋体" w:cs="Calibri"/>
                <w:color w:val="000000"/>
                <w:szCs w:val="21"/>
              </w:rPr>
              <w:t>超经贸</w:t>
            </w:r>
            <w:proofErr w:type="gramEnd"/>
            <w:r>
              <w:rPr>
                <w:rFonts w:ascii="宋体" w:hAnsi="宋体" w:cs="Calibri"/>
                <w:color w:val="000000"/>
                <w:szCs w:val="21"/>
              </w:rPr>
              <w:t>中心47层01单元</w:t>
            </w:r>
          </w:p>
          <w:p w14:paraId="0E1A77FF"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287A3168" w14:textId="77777777"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www.wkzq.com.cn</w:t>
            </w:r>
          </w:p>
        </w:tc>
      </w:tr>
      <w:tr w:rsidR="004C06C5" w14:paraId="40D9428A" w14:textId="77777777">
        <w:tc>
          <w:tcPr>
            <w:tcW w:w="817" w:type="dxa"/>
          </w:tcPr>
          <w:p w14:paraId="35536803"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7</w:t>
            </w:r>
          </w:p>
        </w:tc>
        <w:tc>
          <w:tcPr>
            <w:tcW w:w="2977" w:type="dxa"/>
          </w:tcPr>
          <w:p w14:paraId="5BC9FADA"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西藏东方财富证券股份有限公司</w:t>
            </w:r>
          </w:p>
        </w:tc>
        <w:tc>
          <w:tcPr>
            <w:tcW w:w="4728" w:type="dxa"/>
          </w:tcPr>
          <w:p w14:paraId="6EA96D23"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74CCBFCA"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客户服务电话：95357</w:t>
            </w:r>
          </w:p>
          <w:p w14:paraId="6DE68DC2" w14:textId="77777777" w:rsidR="004C06C5" w:rsidRDefault="00ED474B">
            <w:pPr>
              <w:jc w:val="left"/>
              <w:rPr>
                <w:rFonts w:asciiTheme="minorEastAsia" w:eastAsiaTheme="minorEastAsia" w:hAnsiTheme="minorEastAsia"/>
                <w:bCs/>
                <w:i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4C06C5" w14:paraId="16B7E658" w14:textId="77777777">
        <w:tc>
          <w:tcPr>
            <w:tcW w:w="817" w:type="dxa"/>
          </w:tcPr>
          <w:p w14:paraId="69DA73BC"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8</w:t>
            </w:r>
          </w:p>
        </w:tc>
        <w:tc>
          <w:tcPr>
            <w:tcW w:w="2977" w:type="dxa"/>
          </w:tcPr>
          <w:p w14:paraId="7C96D7B3"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光大证券股份有限公司</w:t>
            </w:r>
          </w:p>
        </w:tc>
        <w:tc>
          <w:tcPr>
            <w:tcW w:w="4728" w:type="dxa"/>
          </w:tcPr>
          <w:p w14:paraId="41DDD727"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 : 上海市静安区新闸路1508号</w:t>
            </w:r>
          </w:p>
          <w:p w14:paraId="7693C702"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客户服务电话：95525</w:t>
            </w:r>
          </w:p>
          <w:p w14:paraId="1E46A1BF" w14:textId="77777777"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网址：www.ebscn.com</w:t>
            </w:r>
          </w:p>
        </w:tc>
      </w:tr>
      <w:tr w:rsidR="004C06C5" w14:paraId="163E8B77" w14:textId="77777777">
        <w:tc>
          <w:tcPr>
            <w:tcW w:w="817" w:type="dxa"/>
          </w:tcPr>
          <w:p w14:paraId="280C7C29"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9</w:t>
            </w:r>
          </w:p>
        </w:tc>
        <w:tc>
          <w:tcPr>
            <w:tcW w:w="2977" w:type="dxa"/>
          </w:tcPr>
          <w:p w14:paraId="02040199"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4728" w:type="dxa"/>
          </w:tcPr>
          <w:p w14:paraId="6EBDEFBE"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办公地址：上海市崇明县长兴镇潘园公路</w:t>
            </w:r>
            <w:r>
              <w:rPr>
                <w:rFonts w:ascii="宋体" w:hAnsi="宋体" w:cs="Calibri"/>
                <w:color w:val="000000"/>
                <w:szCs w:val="21"/>
              </w:rPr>
              <w:t>1800号2号楼6153室</w:t>
            </w:r>
          </w:p>
          <w:p w14:paraId="07A34FD4"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400-820-5369</w:t>
            </w:r>
          </w:p>
          <w:p w14:paraId="1F3A2F8A" w14:textId="77777777" w:rsidR="004C06C5" w:rsidRDefault="00ED474B">
            <w:pPr>
              <w:spacing w:line="400" w:lineRule="exact"/>
              <w:jc w:val="left"/>
              <w:rPr>
                <w:rFonts w:asciiTheme="minorEastAsia" w:eastAsiaTheme="minorEastAsia" w:hAnsiTheme="minorEastAsia"/>
                <w:color w:val="000000"/>
              </w:rPr>
            </w:pPr>
            <w:r>
              <w:rPr>
                <w:rFonts w:ascii="宋体" w:hAnsi="宋体" w:cs="Calibri" w:hint="eastAsia"/>
                <w:color w:val="000000"/>
                <w:szCs w:val="21"/>
              </w:rPr>
              <w:t>公司网址：</w:t>
            </w:r>
            <w:r w:rsidR="00FA67CC">
              <w:fldChar w:fldCharType="begin"/>
            </w:r>
            <w:r w:rsidR="00FA67CC">
              <w:instrText xml:space="preserve"> HYPERLINK "http://www.jiyufund.com.cn/" \t "_blank" </w:instrText>
            </w:r>
            <w:r w:rsidR="00FA67CC">
              <w:fldChar w:fldCharType="separate"/>
            </w:r>
            <w:r>
              <w:rPr>
                <w:rFonts w:ascii="宋体" w:hAnsi="宋体" w:cs="Calibri"/>
                <w:szCs w:val="21"/>
              </w:rPr>
              <w:t>www.jiyufund.com.cn</w:t>
            </w:r>
            <w:r w:rsidR="00FA67CC">
              <w:rPr>
                <w:rFonts w:ascii="宋体" w:hAnsi="宋体" w:cs="Calibri"/>
                <w:szCs w:val="21"/>
              </w:rPr>
              <w:fldChar w:fldCharType="end"/>
            </w:r>
          </w:p>
        </w:tc>
      </w:tr>
      <w:tr w:rsidR="004C06C5" w14:paraId="260E7ABD" w14:textId="77777777">
        <w:tc>
          <w:tcPr>
            <w:tcW w:w="817" w:type="dxa"/>
          </w:tcPr>
          <w:p w14:paraId="78790EE5"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10</w:t>
            </w:r>
          </w:p>
        </w:tc>
        <w:tc>
          <w:tcPr>
            <w:tcW w:w="2977" w:type="dxa"/>
          </w:tcPr>
          <w:p w14:paraId="573D7002" w14:textId="77777777" w:rsidR="004C06C5" w:rsidRDefault="00ED474B">
            <w:pPr>
              <w:spacing w:line="360" w:lineRule="auto"/>
              <w:jc w:val="center"/>
              <w:rPr>
                <w:rFonts w:asciiTheme="minorEastAsia" w:eastAsiaTheme="minorEastAsia" w:hAnsiTheme="minorEastAsia"/>
                <w:color w:val="000000" w:themeColor="text1"/>
                <w:szCs w:val="21"/>
              </w:rPr>
            </w:pPr>
            <w:r>
              <w:rPr>
                <w:rFonts w:asciiTheme="minorEastAsia" w:hAnsiTheme="minorEastAsia" w:cs="Arial" w:hint="eastAsia"/>
              </w:rPr>
              <w:t>奕丰金融销售有限公司</w:t>
            </w:r>
          </w:p>
        </w:tc>
        <w:tc>
          <w:tcPr>
            <w:tcW w:w="4728" w:type="dxa"/>
          </w:tcPr>
          <w:p w14:paraId="6AFEF0A3"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14:paraId="51629D57"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4F3B03D2" w14:textId="77777777"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网址：</w:t>
            </w:r>
            <w:r>
              <w:rPr>
                <w:rFonts w:ascii="宋体" w:hAnsi="宋体" w:cs="Calibri"/>
                <w:color w:val="000000"/>
                <w:szCs w:val="21"/>
              </w:rPr>
              <w:t>www.ifastps.com.cn</w:t>
            </w:r>
          </w:p>
        </w:tc>
      </w:tr>
      <w:tr w:rsidR="004C06C5" w14:paraId="7ED780C3" w14:textId="77777777">
        <w:tc>
          <w:tcPr>
            <w:tcW w:w="817" w:type="dxa"/>
          </w:tcPr>
          <w:p w14:paraId="14876A46"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1</w:t>
            </w:r>
          </w:p>
        </w:tc>
        <w:tc>
          <w:tcPr>
            <w:tcW w:w="2977" w:type="dxa"/>
          </w:tcPr>
          <w:p w14:paraId="2A04A917"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上海好买基金销售有限公司</w:t>
            </w:r>
          </w:p>
        </w:tc>
        <w:tc>
          <w:tcPr>
            <w:tcW w:w="4728" w:type="dxa"/>
          </w:tcPr>
          <w:p w14:paraId="0FD7B0E6"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办公地址：上海市浦东新区浦东南路</w:t>
            </w:r>
            <w:r>
              <w:rPr>
                <w:rFonts w:ascii="宋体" w:hAnsi="宋体" w:cs="Calibri"/>
                <w:color w:val="000000"/>
                <w:szCs w:val="21"/>
              </w:rPr>
              <w:t>1118号鄂尔多斯大厦9楼</w:t>
            </w:r>
          </w:p>
          <w:p w14:paraId="60AA1D5A"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400-700-9665</w:t>
            </w:r>
          </w:p>
          <w:p w14:paraId="7934EF91" w14:textId="77777777"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公司网址：</w:t>
            </w:r>
            <w:r>
              <w:rPr>
                <w:rFonts w:ascii="宋体" w:hAnsi="宋体" w:cs="Calibri"/>
                <w:color w:val="000000"/>
                <w:szCs w:val="21"/>
              </w:rPr>
              <w:t>www.ehowbuy.com</w:t>
            </w:r>
          </w:p>
        </w:tc>
      </w:tr>
      <w:tr w:rsidR="004C06C5" w14:paraId="740CE335" w14:textId="77777777">
        <w:tc>
          <w:tcPr>
            <w:tcW w:w="817" w:type="dxa"/>
          </w:tcPr>
          <w:p w14:paraId="2C73B90B"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2</w:t>
            </w:r>
          </w:p>
        </w:tc>
        <w:tc>
          <w:tcPr>
            <w:tcW w:w="2977" w:type="dxa"/>
          </w:tcPr>
          <w:p w14:paraId="6E8EACBE"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北京肯特瑞财富投资管理有限公司</w:t>
            </w:r>
          </w:p>
        </w:tc>
        <w:tc>
          <w:tcPr>
            <w:tcW w:w="4728" w:type="dxa"/>
          </w:tcPr>
          <w:p w14:paraId="7285D561"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办公地址：北京市亦</w:t>
            </w:r>
            <w:proofErr w:type="gramStart"/>
            <w:r>
              <w:rPr>
                <w:rFonts w:ascii="宋体" w:hAnsi="宋体" w:cs="Calibri" w:hint="eastAsia"/>
                <w:color w:val="000000"/>
                <w:szCs w:val="21"/>
              </w:rPr>
              <w:t>庄经济开发区科创</w:t>
            </w:r>
            <w:proofErr w:type="gramEnd"/>
            <w:r>
              <w:rPr>
                <w:rFonts w:ascii="宋体" w:hAnsi="宋体" w:cs="Calibri" w:hint="eastAsia"/>
                <w:color w:val="000000"/>
                <w:szCs w:val="21"/>
              </w:rPr>
              <w:t>十一街</w:t>
            </w:r>
            <w:r>
              <w:rPr>
                <w:rFonts w:ascii="宋体" w:hAnsi="宋体" w:cs="Calibri"/>
                <w:color w:val="000000"/>
                <w:szCs w:val="21"/>
              </w:rPr>
              <w:t>18号A座</w:t>
            </w:r>
          </w:p>
          <w:p w14:paraId="1357DADC"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95118</w:t>
            </w:r>
          </w:p>
          <w:p w14:paraId="2C73DDB3" w14:textId="77777777"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公司网址：</w:t>
            </w:r>
            <w:r>
              <w:rPr>
                <w:rFonts w:ascii="宋体" w:hAnsi="宋体" w:cs="Calibri"/>
                <w:color w:val="000000"/>
                <w:szCs w:val="21"/>
              </w:rPr>
              <w:t>www.fund.jd.com</w:t>
            </w:r>
          </w:p>
        </w:tc>
      </w:tr>
      <w:tr w:rsidR="004C06C5" w14:paraId="7CA35BD5" w14:textId="77777777">
        <w:tc>
          <w:tcPr>
            <w:tcW w:w="817" w:type="dxa"/>
          </w:tcPr>
          <w:p w14:paraId="2D755786"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3</w:t>
            </w:r>
          </w:p>
        </w:tc>
        <w:tc>
          <w:tcPr>
            <w:tcW w:w="2977" w:type="dxa"/>
          </w:tcPr>
          <w:p w14:paraId="09AB7F7B"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蚂蚁（杭州）基金销售有限公司</w:t>
            </w:r>
          </w:p>
        </w:tc>
        <w:tc>
          <w:tcPr>
            <w:tcW w:w="4728" w:type="dxa"/>
          </w:tcPr>
          <w:p w14:paraId="13465652"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办公地址：浙江省杭州市西湖</w:t>
            </w:r>
            <w:proofErr w:type="gramStart"/>
            <w:r>
              <w:rPr>
                <w:rFonts w:ascii="宋体" w:hAnsi="宋体" w:cs="Calibri" w:hint="eastAsia"/>
                <w:color w:val="000000"/>
                <w:szCs w:val="21"/>
              </w:rPr>
              <w:t>区万塘路</w:t>
            </w:r>
            <w:proofErr w:type="gramEnd"/>
            <w:r>
              <w:rPr>
                <w:rFonts w:ascii="宋体" w:hAnsi="宋体" w:cs="Calibri"/>
                <w:color w:val="000000"/>
                <w:szCs w:val="21"/>
              </w:rPr>
              <w:t xml:space="preserve">18号黄龙时代广场B座6F </w:t>
            </w:r>
          </w:p>
          <w:p w14:paraId="0C6A49F4"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4000-766-123</w:t>
            </w:r>
          </w:p>
          <w:p w14:paraId="64A3D806" w14:textId="77777777"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网址：</w:t>
            </w:r>
            <w:r>
              <w:rPr>
                <w:rFonts w:ascii="宋体" w:hAnsi="宋体" w:cs="Calibri"/>
                <w:color w:val="000000"/>
                <w:szCs w:val="21"/>
              </w:rPr>
              <w:t>www.fund123.cn</w:t>
            </w:r>
          </w:p>
        </w:tc>
      </w:tr>
      <w:tr w:rsidR="004C06C5" w14:paraId="392C2E59" w14:textId="77777777">
        <w:tc>
          <w:tcPr>
            <w:tcW w:w="817" w:type="dxa"/>
          </w:tcPr>
          <w:p w14:paraId="2206EBAC"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4</w:t>
            </w:r>
          </w:p>
        </w:tc>
        <w:tc>
          <w:tcPr>
            <w:tcW w:w="2977" w:type="dxa"/>
          </w:tcPr>
          <w:p w14:paraId="7E8BF188"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4728" w:type="dxa"/>
          </w:tcPr>
          <w:p w14:paraId="59BDFC9E"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w:t>
            </w:r>
            <w:proofErr w:type="gramStart"/>
            <w:r>
              <w:rPr>
                <w:rFonts w:ascii="宋体" w:hAnsi="宋体" w:cs="Calibri" w:hint="eastAsia"/>
                <w:color w:val="000000"/>
                <w:szCs w:val="21"/>
              </w:rPr>
              <w:t>翠柏路</w:t>
            </w:r>
            <w:proofErr w:type="gramEnd"/>
            <w:r>
              <w:rPr>
                <w:rFonts w:ascii="宋体" w:hAnsi="宋体" w:cs="Calibri"/>
                <w:color w:val="000000"/>
                <w:szCs w:val="21"/>
              </w:rPr>
              <w:t>7号杭州电子商务产业园2楼</w:t>
            </w:r>
          </w:p>
          <w:p w14:paraId="6891304F"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4008-773-772  0571-88920897</w:t>
            </w:r>
          </w:p>
          <w:p w14:paraId="24F72AA8" w14:textId="77777777"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lastRenderedPageBreak/>
              <w:t>网址：</w:t>
            </w:r>
            <w:r>
              <w:rPr>
                <w:rFonts w:ascii="宋体" w:hAnsi="宋体" w:cs="Calibri"/>
                <w:color w:val="000000"/>
                <w:szCs w:val="21"/>
              </w:rPr>
              <w:t>www.5ifund.com</w:t>
            </w:r>
          </w:p>
        </w:tc>
      </w:tr>
      <w:tr w:rsidR="004C06C5" w14:paraId="1CD0FB04" w14:textId="77777777">
        <w:tc>
          <w:tcPr>
            <w:tcW w:w="817" w:type="dxa"/>
          </w:tcPr>
          <w:p w14:paraId="6EFAD276"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lastRenderedPageBreak/>
              <w:t>15</w:t>
            </w:r>
          </w:p>
        </w:tc>
        <w:tc>
          <w:tcPr>
            <w:tcW w:w="2977" w:type="dxa"/>
          </w:tcPr>
          <w:p w14:paraId="2768F9AC"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所资产</w:t>
            </w:r>
            <w:proofErr w:type="gramEnd"/>
            <w:r>
              <w:rPr>
                <w:rFonts w:ascii="宋体" w:hAnsi="宋体" w:cs="Calibri" w:hint="eastAsia"/>
                <w:color w:val="000000"/>
                <w:szCs w:val="21"/>
              </w:rPr>
              <w:t>管理有限公司</w:t>
            </w:r>
          </w:p>
        </w:tc>
        <w:tc>
          <w:tcPr>
            <w:tcW w:w="4728" w:type="dxa"/>
          </w:tcPr>
          <w:p w14:paraId="013EF841"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办公地址：中国（上海）自由贸易试验区陆家嘴环路</w:t>
            </w:r>
            <w:r>
              <w:rPr>
                <w:rFonts w:ascii="宋体" w:hAnsi="宋体" w:cs="Calibri"/>
                <w:color w:val="000000"/>
                <w:szCs w:val="21"/>
              </w:rPr>
              <w:t>1333号14楼09单元</w:t>
            </w:r>
          </w:p>
          <w:p w14:paraId="67C69500"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484F1477" w14:textId="77777777" w:rsidR="004C06C5" w:rsidRDefault="00ED474B">
            <w:pPr>
              <w:spacing w:line="400" w:lineRule="exact"/>
              <w:jc w:val="left"/>
              <w:rPr>
                <w:rFonts w:asciiTheme="minorEastAsia" w:eastAsiaTheme="minorEastAsia" w:hAnsiTheme="minorEastAsia" w:cs="Arial"/>
                <w:color w:val="000000"/>
                <w:kern w:val="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4C06C5" w14:paraId="58AAF560" w14:textId="77777777">
        <w:tc>
          <w:tcPr>
            <w:tcW w:w="817" w:type="dxa"/>
          </w:tcPr>
          <w:p w14:paraId="183A7D81"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16</w:t>
            </w:r>
          </w:p>
        </w:tc>
        <w:tc>
          <w:tcPr>
            <w:tcW w:w="2977" w:type="dxa"/>
          </w:tcPr>
          <w:p w14:paraId="16ED886B"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上海联泰资产管理有限公司</w:t>
            </w:r>
          </w:p>
        </w:tc>
        <w:tc>
          <w:tcPr>
            <w:tcW w:w="4728" w:type="dxa"/>
          </w:tcPr>
          <w:p w14:paraId="31974072"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办公地址：中国（上海）自由贸易试验区富特北路</w:t>
            </w:r>
            <w:r>
              <w:rPr>
                <w:rFonts w:ascii="宋体" w:hAnsi="宋体" w:cs="Calibri"/>
                <w:color w:val="000000"/>
                <w:szCs w:val="21"/>
              </w:rPr>
              <w:t>277号3层310室</w:t>
            </w:r>
          </w:p>
          <w:p w14:paraId="12902B83"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4000466788</w:t>
            </w:r>
          </w:p>
          <w:p w14:paraId="3FE1E8C0"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4C06C5" w14:paraId="4D0B7290" w14:textId="77777777">
        <w:tc>
          <w:tcPr>
            <w:tcW w:w="817" w:type="dxa"/>
          </w:tcPr>
          <w:p w14:paraId="319445BC"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17</w:t>
            </w:r>
          </w:p>
        </w:tc>
        <w:tc>
          <w:tcPr>
            <w:tcW w:w="2977" w:type="dxa"/>
          </w:tcPr>
          <w:p w14:paraId="2043F951"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上海天天基金销售有限公司</w:t>
            </w:r>
          </w:p>
        </w:tc>
        <w:tc>
          <w:tcPr>
            <w:tcW w:w="4728" w:type="dxa"/>
          </w:tcPr>
          <w:p w14:paraId="6AC05EDB"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办公地址：上海市徐汇区龙田路</w:t>
            </w:r>
            <w:r>
              <w:rPr>
                <w:rFonts w:ascii="宋体" w:hAnsi="宋体" w:cs="Calibri"/>
                <w:color w:val="000000"/>
                <w:szCs w:val="21"/>
              </w:rPr>
              <w:t>190号2号楼二层</w:t>
            </w:r>
          </w:p>
          <w:p w14:paraId="7103EDDE"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4001818188</w:t>
            </w:r>
          </w:p>
          <w:p w14:paraId="3EC95695"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4C06C5" w14:paraId="00A42110" w14:textId="77777777">
        <w:tc>
          <w:tcPr>
            <w:tcW w:w="817" w:type="dxa"/>
          </w:tcPr>
          <w:p w14:paraId="4B36CF62"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18</w:t>
            </w:r>
          </w:p>
        </w:tc>
        <w:tc>
          <w:tcPr>
            <w:tcW w:w="2977" w:type="dxa"/>
          </w:tcPr>
          <w:p w14:paraId="10BED0F9"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珠海盈米财富管理有限公司</w:t>
            </w:r>
          </w:p>
        </w:tc>
        <w:tc>
          <w:tcPr>
            <w:tcW w:w="4728" w:type="dxa"/>
          </w:tcPr>
          <w:p w14:paraId="0363A94B"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办公地址：珠海市横琴新区宝华路</w:t>
            </w:r>
            <w:r>
              <w:rPr>
                <w:rFonts w:ascii="宋体" w:hAnsi="宋体" w:cs="Calibri"/>
                <w:color w:val="000000"/>
                <w:szCs w:val="21"/>
              </w:rPr>
              <w:t xml:space="preserve">6号105室-3491 </w:t>
            </w:r>
          </w:p>
          <w:p w14:paraId="216244A4"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51F0095D"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www.yingmi.cn</w:t>
            </w:r>
          </w:p>
        </w:tc>
      </w:tr>
      <w:tr w:rsidR="004C06C5" w14:paraId="583067F0" w14:textId="77777777">
        <w:tc>
          <w:tcPr>
            <w:tcW w:w="817" w:type="dxa"/>
          </w:tcPr>
          <w:p w14:paraId="339501FC"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19</w:t>
            </w:r>
          </w:p>
        </w:tc>
        <w:tc>
          <w:tcPr>
            <w:tcW w:w="2977" w:type="dxa"/>
          </w:tcPr>
          <w:p w14:paraId="7679E99A"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销售投资顾问有限公司</w:t>
            </w:r>
          </w:p>
        </w:tc>
        <w:tc>
          <w:tcPr>
            <w:tcW w:w="4728" w:type="dxa"/>
          </w:tcPr>
          <w:p w14:paraId="3E03A21C"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办公地址：上海市浦东新区东方路</w:t>
            </w:r>
            <w:r>
              <w:rPr>
                <w:rFonts w:ascii="宋体" w:hAnsi="宋体" w:cs="Calibri"/>
                <w:color w:val="000000"/>
                <w:szCs w:val="21"/>
              </w:rPr>
              <w:t>1267</w:t>
            </w:r>
            <w:r>
              <w:rPr>
                <w:rFonts w:ascii="宋体" w:hAnsi="宋体" w:cs="Calibri" w:hint="eastAsia"/>
                <w:color w:val="000000"/>
                <w:szCs w:val="21"/>
              </w:rPr>
              <w:t>号</w:t>
            </w:r>
            <w:r>
              <w:rPr>
                <w:rFonts w:ascii="宋体" w:hAnsi="宋体" w:cs="Calibri"/>
                <w:color w:val="000000"/>
                <w:szCs w:val="21"/>
              </w:rPr>
              <w:t>11</w:t>
            </w:r>
            <w:r>
              <w:rPr>
                <w:rFonts w:ascii="宋体" w:hAnsi="宋体" w:cs="Calibri" w:hint="eastAsia"/>
                <w:color w:val="000000"/>
                <w:szCs w:val="21"/>
              </w:rPr>
              <w:t>层</w:t>
            </w:r>
          </w:p>
          <w:p w14:paraId="2C6ED04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400-820-2899</w:t>
            </w:r>
          </w:p>
          <w:p w14:paraId="32393844"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4C06C5" w14:paraId="2CAAA2F1" w14:textId="77777777">
        <w:tc>
          <w:tcPr>
            <w:tcW w:w="817" w:type="dxa"/>
          </w:tcPr>
          <w:p w14:paraId="541036DB"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20</w:t>
            </w:r>
          </w:p>
        </w:tc>
        <w:tc>
          <w:tcPr>
            <w:tcW w:w="2977" w:type="dxa"/>
          </w:tcPr>
          <w:p w14:paraId="0D155324" w14:textId="77777777"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北京植信基金</w:t>
            </w:r>
            <w:proofErr w:type="gramEnd"/>
            <w:r>
              <w:rPr>
                <w:rFonts w:ascii="宋体" w:hAnsi="宋体" w:cs="Calibri" w:hint="eastAsia"/>
                <w:color w:val="000000"/>
                <w:szCs w:val="21"/>
              </w:rPr>
              <w:t>销售有限公司</w:t>
            </w:r>
          </w:p>
        </w:tc>
        <w:tc>
          <w:tcPr>
            <w:tcW w:w="4728" w:type="dxa"/>
          </w:tcPr>
          <w:p w14:paraId="06234EEB"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注册(办公)地址：北京市密云区兴盛南路8号院2号楼106室-67</w:t>
            </w:r>
          </w:p>
          <w:p w14:paraId="139741C0"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4006-802-123</w:t>
            </w:r>
          </w:p>
          <w:p w14:paraId="2CC214F4"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sidR="00FA67CC">
              <w:fldChar w:fldCharType="begin"/>
            </w:r>
            <w:r w:rsidR="00FA67CC">
              <w:instrText xml:space="preserve"> HYPERLINK "http://www.zhixin-inv.com" </w:instrText>
            </w:r>
            <w:r w:rsidR="00FA67CC">
              <w:fldChar w:fldCharType="separate"/>
            </w:r>
            <w:r>
              <w:rPr>
                <w:rStyle w:val="aff9"/>
                <w:rFonts w:ascii="宋体" w:hAnsi="宋体" w:cs="Calibri" w:hint="eastAsia"/>
                <w:szCs w:val="21"/>
              </w:rPr>
              <w:t>www.zhixin-inv.com</w:t>
            </w:r>
            <w:r w:rsidR="00FA67CC">
              <w:rPr>
                <w:rStyle w:val="aff9"/>
                <w:rFonts w:ascii="宋体" w:hAnsi="宋体" w:cs="Calibri"/>
                <w:szCs w:val="21"/>
              </w:rPr>
              <w:fldChar w:fldCharType="end"/>
            </w:r>
          </w:p>
        </w:tc>
      </w:tr>
      <w:tr w:rsidR="004C06C5" w14:paraId="55AD6A78" w14:textId="77777777">
        <w:tc>
          <w:tcPr>
            <w:tcW w:w="817" w:type="dxa"/>
          </w:tcPr>
          <w:p w14:paraId="2939CA46"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r>
              <w:rPr>
                <w:rFonts w:ascii="宋体" w:hAnsi="宋体" w:cs="Calibri" w:hint="eastAsia"/>
                <w:color w:val="000000"/>
                <w:szCs w:val="21"/>
              </w:rPr>
              <w:t>1</w:t>
            </w:r>
          </w:p>
        </w:tc>
        <w:tc>
          <w:tcPr>
            <w:tcW w:w="2977" w:type="dxa"/>
          </w:tcPr>
          <w:p w14:paraId="2911A74A"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北京汇成基金销售有限公司</w:t>
            </w:r>
          </w:p>
        </w:tc>
        <w:tc>
          <w:tcPr>
            <w:tcW w:w="4728" w:type="dxa"/>
          </w:tcPr>
          <w:p w14:paraId="254B7CC7"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办公地址：北京市海淀区中关村大街</w:t>
            </w:r>
            <w:r>
              <w:rPr>
                <w:rFonts w:ascii="宋体" w:hAnsi="宋体" w:cs="Calibri"/>
                <w:color w:val="000000"/>
                <w:szCs w:val="21"/>
              </w:rPr>
              <w:t xml:space="preserve">11号11层1108号 </w:t>
            </w:r>
          </w:p>
          <w:p w14:paraId="5BFEAF4A"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 xml:space="preserve"> 4006199059</w:t>
            </w:r>
          </w:p>
          <w:p w14:paraId="54979148"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4C06C5" w14:paraId="0D2C1B43" w14:textId="77777777">
        <w:tc>
          <w:tcPr>
            <w:tcW w:w="817" w:type="dxa"/>
          </w:tcPr>
          <w:p w14:paraId="78DA6C56"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r>
              <w:rPr>
                <w:rFonts w:ascii="宋体" w:hAnsi="宋体" w:cs="Calibri" w:hint="eastAsia"/>
                <w:color w:val="000000"/>
                <w:szCs w:val="21"/>
              </w:rPr>
              <w:t>2</w:t>
            </w:r>
          </w:p>
        </w:tc>
        <w:tc>
          <w:tcPr>
            <w:tcW w:w="2977" w:type="dxa"/>
          </w:tcPr>
          <w:p w14:paraId="6E7B0AE9"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深圳市新兰德证券投资咨询有限公司</w:t>
            </w:r>
          </w:p>
        </w:tc>
        <w:tc>
          <w:tcPr>
            <w:tcW w:w="4728" w:type="dxa"/>
          </w:tcPr>
          <w:p w14:paraId="015E8D9A"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28号富</w:t>
            </w:r>
            <w:proofErr w:type="gramStart"/>
            <w:r>
              <w:rPr>
                <w:rFonts w:ascii="宋体" w:hAnsi="宋体" w:cs="Calibri" w:hint="eastAsia"/>
                <w:color w:val="000000"/>
                <w:szCs w:val="21"/>
              </w:rPr>
              <w:t>卓大厦</w:t>
            </w:r>
            <w:proofErr w:type="gramEnd"/>
            <w:r>
              <w:rPr>
                <w:rFonts w:ascii="宋体" w:hAnsi="宋体" w:cs="Calibri"/>
                <w:color w:val="000000"/>
                <w:szCs w:val="21"/>
              </w:rPr>
              <w:t xml:space="preserve">16层  </w:t>
            </w:r>
          </w:p>
          <w:p w14:paraId="236AF14A"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40081661188</w:t>
            </w:r>
          </w:p>
          <w:p w14:paraId="58B75B08"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http://www.new-rand.cn/</w:t>
            </w:r>
          </w:p>
        </w:tc>
      </w:tr>
      <w:tr w:rsidR="004C06C5" w14:paraId="71607E9F" w14:textId="77777777">
        <w:tc>
          <w:tcPr>
            <w:tcW w:w="817" w:type="dxa"/>
          </w:tcPr>
          <w:p w14:paraId="701E90EF"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r>
              <w:rPr>
                <w:rFonts w:ascii="宋体" w:hAnsi="宋体" w:cs="Calibri" w:hint="eastAsia"/>
                <w:color w:val="000000"/>
                <w:szCs w:val="21"/>
              </w:rPr>
              <w:t>3</w:t>
            </w:r>
          </w:p>
        </w:tc>
        <w:tc>
          <w:tcPr>
            <w:tcW w:w="2977" w:type="dxa"/>
          </w:tcPr>
          <w:p w14:paraId="5FAB187C" w14:textId="77777777"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泰诚财富</w:t>
            </w:r>
            <w:proofErr w:type="gramEnd"/>
            <w:r>
              <w:rPr>
                <w:rFonts w:ascii="宋体" w:hAnsi="宋体" w:cs="Calibri" w:hint="eastAsia"/>
                <w:color w:val="000000"/>
                <w:szCs w:val="21"/>
              </w:rPr>
              <w:t>基金销售（大连）有限公司</w:t>
            </w:r>
          </w:p>
        </w:tc>
        <w:tc>
          <w:tcPr>
            <w:tcW w:w="4728" w:type="dxa"/>
          </w:tcPr>
          <w:p w14:paraId="41D72A08"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注册（办公）地址：辽宁省大连市沙河口区星海中龙园</w:t>
            </w:r>
            <w:r>
              <w:rPr>
                <w:rFonts w:ascii="宋体" w:hAnsi="宋体" w:cs="Calibri"/>
                <w:color w:val="000000"/>
                <w:szCs w:val="21"/>
              </w:rPr>
              <w:t>3</w:t>
            </w:r>
            <w:r>
              <w:rPr>
                <w:rFonts w:ascii="宋体" w:hAnsi="宋体" w:cs="Calibri" w:hint="eastAsia"/>
                <w:color w:val="000000"/>
                <w:szCs w:val="21"/>
              </w:rPr>
              <w:t>号</w:t>
            </w:r>
          </w:p>
          <w:p w14:paraId="76745EB4"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4006411999</w:t>
            </w:r>
          </w:p>
          <w:p w14:paraId="69620B83"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www.taichengcaifu.com</w:t>
            </w:r>
          </w:p>
        </w:tc>
      </w:tr>
      <w:tr w:rsidR="004C06C5" w14:paraId="5EAA1460" w14:textId="77777777">
        <w:tc>
          <w:tcPr>
            <w:tcW w:w="817" w:type="dxa"/>
          </w:tcPr>
          <w:p w14:paraId="1DE69865"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lastRenderedPageBreak/>
              <w:t>24</w:t>
            </w:r>
          </w:p>
        </w:tc>
        <w:tc>
          <w:tcPr>
            <w:tcW w:w="2977" w:type="dxa"/>
          </w:tcPr>
          <w:p w14:paraId="32710D45"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济安财富（北京）基金销售有限公司</w:t>
            </w:r>
          </w:p>
        </w:tc>
        <w:tc>
          <w:tcPr>
            <w:tcW w:w="4728" w:type="dxa"/>
          </w:tcPr>
          <w:p w14:paraId="3616DAD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办公地址：北京市朝阳区东三环中路</w:t>
            </w:r>
            <w:r>
              <w:rPr>
                <w:rFonts w:ascii="宋体" w:hAnsi="宋体" w:cs="Calibri"/>
                <w:color w:val="000000"/>
                <w:szCs w:val="21"/>
              </w:rPr>
              <w:t>7</w:t>
            </w:r>
            <w:r>
              <w:rPr>
                <w:rFonts w:ascii="宋体" w:hAnsi="宋体" w:cs="Calibri" w:hint="eastAsia"/>
                <w:color w:val="000000"/>
                <w:szCs w:val="21"/>
              </w:rPr>
              <w:t>号北京财富中心</w:t>
            </w:r>
            <w:r>
              <w:rPr>
                <w:rFonts w:ascii="宋体" w:hAnsi="宋体" w:cs="Calibri"/>
                <w:color w:val="000000"/>
                <w:szCs w:val="21"/>
              </w:rPr>
              <w:t>A</w:t>
            </w:r>
            <w:r>
              <w:rPr>
                <w:rFonts w:ascii="宋体" w:hAnsi="宋体" w:cs="Calibri" w:hint="eastAsia"/>
                <w:color w:val="000000"/>
                <w:szCs w:val="21"/>
              </w:rPr>
              <w:t>座</w:t>
            </w:r>
            <w:r>
              <w:rPr>
                <w:rFonts w:ascii="宋体" w:hAnsi="宋体" w:cs="Calibri"/>
                <w:color w:val="000000"/>
                <w:szCs w:val="21"/>
              </w:rPr>
              <w:t>46</w:t>
            </w:r>
            <w:r>
              <w:rPr>
                <w:rFonts w:ascii="宋体" w:hAnsi="宋体" w:cs="Calibri" w:hint="eastAsia"/>
                <w:color w:val="000000"/>
                <w:szCs w:val="21"/>
              </w:rPr>
              <w:t>层</w:t>
            </w:r>
            <w:r>
              <w:rPr>
                <w:rFonts w:ascii="宋体" w:hAnsi="宋体" w:cs="Calibri"/>
                <w:color w:val="000000"/>
                <w:szCs w:val="21"/>
              </w:rPr>
              <w:t xml:space="preserve"> </w:t>
            </w:r>
          </w:p>
          <w:p w14:paraId="25D674F3"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2F515802"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www.jianfortune.com</w:t>
            </w:r>
          </w:p>
        </w:tc>
      </w:tr>
      <w:tr w:rsidR="004C06C5" w14:paraId="2D94BF67" w14:textId="77777777">
        <w:tc>
          <w:tcPr>
            <w:tcW w:w="817" w:type="dxa"/>
          </w:tcPr>
          <w:p w14:paraId="3DDC83F0"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25</w:t>
            </w:r>
          </w:p>
        </w:tc>
        <w:tc>
          <w:tcPr>
            <w:tcW w:w="2977" w:type="dxa"/>
          </w:tcPr>
          <w:p w14:paraId="4FBE5897"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方德保险代理有限公司</w:t>
            </w:r>
          </w:p>
        </w:tc>
        <w:tc>
          <w:tcPr>
            <w:tcW w:w="4728" w:type="dxa"/>
          </w:tcPr>
          <w:p w14:paraId="545980DB" w14:textId="77777777" w:rsidR="004C06C5" w:rsidRDefault="00ED474B">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北京市东城区东直门外大街46号12层02室</w:t>
            </w:r>
          </w:p>
          <w:p w14:paraId="08B12FE6" w14:textId="77777777" w:rsidR="004C06C5" w:rsidRDefault="00ED474B">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108731F8"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http://www.fundsure.cn/</w:t>
            </w:r>
          </w:p>
        </w:tc>
      </w:tr>
      <w:tr w:rsidR="004C06C5" w14:paraId="0850FB72" w14:textId="77777777">
        <w:tc>
          <w:tcPr>
            <w:tcW w:w="817" w:type="dxa"/>
          </w:tcPr>
          <w:p w14:paraId="3E7F90C2"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26</w:t>
            </w:r>
          </w:p>
        </w:tc>
        <w:tc>
          <w:tcPr>
            <w:tcW w:w="2977" w:type="dxa"/>
          </w:tcPr>
          <w:p w14:paraId="3EE1411D"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民</w:t>
            </w:r>
            <w:proofErr w:type="gramStart"/>
            <w:r>
              <w:rPr>
                <w:rFonts w:ascii="宋体" w:hAnsi="宋体" w:cs="Calibri" w:hint="eastAsia"/>
                <w:color w:val="000000"/>
                <w:szCs w:val="21"/>
              </w:rPr>
              <w:t>商基金</w:t>
            </w:r>
            <w:proofErr w:type="gramEnd"/>
            <w:r>
              <w:rPr>
                <w:rFonts w:ascii="宋体" w:hAnsi="宋体" w:cs="Calibri" w:hint="eastAsia"/>
                <w:color w:val="000000"/>
                <w:szCs w:val="21"/>
              </w:rPr>
              <w:t>销售（上海）有限公司</w:t>
            </w:r>
          </w:p>
        </w:tc>
        <w:tc>
          <w:tcPr>
            <w:tcW w:w="4728" w:type="dxa"/>
          </w:tcPr>
          <w:p w14:paraId="628BB8D2"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地址：上海黄浦区北京东路</w:t>
            </w:r>
            <w:r>
              <w:rPr>
                <w:rFonts w:ascii="宋体" w:hAnsi="宋体" w:cs="Calibri"/>
                <w:color w:val="000000"/>
                <w:szCs w:val="21"/>
              </w:rPr>
              <w:t>666</w:t>
            </w:r>
            <w:r>
              <w:rPr>
                <w:rFonts w:ascii="宋体" w:hAnsi="宋体" w:cs="Calibri" w:hint="eastAsia"/>
                <w:color w:val="000000"/>
                <w:szCs w:val="21"/>
              </w:rPr>
              <w:t>号</w:t>
            </w:r>
            <w:r>
              <w:rPr>
                <w:rFonts w:ascii="宋体" w:hAnsi="宋体" w:cs="Calibri"/>
                <w:color w:val="000000"/>
                <w:szCs w:val="21"/>
              </w:rPr>
              <w:t>H</w:t>
            </w:r>
            <w:r>
              <w:rPr>
                <w:rFonts w:ascii="宋体" w:hAnsi="宋体" w:cs="Calibri" w:hint="eastAsia"/>
                <w:color w:val="000000"/>
                <w:szCs w:val="21"/>
              </w:rPr>
              <w:t>区（东座）</w:t>
            </w:r>
            <w:r>
              <w:rPr>
                <w:rFonts w:ascii="宋体" w:hAnsi="宋体" w:cs="Calibri"/>
                <w:color w:val="000000"/>
                <w:szCs w:val="21"/>
              </w:rPr>
              <w:t>6</w:t>
            </w:r>
            <w:r>
              <w:rPr>
                <w:rFonts w:ascii="宋体" w:hAnsi="宋体" w:cs="Calibri" w:hint="eastAsia"/>
                <w:color w:val="000000"/>
                <w:szCs w:val="21"/>
              </w:rPr>
              <w:t>楼</w:t>
            </w:r>
            <w:r>
              <w:rPr>
                <w:rFonts w:ascii="宋体" w:hAnsi="宋体" w:cs="Calibri"/>
                <w:color w:val="000000"/>
                <w:szCs w:val="21"/>
              </w:rPr>
              <w:t>A31</w:t>
            </w:r>
            <w:r>
              <w:rPr>
                <w:rFonts w:ascii="宋体" w:hAnsi="宋体" w:cs="Calibri" w:hint="eastAsia"/>
                <w:color w:val="000000"/>
                <w:szCs w:val="21"/>
              </w:rPr>
              <w:t>室</w:t>
            </w:r>
            <w:r>
              <w:rPr>
                <w:rFonts w:ascii="宋体" w:hAnsi="宋体" w:cs="Calibri"/>
                <w:color w:val="000000"/>
                <w:szCs w:val="21"/>
              </w:rPr>
              <w:t xml:space="preserve"> </w:t>
            </w:r>
          </w:p>
          <w:p w14:paraId="253E2E7A"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5D89BE28"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http://www.msftec.com </w:t>
            </w:r>
          </w:p>
        </w:tc>
      </w:tr>
      <w:tr w:rsidR="004C06C5" w14:paraId="77342B73" w14:textId="77777777">
        <w:tc>
          <w:tcPr>
            <w:tcW w:w="817" w:type="dxa"/>
          </w:tcPr>
          <w:p w14:paraId="25CB0202"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27</w:t>
            </w:r>
          </w:p>
        </w:tc>
        <w:tc>
          <w:tcPr>
            <w:tcW w:w="2977" w:type="dxa"/>
          </w:tcPr>
          <w:p w14:paraId="7818C60A"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4728" w:type="dxa"/>
          </w:tcPr>
          <w:p w14:paraId="69725A20"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w:t>
            </w:r>
          </w:p>
          <w:p w14:paraId="62F87E6D"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7216FEA6"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4C06C5" w14:paraId="531F0F69" w14:textId="77777777">
        <w:tc>
          <w:tcPr>
            <w:tcW w:w="817" w:type="dxa"/>
          </w:tcPr>
          <w:p w14:paraId="2773D271"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28</w:t>
            </w:r>
          </w:p>
        </w:tc>
        <w:tc>
          <w:tcPr>
            <w:tcW w:w="2977" w:type="dxa"/>
          </w:tcPr>
          <w:p w14:paraId="215CEFAD" w14:textId="77777777"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扬州国</w:t>
            </w:r>
            <w:proofErr w:type="gramEnd"/>
            <w:r>
              <w:rPr>
                <w:rFonts w:ascii="宋体" w:hAnsi="宋体" w:cs="Calibri" w:hint="eastAsia"/>
                <w:color w:val="000000"/>
                <w:szCs w:val="21"/>
              </w:rPr>
              <w:t>信嘉利基金销售有限公司</w:t>
            </w:r>
          </w:p>
        </w:tc>
        <w:tc>
          <w:tcPr>
            <w:tcW w:w="4728" w:type="dxa"/>
          </w:tcPr>
          <w:p w14:paraId="0563834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地址：扬州市广陵新城信息产业基地</w:t>
            </w:r>
            <w:r>
              <w:rPr>
                <w:rFonts w:ascii="宋体" w:hAnsi="宋体" w:cs="Calibri"/>
                <w:color w:val="000000"/>
                <w:szCs w:val="21"/>
              </w:rPr>
              <w:t>3</w:t>
            </w:r>
            <w:r>
              <w:rPr>
                <w:rFonts w:ascii="宋体" w:hAnsi="宋体" w:cs="Calibri" w:hint="eastAsia"/>
                <w:color w:val="000000"/>
                <w:szCs w:val="21"/>
              </w:rPr>
              <w:t>期</w:t>
            </w:r>
            <w:r>
              <w:rPr>
                <w:rFonts w:ascii="宋体" w:hAnsi="宋体" w:cs="Calibri"/>
                <w:color w:val="000000"/>
                <w:szCs w:val="21"/>
              </w:rPr>
              <w:t>20B</w:t>
            </w:r>
            <w:r>
              <w:rPr>
                <w:rFonts w:ascii="宋体" w:hAnsi="宋体" w:cs="Calibri" w:hint="eastAsia"/>
                <w:color w:val="000000"/>
                <w:szCs w:val="21"/>
              </w:rPr>
              <w:t>栋</w:t>
            </w:r>
            <w:r>
              <w:rPr>
                <w:rFonts w:ascii="宋体" w:hAnsi="宋体" w:cs="Calibri"/>
                <w:color w:val="000000"/>
                <w:szCs w:val="21"/>
              </w:rPr>
              <w:t xml:space="preserve"> </w:t>
            </w:r>
          </w:p>
          <w:p w14:paraId="55B04D47"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400 021 6088</w:t>
            </w:r>
          </w:p>
          <w:p w14:paraId="67917AC0"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www.gxjlcn.com </w:t>
            </w:r>
          </w:p>
        </w:tc>
      </w:tr>
      <w:tr w:rsidR="004C06C5" w14:paraId="532CD914" w14:textId="77777777">
        <w:tc>
          <w:tcPr>
            <w:tcW w:w="817" w:type="dxa"/>
          </w:tcPr>
          <w:p w14:paraId="699F0C0E"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29</w:t>
            </w:r>
          </w:p>
        </w:tc>
        <w:tc>
          <w:tcPr>
            <w:tcW w:w="2977" w:type="dxa"/>
          </w:tcPr>
          <w:p w14:paraId="159E57EB"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4728" w:type="dxa"/>
          </w:tcPr>
          <w:p w14:paraId="769F9C3F"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注册（办公）地址：深圳市罗湖区梨园路物资控股置地大厦</w:t>
            </w:r>
            <w:r>
              <w:rPr>
                <w:rFonts w:ascii="宋体" w:hAnsi="宋体" w:cs="Calibri"/>
                <w:color w:val="000000"/>
                <w:szCs w:val="21"/>
              </w:rPr>
              <w:t>8楼</w:t>
            </w:r>
          </w:p>
          <w:p w14:paraId="643A20D5"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250A86A3"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18" w:history="1">
              <w:r>
                <w:rPr>
                  <w:rFonts w:ascii="宋体" w:hAnsi="宋体" w:cs="Calibri"/>
                  <w:color w:val="000000"/>
                  <w:szCs w:val="21"/>
                </w:rPr>
                <w:t>www.zlfund.cn</w:t>
              </w:r>
            </w:hyperlink>
          </w:p>
          <w:p w14:paraId="1FDBED57"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19" w:history="1">
              <w:r>
                <w:rPr>
                  <w:rFonts w:ascii="宋体" w:hAnsi="宋体" w:cs="Calibri"/>
                  <w:color w:val="000000"/>
                  <w:szCs w:val="21"/>
                </w:rPr>
                <w:t>www.jjmmw.com</w:t>
              </w:r>
            </w:hyperlink>
          </w:p>
        </w:tc>
      </w:tr>
      <w:tr w:rsidR="004C06C5" w14:paraId="6C9856AD" w14:textId="77777777">
        <w:tc>
          <w:tcPr>
            <w:tcW w:w="817" w:type="dxa"/>
          </w:tcPr>
          <w:p w14:paraId="7A90B020"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30</w:t>
            </w:r>
          </w:p>
        </w:tc>
        <w:tc>
          <w:tcPr>
            <w:tcW w:w="2977" w:type="dxa"/>
          </w:tcPr>
          <w:p w14:paraId="1BC1AFFE"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北京蛋卷基金销售有限公司</w:t>
            </w:r>
          </w:p>
        </w:tc>
        <w:tc>
          <w:tcPr>
            <w:tcW w:w="4728" w:type="dxa"/>
          </w:tcPr>
          <w:p w14:paraId="70895A31"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地址：北京市朝阳区阜通东大街</w:t>
            </w:r>
            <w:r>
              <w:rPr>
                <w:rFonts w:ascii="宋体" w:hAnsi="宋体" w:cs="Calibri"/>
                <w:color w:val="000000"/>
                <w:szCs w:val="21"/>
              </w:rPr>
              <w:t>1</w:t>
            </w:r>
            <w:r>
              <w:rPr>
                <w:rFonts w:ascii="宋体" w:hAnsi="宋体" w:cs="Calibri" w:hint="eastAsia"/>
                <w:color w:val="000000"/>
                <w:szCs w:val="21"/>
              </w:rPr>
              <w:t>号院</w:t>
            </w:r>
            <w:r>
              <w:rPr>
                <w:rFonts w:ascii="宋体" w:hAnsi="宋体" w:cs="Calibri"/>
                <w:color w:val="000000"/>
                <w:szCs w:val="21"/>
              </w:rPr>
              <w:t>6</w:t>
            </w:r>
            <w:r>
              <w:rPr>
                <w:rFonts w:ascii="宋体" w:hAnsi="宋体" w:cs="Calibri" w:hint="eastAsia"/>
                <w:color w:val="000000"/>
                <w:szCs w:val="21"/>
              </w:rPr>
              <w:t>号楼</w:t>
            </w:r>
            <w:r>
              <w:rPr>
                <w:rFonts w:ascii="宋体" w:hAnsi="宋体" w:cs="Calibri"/>
                <w:color w:val="000000"/>
                <w:szCs w:val="21"/>
              </w:rPr>
              <w:t>2</w:t>
            </w:r>
            <w:r>
              <w:rPr>
                <w:rFonts w:ascii="宋体" w:hAnsi="宋体" w:cs="Calibri" w:hint="eastAsia"/>
                <w:color w:val="000000"/>
                <w:szCs w:val="21"/>
              </w:rPr>
              <w:t>单元</w:t>
            </w:r>
            <w:r>
              <w:rPr>
                <w:rFonts w:ascii="宋体" w:hAnsi="宋体" w:cs="Calibri"/>
                <w:color w:val="000000"/>
                <w:szCs w:val="21"/>
              </w:rPr>
              <w:t>21</w:t>
            </w:r>
            <w:r>
              <w:rPr>
                <w:rFonts w:ascii="宋体" w:hAnsi="宋体" w:cs="Calibri" w:hint="eastAsia"/>
                <w:color w:val="000000"/>
                <w:szCs w:val="21"/>
              </w:rPr>
              <w:t>层</w:t>
            </w:r>
            <w:r>
              <w:rPr>
                <w:rFonts w:ascii="宋体" w:hAnsi="宋体" w:cs="Calibri"/>
                <w:color w:val="000000"/>
                <w:szCs w:val="21"/>
              </w:rPr>
              <w:t>222507</w:t>
            </w:r>
          </w:p>
          <w:p w14:paraId="60560F7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609C7098"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https://danjuanapp.com/</w:t>
            </w:r>
          </w:p>
        </w:tc>
      </w:tr>
      <w:tr w:rsidR="004C06C5" w14:paraId="2F12258A" w14:textId="77777777">
        <w:tc>
          <w:tcPr>
            <w:tcW w:w="817" w:type="dxa"/>
          </w:tcPr>
          <w:p w14:paraId="2B42146C"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w:t>
            </w:r>
            <w:r>
              <w:rPr>
                <w:rFonts w:ascii="宋体" w:hAnsi="宋体" w:cs="Calibri" w:hint="eastAsia"/>
                <w:color w:val="000000"/>
                <w:szCs w:val="21"/>
              </w:rPr>
              <w:t>1</w:t>
            </w:r>
          </w:p>
        </w:tc>
        <w:tc>
          <w:tcPr>
            <w:tcW w:w="2977" w:type="dxa"/>
          </w:tcPr>
          <w:p w14:paraId="21164A87"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w:t>
            </w:r>
            <w:proofErr w:type="gramStart"/>
            <w:r>
              <w:rPr>
                <w:rFonts w:ascii="宋体" w:hAnsi="宋体" w:cs="Calibri" w:hint="eastAsia"/>
                <w:color w:val="000000"/>
                <w:szCs w:val="21"/>
              </w:rPr>
              <w:t>恒</w:t>
            </w:r>
            <w:proofErr w:type="gramEnd"/>
            <w:r>
              <w:rPr>
                <w:rFonts w:ascii="宋体" w:hAnsi="宋体" w:cs="Calibri" w:hint="eastAsia"/>
                <w:color w:val="000000"/>
                <w:szCs w:val="21"/>
              </w:rPr>
              <w:t>天明</w:t>
            </w:r>
            <w:proofErr w:type="gramStart"/>
            <w:r>
              <w:rPr>
                <w:rFonts w:ascii="宋体" w:hAnsi="宋体" w:cs="Calibri" w:hint="eastAsia"/>
                <w:color w:val="000000"/>
                <w:szCs w:val="21"/>
              </w:rPr>
              <w:t>泽基金</w:t>
            </w:r>
            <w:proofErr w:type="gramEnd"/>
            <w:r>
              <w:rPr>
                <w:rFonts w:ascii="宋体" w:hAnsi="宋体" w:cs="Calibri" w:hint="eastAsia"/>
                <w:color w:val="000000"/>
                <w:szCs w:val="21"/>
              </w:rPr>
              <w:t>销售有限公司</w:t>
            </w:r>
          </w:p>
        </w:tc>
        <w:tc>
          <w:tcPr>
            <w:tcW w:w="4728" w:type="dxa"/>
          </w:tcPr>
          <w:p w14:paraId="6F35E7F8"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w:t>
            </w:r>
            <w:proofErr w:type="gramStart"/>
            <w:r>
              <w:rPr>
                <w:rFonts w:ascii="宋体" w:hAnsi="宋体" w:cs="Calibri" w:hint="eastAsia"/>
                <w:color w:val="000000"/>
                <w:szCs w:val="21"/>
              </w:rPr>
              <w:t>地址地址</w:t>
            </w:r>
            <w:proofErr w:type="gramEnd"/>
            <w:r>
              <w:rPr>
                <w:rFonts w:ascii="宋体" w:hAnsi="宋体" w:cs="Calibri" w:hint="eastAsia"/>
                <w:color w:val="000000"/>
                <w:szCs w:val="21"/>
              </w:rPr>
              <w:t>：北京市朝阳区东三环北路甲</w:t>
            </w:r>
            <w:r>
              <w:rPr>
                <w:rFonts w:ascii="宋体" w:hAnsi="宋体" w:cs="Calibri"/>
                <w:color w:val="000000"/>
                <w:szCs w:val="21"/>
              </w:rPr>
              <w:t>19</w:t>
            </w:r>
            <w:r>
              <w:rPr>
                <w:rFonts w:ascii="宋体" w:hAnsi="宋体" w:cs="Calibri" w:hint="eastAsia"/>
                <w:color w:val="000000"/>
                <w:szCs w:val="21"/>
              </w:rPr>
              <w:t>号</w:t>
            </w:r>
            <w:r>
              <w:rPr>
                <w:rFonts w:ascii="宋体" w:hAnsi="宋体" w:cs="Calibri"/>
                <w:color w:val="000000"/>
                <w:szCs w:val="21"/>
              </w:rPr>
              <w:t>SOHO</w:t>
            </w:r>
            <w:proofErr w:type="gramStart"/>
            <w:r>
              <w:rPr>
                <w:rFonts w:ascii="宋体" w:hAnsi="宋体" w:cs="Calibri" w:hint="eastAsia"/>
                <w:color w:val="000000"/>
                <w:szCs w:val="21"/>
              </w:rPr>
              <w:t>嘉盛中心</w:t>
            </w:r>
            <w:proofErr w:type="gramEnd"/>
            <w:r>
              <w:rPr>
                <w:rFonts w:ascii="宋体" w:hAnsi="宋体" w:cs="Calibri"/>
                <w:color w:val="000000"/>
                <w:szCs w:val="21"/>
              </w:rPr>
              <w:t>30</w:t>
            </w:r>
            <w:r>
              <w:rPr>
                <w:rFonts w:ascii="宋体" w:hAnsi="宋体" w:cs="Calibri" w:hint="eastAsia"/>
                <w:color w:val="000000"/>
                <w:szCs w:val="21"/>
              </w:rPr>
              <w:t>层</w:t>
            </w:r>
            <w:r>
              <w:rPr>
                <w:rFonts w:ascii="宋体" w:hAnsi="宋体" w:cs="Calibri"/>
                <w:color w:val="000000"/>
                <w:szCs w:val="21"/>
              </w:rPr>
              <w:t>3006-3015</w:t>
            </w:r>
            <w:r>
              <w:rPr>
                <w:rFonts w:ascii="宋体" w:hAnsi="宋体" w:cs="Calibri" w:hint="eastAsia"/>
                <w:color w:val="000000"/>
                <w:szCs w:val="21"/>
              </w:rPr>
              <w:t>室</w:t>
            </w:r>
          </w:p>
          <w:p w14:paraId="02110783"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4008980618</w:t>
            </w:r>
          </w:p>
          <w:p w14:paraId="6259EE26"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lastRenderedPageBreak/>
              <w:t>网址：</w:t>
            </w:r>
            <w:r>
              <w:rPr>
                <w:rFonts w:ascii="宋体" w:hAnsi="宋体" w:cs="Calibri"/>
                <w:color w:val="000000"/>
                <w:szCs w:val="21"/>
              </w:rPr>
              <w:t>www.chtwm.com</w:t>
            </w:r>
          </w:p>
        </w:tc>
      </w:tr>
      <w:tr w:rsidR="004C06C5" w14:paraId="5B1A079F" w14:textId="77777777">
        <w:tc>
          <w:tcPr>
            <w:tcW w:w="817" w:type="dxa"/>
          </w:tcPr>
          <w:p w14:paraId="6636E1AB"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lastRenderedPageBreak/>
              <w:t>3</w:t>
            </w:r>
            <w:r>
              <w:rPr>
                <w:rFonts w:ascii="宋体" w:hAnsi="宋体" w:cs="Calibri" w:hint="eastAsia"/>
                <w:color w:val="000000"/>
                <w:szCs w:val="21"/>
              </w:rPr>
              <w:t>2</w:t>
            </w:r>
          </w:p>
        </w:tc>
        <w:tc>
          <w:tcPr>
            <w:tcW w:w="2977" w:type="dxa"/>
          </w:tcPr>
          <w:p w14:paraId="627C4259"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4728" w:type="dxa"/>
          </w:tcPr>
          <w:p w14:paraId="540A3961"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办公地址：广东省深圳市南山区高新南十道</w:t>
            </w:r>
            <w:r>
              <w:rPr>
                <w:rFonts w:ascii="宋体" w:hAnsi="宋体" w:cs="Calibri"/>
                <w:color w:val="000000"/>
                <w:szCs w:val="21"/>
              </w:rPr>
              <w:t xml:space="preserve"> </w:t>
            </w:r>
            <w:r>
              <w:rPr>
                <w:rFonts w:ascii="宋体" w:hAnsi="宋体" w:cs="Calibri" w:hint="eastAsia"/>
                <w:color w:val="000000"/>
                <w:szCs w:val="21"/>
              </w:rPr>
              <w:t>深圳湾科技</w:t>
            </w:r>
            <w:proofErr w:type="gramStart"/>
            <w:r>
              <w:rPr>
                <w:rFonts w:ascii="宋体" w:hAnsi="宋体" w:cs="Calibri" w:hint="eastAsia"/>
                <w:color w:val="000000"/>
                <w:szCs w:val="21"/>
              </w:rPr>
              <w:t>生态园三区</w:t>
            </w:r>
            <w:proofErr w:type="gramEnd"/>
            <w:r>
              <w:rPr>
                <w:rFonts w:ascii="宋体" w:hAnsi="宋体" w:cs="Calibri"/>
                <w:color w:val="000000"/>
                <w:szCs w:val="21"/>
              </w:rPr>
              <w:t>11栋A座3608室</w:t>
            </w:r>
          </w:p>
          <w:p w14:paraId="27483168"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179C1D3A"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caiho.cn</w:t>
            </w:r>
          </w:p>
        </w:tc>
      </w:tr>
      <w:tr w:rsidR="004C06C5" w14:paraId="6C4E30AB" w14:textId="77777777">
        <w:tc>
          <w:tcPr>
            <w:tcW w:w="817" w:type="dxa"/>
          </w:tcPr>
          <w:p w14:paraId="10A33887"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w:t>
            </w:r>
            <w:r>
              <w:rPr>
                <w:rFonts w:ascii="宋体" w:hAnsi="宋体" w:cs="Calibri" w:hint="eastAsia"/>
                <w:color w:val="000000"/>
                <w:szCs w:val="21"/>
              </w:rPr>
              <w:t>3</w:t>
            </w:r>
          </w:p>
        </w:tc>
        <w:tc>
          <w:tcPr>
            <w:tcW w:w="2977" w:type="dxa"/>
          </w:tcPr>
          <w:p w14:paraId="60BC5DBF"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深圳盈信基金销售有限公司</w:t>
            </w:r>
          </w:p>
        </w:tc>
        <w:tc>
          <w:tcPr>
            <w:tcW w:w="4728" w:type="dxa"/>
          </w:tcPr>
          <w:p w14:paraId="356545E6"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(办公)地址：深圳市福田区莲花街道商报</w:t>
            </w:r>
            <w:proofErr w:type="gramStart"/>
            <w:r>
              <w:rPr>
                <w:rFonts w:ascii="宋体" w:hAnsi="宋体" w:cs="Calibri"/>
                <w:color w:val="000000"/>
                <w:szCs w:val="21"/>
              </w:rPr>
              <w:t>东路英</w:t>
            </w:r>
            <w:proofErr w:type="gramEnd"/>
            <w:r>
              <w:rPr>
                <w:rFonts w:ascii="宋体" w:hAnsi="宋体" w:cs="Calibri"/>
                <w:color w:val="000000"/>
                <w:szCs w:val="21"/>
              </w:rPr>
              <w:t>龙商务大厦8楼A-1（811-812）</w:t>
            </w:r>
          </w:p>
          <w:p w14:paraId="0937566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4007-903-688</w:t>
            </w:r>
          </w:p>
          <w:p w14:paraId="2AFAA30F"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http://www.fundying.com/</w:t>
            </w:r>
          </w:p>
        </w:tc>
      </w:tr>
      <w:tr w:rsidR="004C06C5" w14:paraId="2AF23E4B" w14:textId="77777777">
        <w:tc>
          <w:tcPr>
            <w:tcW w:w="817" w:type="dxa"/>
          </w:tcPr>
          <w:p w14:paraId="0EADEF22"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34</w:t>
            </w:r>
          </w:p>
        </w:tc>
        <w:tc>
          <w:tcPr>
            <w:tcW w:w="2977" w:type="dxa"/>
          </w:tcPr>
          <w:p w14:paraId="41BBAB1E"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上海挖财基金销售有限公司</w:t>
            </w:r>
          </w:p>
        </w:tc>
        <w:tc>
          <w:tcPr>
            <w:tcW w:w="4728" w:type="dxa"/>
          </w:tcPr>
          <w:p w14:paraId="57A0677A"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中国（上海）自由贸易试验区扬高南路</w:t>
            </w:r>
            <w:r>
              <w:rPr>
                <w:rFonts w:ascii="宋体" w:hAnsi="宋体" w:cs="Calibri"/>
                <w:color w:val="000000"/>
                <w:szCs w:val="21"/>
              </w:rPr>
              <w:t>799</w:t>
            </w:r>
            <w:r>
              <w:rPr>
                <w:rFonts w:ascii="宋体" w:hAnsi="宋体" w:cs="Calibri" w:hint="eastAsia"/>
                <w:color w:val="000000"/>
                <w:szCs w:val="21"/>
              </w:rPr>
              <w:t>号</w:t>
            </w:r>
            <w:r>
              <w:rPr>
                <w:rFonts w:ascii="宋体" w:hAnsi="宋体" w:cs="Calibri"/>
                <w:color w:val="000000"/>
                <w:szCs w:val="21"/>
              </w:rPr>
              <w:t>5</w:t>
            </w:r>
            <w:r>
              <w:rPr>
                <w:rFonts w:ascii="宋体" w:hAnsi="宋体" w:cs="Calibri" w:hint="eastAsia"/>
                <w:color w:val="000000"/>
                <w:szCs w:val="21"/>
              </w:rPr>
              <w:t>楼</w:t>
            </w:r>
            <w:r>
              <w:rPr>
                <w:rFonts w:ascii="宋体" w:hAnsi="宋体" w:cs="Calibri"/>
                <w:color w:val="000000"/>
                <w:szCs w:val="21"/>
              </w:rPr>
              <w:t>01</w:t>
            </w:r>
            <w:r>
              <w:rPr>
                <w:rFonts w:ascii="宋体" w:hAnsi="宋体" w:cs="Calibri" w:hint="eastAsia"/>
                <w:color w:val="000000"/>
                <w:szCs w:val="21"/>
              </w:rPr>
              <w:t>、</w:t>
            </w:r>
            <w:r>
              <w:rPr>
                <w:rFonts w:ascii="宋体" w:hAnsi="宋体" w:cs="Calibri"/>
                <w:color w:val="000000"/>
                <w:szCs w:val="21"/>
              </w:rPr>
              <w:t>02</w:t>
            </w:r>
            <w:r>
              <w:rPr>
                <w:rFonts w:ascii="宋体" w:hAnsi="宋体" w:cs="Calibri" w:hint="eastAsia"/>
                <w:color w:val="000000"/>
                <w:szCs w:val="21"/>
              </w:rPr>
              <w:t>、</w:t>
            </w:r>
            <w:r>
              <w:rPr>
                <w:rFonts w:ascii="宋体" w:hAnsi="宋体" w:cs="Calibri"/>
                <w:color w:val="000000"/>
                <w:szCs w:val="21"/>
              </w:rPr>
              <w:t>03</w:t>
            </w:r>
            <w:r>
              <w:rPr>
                <w:rFonts w:ascii="宋体" w:hAnsi="宋体" w:cs="Calibri" w:hint="eastAsia"/>
                <w:color w:val="000000"/>
                <w:szCs w:val="21"/>
              </w:rPr>
              <w:t>室</w:t>
            </w:r>
          </w:p>
          <w:p w14:paraId="3FAE9B65"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14:paraId="288C56FF"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w:t>
            </w:r>
            <w:hyperlink r:id="rId20" w:history="1">
              <w:r>
                <w:rPr>
                  <w:rFonts w:ascii="宋体" w:hAnsi="宋体" w:cs="Calibri"/>
                  <w:color w:val="000000"/>
                  <w:szCs w:val="21"/>
                </w:rPr>
                <w:t>www.wacaijijin.com</w:t>
              </w:r>
            </w:hyperlink>
          </w:p>
        </w:tc>
      </w:tr>
      <w:tr w:rsidR="004C06C5" w14:paraId="611FB0CC" w14:textId="77777777">
        <w:tc>
          <w:tcPr>
            <w:tcW w:w="817" w:type="dxa"/>
          </w:tcPr>
          <w:p w14:paraId="2A4C8BEE"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35</w:t>
            </w:r>
          </w:p>
        </w:tc>
        <w:tc>
          <w:tcPr>
            <w:tcW w:w="2977" w:type="dxa"/>
          </w:tcPr>
          <w:p w14:paraId="55A0E447"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4728" w:type="dxa"/>
          </w:tcPr>
          <w:p w14:paraId="18626830"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14:paraId="1243BE9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4BF3C029"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www.noah-fund.com</w:t>
            </w:r>
          </w:p>
        </w:tc>
      </w:tr>
      <w:tr w:rsidR="004C06C5" w14:paraId="6D7DCBE0" w14:textId="77777777">
        <w:tc>
          <w:tcPr>
            <w:tcW w:w="817" w:type="dxa"/>
          </w:tcPr>
          <w:p w14:paraId="17CE5C07"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36</w:t>
            </w:r>
          </w:p>
        </w:tc>
        <w:tc>
          <w:tcPr>
            <w:tcW w:w="2977" w:type="dxa"/>
          </w:tcPr>
          <w:p w14:paraId="62AD2AD1"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4728" w:type="dxa"/>
          </w:tcPr>
          <w:p w14:paraId="28508F8F"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(办公)地址：上海市黄浦区西藏南路765号602-115室 </w:t>
            </w:r>
          </w:p>
          <w:p w14:paraId="35A02F8D"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5D4CFC74"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www.vstonewealth.com</w:t>
            </w:r>
          </w:p>
        </w:tc>
      </w:tr>
      <w:tr w:rsidR="004C06C5" w14:paraId="067741FF" w14:textId="77777777">
        <w:tc>
          <w:tcPr>
            <w:tcW w:w="817" w:type="dxa"/>
          </w:tcPr>
          <w:p w14:paraId="0E033322"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37</w:t>
            </w:r>
          </w:p>
        </w:tc>
        <w:tc>
          <w:tcPr>
            <w:tcW w:w="2977" w:type="dxa"/>
          </w:tcPr>
          <w:p w14:paraId="2BCD626A" w14:textId="77777777"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泰信财富</w:t>
            </w:r>
            <w:proofErr w:type="gramEnd"/>
            <w:r>
              <w:rPr>
                <w:rFonts w:ascii="宋体" w:hAnsi="宋体" w:cs="Calibri" w:hint="eastAsia"/>
                <w:color w:val="000000"/>
                <w:szCs w:val="21"/>
              </w:rPr>
              <w:t>基金销售有限公司</w:t>
            </w:r>
          </w:p>
        </w:tc>
        <w:tc>
          <w:tcPr>
            <w:tcW w:w="4728" w:type="dxa"/>
          </w:tcPr>
          <w:p w14:paraId="014545CB"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(办公)地址： </w:t>
            </w:r>
            <w:r>
              <w:rPr>
                <w:rFonts w:ascii="宋体" w:hAnsi="宋体" w:cs="Calibri" w:hint="eastAsia"/>
                <w:color w:val="000000"/>
                <w:szCs w:val="21"/>
              </w:rPr>
              <w:t>北京市朝阳区建国路甲</w:t>
            </w:r>
            <w:r>
              <w:rPr>
                <w:rFonts w:ascii="宋体" w:hAnsi="宋体" w:cs="Calibri"/>
                <w:color w:val="000000"/>
                <w:szCs w:val="21"/>
              </w:rPr>
              <w:t>92号世贸大厦C座18层</w:t>
            </w:r>
          </w:p>
          <w:p w14:paraId="59932295"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14:paraId="7CA2A3EA"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www.hxlc.com</w:t>
            </w:r>
          </w:p>
        </w:tc>
      </w:tr>
      <w:tr w:rsidR="004C06C5" w14:paraId="5C78A8C6" w14:textId="77777777">
        <w:tc>
          <w:tcPr>
            <w:tcW w:w="817" w:type="dxa"/>
          </w:tcPr>
          <w:p w14:paraId="282B7C06"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38</w:t>
            </w:r>
          </w:p>
        </w:tc>
        <w:tc>
          <w:tcPr>
            <w:tcW w:w="2977" w:type="dxa"/>
          </w:tcPr>
          <w:p w14:paraId="2741C859"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w:t>
            </w:r>
            <w:proofErr w:type="gramStart"/>
            <w:r>
              <w:rPr>
                <w:rFonts w:ascii="宋体" w:hAnsi="宋体" w:cs="Calibri" w:hint="eastAsia"/>
                <w:color w:val="000000"/>
                <w:szCs w:val="21"/>
              </w:rPr>
              <w:t>唐鼎耀</w:t>
            </w:r>
            <w:proofErr w:type="gramEnd"/>
            <w:r>
              <w:rPr>
                <w:rFonts w:ascii="宋体" w:hAnsi="宋体" w:cs="Calibri" w:hint="eastAsia"/>
                <w:color w:val="000000"/>
                <w:szCs w:val="21"/>
              </w:rPr>
              <w:t>华基金销售有限公司</w:t>
            </w:r>
          </w:p>
        </w:tc>
        <w:tc>
          <w:tcPr>
            <w:tcW w:w="4728" w:type="dxa"/>
          </w:tcPr>
          <w:p w14:paraId="21AFD3D4"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北京市延庆县延庆经济开发区</w:t>
            </w:r>
            <w:proofErr w:type="gramStart"/>
            <w:r>
              <w:rPr>
                <w:rFonts w:ascii="宋体" w:hAnsi="宋体" w:cs="Calibri" w:hint="eastAsia"/>
                <w:color w:val="000000"/>
                <w:szCs w:val="21"/>
              </w:rPr>
              <w:t>百泉街10号</w:t>
            </w:r>
            <w:proofErr w:type="gramEnd"/>
            <w:r>
              <w:rPr>
                <w:rFonts w:ascii="宋体" w:hAnsi="宋体" w:cs="Calibri" w:hint="eastAsia"/>
                <w:color w:val="000000"/>
                <w:szCs w:val="21"/>
              </w:rPr>
              <w:t>2栋236室</w:t>
            </w:r>
          </w:p>
          <w:p w14:paraId="715E2928"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400-819-9868</w:t>
            </w:r>
          </w:p>
          <w:p w14:paraId="445DC5C3"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http://www.tdyhfund.com/Index</w:t>
            </w:r>
          </w:p>
        </w:tc>
      </w:tr>
      <w:tr w:rsidR="004C06C5" w14:paraId="1B816EBE" w14:textId="77777777">
        <w:tc>
          <w:tcPr>
            <w:tcW w:w="817" w:type="dxa"/>
          </w:tcPr>
          <w:p w14:paraId="1BEF9317"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39</w:t>
            </w:r>
          </w:p>
        </w:tc>
        <w:tc>
          <w:tcPr>
            <w:tcW w:w="2977" w:type="dxa"/>
          </w:tcPr>
          <w:p w14:paraId="50EAA70E"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上海利得基金销售有限公司</w:t>
            </w:r>
          </w:p>
        </w:tc>
        <w:tc>
          <w:tcPr>
            <w:tcW w:w="4728" w:type="dxa"/>
          </w:tcPr>
          <w:p w14:paraId="5517ABC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注册地址：上海市宝山区蕴川路5475号1033室</w:t>
            </w:r>
          </w:p>
          <w:p w14:paraId="082626D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14:paraId="3AAD0ABB"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www.leadfund.com.cn</w:t>
            </w:r>
          </w:p>
        </w:tc>
      </w:tr>
      <w:tr w:rsidR="004C06C5" w14:paraId="2A30ED5A" w14:textId="77777777">
        <w:tc>
          <w:tcPr>
            <w:tcW w:w="817" w:type="dxa"/>
          </w:tcPr>
          <w:p w14:paraId="4F823B73"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40</w:t>
            </w:r>
          </w:p>
        </w:tc>
        <w:tc>
          <w:tcPr>
            <w:tcW w:w="2977" w:type="dxa"/>
          </w:tcPr>
          <w:p w14:paraId="522F8F1B"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南京苏宁基金销售有限公司</w:t>
            </w:r>
          </w:p>
        </w:tc>
        <w:tc>
          <w:tcPr>
            <w:tcW w:w="4728" w:type="dxa"/>
          </w:tcPr>
          <w:p w14:paraId="0591E0F8"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 :南京市玄武区苏宁大道1-6号</w:t>
            </w:r>
          </w:p>
          <w:p w14:paraId="48703B9F"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客户服务电话：025-66996699</w:t>
            </w:r>
          </w:p>
          <w:p w14:paraId="14AC1F14"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lastRenderedPageBreak/>
              <w:t>网址：</w:t>
            </w:r>
            <w:r w:rsidR="00FA67CC">
              <w:fldChar w:fldCharType="begin"/>
            </w:r>
            <w:r w:rsidR="00FA67CC">
              <w:instrText xml:space="preserve"> HYPERLINK "http://www.snjijin" </w:instrText>
            </w:r>
            <w:r w:rsidR="00FA67CC">
              <w:fldChar w:fldCharType="separate"/>
            </w:r>
            <w:r>
              <w:rPr>
                <w:rStyle w:val="aff9"/>
                <w:rFonts w:ascii="宋体" w:hAnsi="宋体" w:cs="Calibri"/>
                <w:szCs w:val="21"/>
              </w:rPr>
              <w:t>www.snjijin</w:t>
            </w:r>
            <w:r w:rsidR="00FA67CC">
              <w:rPr>
                <w:rStyle w:val="aff9"/>
                <w:rFonts w:ascii="宋体" w:hAnsi="宋体" w:cs="Calibri"/>
                <w:szCs w:val="21"/>
              </w:rPr>
              <w:fldChar w:fldCharType="end"/>
            </w:r>
            <w:r>
              <w:rPr>
                <w:rFonts w:ascii="宋体" w:hAnsi="宋体" w:cs="Calibri" w:hint="eastAsia"/>
                <w:color w:val="000000"/>
                <w:szCs w:val="21"/>
              </w:rPr>
              <w:t>.com</w:t>
            </w:r>
          </w:p>
        </w:tc>
      </w:tr>
      <w:tr w:rsidR="004C06C5" w14:paraId="4CEA365F" w14:textId="77777777">
        <w:tc>
          <w:tcPr>
            <w:tcW w:w="817" w:type="dxa"/>
          </w:tcPr>
          <w:p w14:paraId="320E5A2E"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lastRenderedPageBreak/>
              <w:t>41</w:t>
            </w:r>
          </w:p>
        </w:tc>
        <w:tc>
          <w:tcPr>
            <w:tcW w:w="2977" w:type="dxa"/>
          </w:tcPr>
          <w:p w14:paraId="6BA6714C"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中证金牛（北京）投资咨询有限公司</w:t>
            </w:r>
          </w:p>
        </w:tc>
        <w:tc>
          <w:tcPr>
            <w:tcW w:w="4728" w:type="dxa"/>
          </w:tcPr>
          <w:p w14:paraId="6B55619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14:paraId="458E277D"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客户服务电话：4008-909-998</w:t>
            </w:r>
          </w:p>
          <w:p w14:paraId="798DB874"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网址：www.jnlc.com</w:t>
            </w:r>
          </w:p>
        </w:tc>
      </w:tr>
      <w:tr w:rsidR="004C06C5" w14:paraId="0352F878" w14:textId="77777777">
        <w:tc>
          <w:tcPr>
            <w:tcW w:w="817" w:type="dxa"/>
          </w:tcPr>
          <w:p w14:paraId="5034BAA5"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42</w:t>
            </w:r>
          </w:p>
        </w:tc>
        <w:tc>
          <w:tcPr>
            <w:tcW w:w="2977" w:type="dxa"/>
          </w:tcPr>
          <w:p w14:paraId="11E92782"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江苏汇林保大基金销售有限公司</w:t>
            </w:r>
          </w:p>
        </w:tc>
        <w:tc>
          <w:tcPr>
            <w:tcW w:w="4728" w:type="dxa"/>
          </w:tcPr>
          <w:p w14:paraId="389D585B"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南京市高淳区经济开发区古檀大道47号</w:t>
            </w:r>
          </w:p>
          <w:p w14:paraId="07536265"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24F26D2C"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网址：www.huilinbd.com</w:t>
            </w:r>
          </w:p>
        </w:tc>
      </w:tr>
      <w:tr w:rsidR="004C06C5" w14:paraId="6504AF34" w14:textId="77777777">
        <w:tc>
          <w:tcPr>
            <w:tcW w:w="817" w:type="dxa"/>
          </w:tcPr>
          <w:p w14:paraId="2112D203"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43</w:t>
            </w:r>
          </w:p>
        </w:tc>
        <w:tc>
          <w:tcPr>
            <w:tcW w:w="2977" w:type="dxa"/>
          </w:tcPr>
          <w:p w14:paraId="6A0F7C54" w14:textId="77777777"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4728" w:type="dxa"/>
          </w:tcPr>
          <w:p w14:paraId="6F219F0B"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77DF64D9"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502CE2C6"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www.licaimofang.cn</w:t>
            </w:r>
          </w:p>
        </w:tc>
      </w:tr>
      <w:tr w:rsidR="004C06C5" w14:paraId="5674623F" w14:textId="77777777">
        <w:tc>
          <w:tcPr>
            <w:tcW w:w="817" w:type="dxa"/>
          </w:tcPr>
          <w:p w14:paraId="7FC23F98"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44</w:t>
            </w:r>
          </w:p>
        </w:tc>
        <w:tc>
          <w:tcPr>
            <w:tcW w:w="2977" w:type="dxa"/>
          </w:tcPr>
          <w:p w14:paraId="5A0EA506" w14:textId="77777777"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4728" w:type="dxa"/>
          </w:tcPr>
          <w:p w14:paraId="7EDDCC4A"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1DF32F6B"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156ECB27"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http://www.yixinfund.com/</w:t>
            </w:r>
          </w:p>
        </w:tc>
      </w:tr>
      <w:tr w:rsidR="004C06C5" w14:paraId="5015D303" w14:textId="77777777">
        <w:tc>
          <w:tcPr>
            <w:tcW w:w="817" w:type="dxa"/>
          </w:tcPr>
          <w:p w14:paraId="49E9E4E0"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45</w:t>
            </w:r>
          </w:p>
        </w:tc>
        <w:tc>
          <w:tcPr>
            <w:tcW w:w="2977" w:type="dxa"/>
          </w:tcPr>
          <w:p w14:paraId="2CFE44FC"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喜鹊财富基金销售有限公司</w:t>
            </w:r>
          </w:p>
        </w:tc>
        <w:tc>
          <w:tcPr>
            <w:tcW w:w="4728" w:type="dxa"/>
          </w:tcPr>
          <w:p w14:paraId="31A948B2"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西藏拉萨市柳梧新区柳梧大厦1513室</w:t>
            </w:r>
          </w:p>
          <w:p w14:paraId="4656A3A3"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客户服务电话：400-699-7719</w:t>
            </w:r>
          </w:p>
          <w:p w14:paraId="04D08F4B"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网址：www.xiquefund.com</w:t>
            </w:r>
          </w:p>
        </w:tc>
      </w:tr>
      <w:tr w:rsidR="004C06C5" w14:paraId="51A49304" w14:textId="77777777">
        <w:tc>
          <w:tcPr>
            <w:tcW w:w="817" w:type="dxa"/>
          </w:tcPr>
          <w:p w14:paraId="704CFEB7" w14:textId="77777777"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46</w:t>
            </w:r>
          </w:p>
        </w:tc>
        <w:tc>
          <w:tcPr>
            <w:tcW w:w="2977" w:type="dxa"/>
          </w:tcPr>
          <w:p w14:paraId="54D4B082" w14:textId="77777777"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bCs/>
                <w:color w:val="000000"/>
                <w:szCs w:val="21"/>
              </w:rPr>
              <w:t>安信证券股份有限公司</w:t>
            </w:r>
          </w:p>
        </w:tc>
        <w:tc>
          <w:tcPr>
            <w:tcW w:w="4728" w:type="dxa"/>
          </w:tcPr>
          <w:p w14:paraId="7E845925"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深圳市福田区金田路4018号安联大厦35层、28层A02单元</w:t>
            </w:r>
          </w:p>
          <w:p w14:paraId="365CCC30" w14:textId="77777777"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客户服务电话：95517</w:t>
            </w:r>
          </w:p>
          <w:p w14:paraId="21122F12" w14:textId="77777777"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网址：http://www.essence.com.cn/</w:t>
            </w:r>
          </w:p>
        </w:tc>
      </w:tr>
    </w:tbl>
    <w:p w14:paraId="31A8D340" w14:textId="77777777" w:rsidR="004C06C5" w:rsidRDefault="004C06C5">
      <w:pPr>
        <w:snapToGrid w:val="0"/>
        <w:spacing w:line="360" w:lineRule="auto"/>
        <w:ind w:firstLineChars="200" w:firstLine="420"/>
        <w:rPr>
          <w:rFonts w:ascii="Arial Unicode MS" w:hAnsi="Arial Unicode MS" w:cs="Arial"/>
          <w:color w:val="000000"/>
          <w:kern w:val="0"/>
          <w:szCs w:val="21"/>
        </w:rPr>
      </w:pPr>
    </w:p>
    <w:p w14:paraId="34BD0D13" w14:textId="77777777" w:rsidR="004C06C5" w:rsidRDefault="00ED474B">
      <w:pPr>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14:paraId="53AB6F0A"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r>
        <w:rPr>
          <w:rFonts w:ascii="Arial Unicode MS" w:hAnsi="Arial Unicode MS" w:cs="Arial" w:hint="eastAsia"/>
          <w:kern w:val="0"/>
          <w:szCs w:val="21"/>
        </w:rPr>
        <w:t xml:space="preserve"> </w:t>
      </w:r>
    </w:p>
    <w:p w14:paraId="72CFA401"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住所：广东省广州市南沙区海滨路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 xml:space="preserve">J20 </w:t>
      </w:r>
    </w:p>
    <w:p w14:paraId="22D39E3F"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2B6A8F4F"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r>
        <w:rPr>
          <w:rFonts w:ascii="Arial Unicode MS" w:hAnsi="Arial Unicode MS" w:cs="Arial" w:hint="eastAsia"/>
          <w:kern w:val="0"/>
          <w:szCs w:val="21"/>
        </w:rPr>
        <w:t xml:space="preserve"> </w:t>
      </w:r>
    </w:p>
    <w:p w14:paraId="32089AEC"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联系人：黄文飞</w:t>
      </w:r>
    </w:p>
    <w:p w14:paraId="0F2C25AE"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 xml:space="preserve"> 0755-84356604</w:t>
      </w:r>
    </w:p>
    <w:p w14:paraId="2BAE44C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传真：</w:t>
      </w:r>
      <w:r>
        <w:rPr>
          <w:rFonts w:ascii="Arial Unicode MS" w:hAnsi="Arial Unicode MS" w:cs="Arial" w:hint="eastAsia"/>
          <w:kern w:val="0"/>
          <w:szCs w:val="21"/>
        </w:rPr>
        <w:t xml:space="preserve"> 0755-83230787</w:t>
      </w:r>
    </w:p>
    <w:p w14:paraId="579235FA" w14:textId="77777777"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14:paraId="1F2D98EE" w14:textId="77777777"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名称：上海市通力律师事务所</w:t>
      </w:r>
    </w:p>
    <w:p w14:paraId="3350A586" w14:textId="77777777"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住所：上海市银城中路</w:t>
      </w:r>
      <w:r>
        <w:rPr>
          <w:rFonts w:ascii="Arial Unicode MS" w:hAnsi="Arial Unicode MS" w:cs="Arial" w:hint="eastAsia"/>
          <w:color w:val="000000"/>
          <w:kern w:val="0"/>
          <w:szCs w:val="21"/>
        </w:rPr>
        <w:t>68</w:t>
      </w:r>
      <w:r>
        <w:rPr>
          <w:rFonts w:ascii="Arial Unicode MS" w:hAnsi="Arial Unicode MS" w:cs="Arial" w:hint="eastAsia"/>
          <w:color w:val="000000"/>
          <w:kern w:val="0"/>
          <w:szCs w:val="21"/>
        </w:rPr>
        <w:t>号时代金融中心</w:t>
      </w:r>
      <w:r>
        <w:rPr>
          <w:rFonts w:ascii="Arial Unicode MS" w:hAnsi="Arial Unicode MS" w:cs="Arial" w:hint="eastAsia"/>
          <w:color w:val="000000"/>
          <w:kern w:val="0"/>
          <w:szCs w:val="21"/>
        </w:rPr>
        <w:t>19</w:t>
      </w:r>
      <w:r>
        <w:rPr>
          <w:rFonts w:ascii="Arial Unicode MS" w:hAnsi="Arial Unicode MS" w:cs="Arial" w:hint="eastAsia"/>
          <w:color w:val="000000"/>
          <w:kern w:val="0"/>
          <w:szCs w:val="21"/>
        </w:rPr>
        <w:t>楼</w:t>
      </w:r>
    </w:p>
    <w:p w14:paraId="37EACEF6" w14:textId="77777777"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办公地址：上海市银城中路</w:t>
      </w:r>
      <w:r>
        <w:rPr>
          <w:rFonts w:ascii="Arial Unicode MS" w:hAnsi="Arial Unicode MS" w:cs="Arial" w:hint="eastAsia"/>
          <w:color w:val="000000"/>
          <w:kern w:val="0"/>
          <w:szCs w:val="21"/>
        </w:rPr>
        <w:t>68</w:t>
      </w:r>
      <w:r>
        <w:rPr>
          <w:rFonts w:ascii="Arial Unicode MS" w:hAnsi="Arial Unicode MS" w:cs="Arial" w:hint="eastAsia"/>
          <w:color w:val="000000"/>
          <w:kern w:val="0"/>
          <w:szCs w:val="21"/>
        </w:rPr>
        <w:t>号时代金融中心</w:t>
      </w:r>
      <w:r>
        <w:rPr>
          <w:rFonts w:ascii="Arial Unicode MS" w:hAnsi="Arial Unicode MS" w:cs="Arial" w:hint="eastAsia"/>
          <w:color w:val="000000"/>
          <w:kern w:val="0"/>
          <w:szCs w:val="21"/>
        </w:rPr>
        <w:t>19</w:t>
      </w:r>
      <w:r>
        <w:rPr>
          <w:rFonts w:ascii="Arial Unicode MS" w:hAnsi="Arial Unicode MS" w:cs="Arial" w:hint="eastAsia"/>
          <w:color w:val="000000"/>
          <w:kern w:val="0"/>
          <w:szCs w:val="21"/>
        </w:rPr>
        <w:t>楼</w:t>
      </w:r>
    </w:p>
    <w:p w14:paraId="46127F92" w14:textId="77777777"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负责人：俞卫锋</w:t>
      </w:r>
    </w:p>
    <w:p w14:paraId="4EB4D376" w14:textId="77777777"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021-31358666</w:t>
      </w:r>
    </w:p>
    <w:p w14:paraId="0A214464" w14:textId="77777777"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021-31358600</w:t>
      </w:r>
    </w:p>
    <w:p w14:paraId="394960BC" w14:textId="77777777"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经办律师：安冬</w:t>
      </w:r>
      <w:r>
        <w:rPr>
          <w:rFonts w:ascii="Arial Unicode MS" w:hAnsi="Arial Unicode MS" w:cs="Arial" w:hint="eastAsia"/>
          <w:color w:val="000000"/>
          <w:kern w:val="0"/>
          <w:szCs w:val="21"/>
        </w:rPr>
        <w:t xml:space="preserve"> </w:t>
      </w:r>
      <w:r>
        <w:rPr>
          <w:rFonts w:ascii="Arial Unicode MS" w:hAnsi="Arial Unicode MS" w:cs="Arial" w:hint="eastAsia"/>
          <w:color w:val="000000"/>
          <w:kern w:val="0"/>
          <w:szCs w:val="21"/>
        </w:rPr>
        <w:t>陆奇</w:t>
      </w:r>
    </w:p>
    <w:p w14:paraId="4F10CCCF" w14:textId="77777777" w:rsidR="004C06C5" w:rsidRDefault="00ED474B">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w:t>
      </w:r>
      <w:r>
        <w:rPr>
          <w:rFonts w:ascii="Arial Unicode MS" w:hAnsi="Arial Unicode MS" w:cs="Arial" w:hint="eastAsia"/>
          <w:color w:val="000000"/>
          <w:kern w:val="0"/>
          <w:szCs w:val="21"/>
        </w:rPr>
        <w:t xml:space="preserve"> </w:t>
      </w:r>
      <w:r>
        <w:rPr>
          <w:rFonts w:ascii="Arial Unicode MS" w:hAnsi="Arial Unicode MS" w:cs="Arial" w:hint="eastAsia"/>
          <w:color w:val="000000"/>
          <w:kern w:val="0"/>
          <w:szCs w:val="21"/>
        </w:rPr>
        <w:t>安冬</w:t>
      </w:r>
    </w:p>
    <w:p w14:paraId="528E0A19" w14:textId="77777777"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2E264650" w14:textId="77777777"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名称：安永华明会计师事务所（特殊普通合伙）</w:t>
      </w:r>
    </w:p>
    <w:p w14:paraId="0D642DC1" w14:textId="77777777"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住所：中国北京市东城区东长安街</w:t>
      </w:r>
      <w:r>
        <w:rPr>
          <w:rFonts w:ascii="Arial" w:hAnsi="Arial" w:cs="Arial" w:hint="eastAsia"/>
          <w:color w:val="000000"/>
          <w:kern w:val="0"/>
          <w:szCs w:val="21"/>
        </w:rPr>
        <w:t>1</w:t>
      </w:r>
      <w:r>
        <w:rPr>
          <w:rFonts w:ascii="Arial" w:hAnsi="Arial" w:cs="Arial" w:hint="eastAsia"/>
          <w:color w:val="000000"/>
          <w:kern w:val="0"/>
          <w:szCs w:val="21"/>
        </w:rPr>
        <w:t>号东方广场安永大楼</w:t>
      </w:r>
      <w:r>
        <w:rPr>
          <w:rFonts w:ascii="Arial" w:hAnsi="Arial" w:cs="Arial" w:hint="eastAsia"/>
          <w:color w:val="000000"/>
          <w:kern w:val="0"/>
          <w:szCs w:val="21"/>
        </w:rPr>
        <w:t>16</w:t>
      </w:r>
      <w:r>
        <w:rPr>
          <w:rFonts w:ascii="Arial" w:hAnsi="Arial" w:cs="Arial" w:hint="eastAsia"/>
          <w:color w:val="000000"/>
          <w:kern w:val="0"/>
          <w:szCs w:val="21"/>
        </w:rPr>
        <w:t>层</w:t>
      </w:r>
    </w:p>
    <w:p w14:paraId="573BEB8D" w14:textId="77777777"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办公地址：中国北京市东城区东长安街</w:t>
      </w:r>
      <w:r>
        <w:rPr>
          <w:rFonts w:ascii="Arial" w:hAnsi="Arial" w:cs="Arial" w:hint="eastAsia"/>
          <w:color w:val="000000"/>
          <w:kern w:val="0"/>
          <w:szCs w:val="21"/>
        </w:rPr>
        <w:t>1</w:t>
      </w:r>
      <w:r>
        <w:rPr>
          <w:rFonts w:ascii="Arial" w:hAnsi="Arial" w:cs="Arial" w:hint="eastAsia"/>
          <w:color w:val="000000"/>
          <w:kern w:val="0"/>
          <w:szCs w:val="21"/>
        </w:rPr>
        <w:t>号东方广场安永大楼</w:t>
      </w:r>
      <w:r>
        <w:rPr>
          <w:rFonts w:ascii="Arial" w:hAnsi="Arial" w:cs="Arial" w:hint="eastAsia"/>
          <w:color w:val="000000"/>
          <w:kern w:val="0"/>
          <w:szCs w:val="21"/>
        </w:rPr>
        <w:t>16</w:t>
      </w:r>
      <w:r>
        <w:rPr>
          <w:rFonts w:ascii="Arial" w:hAnsi="Arial" w:cs="Arial" w:hint="eastAsia"/>
          <w:color w:val="000000"/>
          <w:kern w:val="0"/>
          <w:szCs w:val="21"/>
        </w:rPr>
        <w:t>层</w:t>
      </w:r>
    </w:p>
    <w:p w14:paraId="30C86108" w14:textId="77777777"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法定代表人：</w:t>
      </w:r>
      <w:proofErr w:type="gramStart"/>
      <w:r>
        <w:rPr>
          <w:rFonts w:ascii="Arial" w:hAnsi="Arial" w:cs="Arial" w:hint="eastAsia"/>
          <w:color w:val="000000"/>
          <w:kern w:val="0"/>
          <w:szCs w:val="21"/>
        </w:rPr>
        <w:t>毛鞍宁</w:t>
      </w:r>
      <w:proofErr w:type="gramEnd"/>
    </w:p>
    <w:p w14:paraId="123F3D76" w14:textId="77777777"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电话：</w:t>
      </w:r>
      <w:r>
        <w:rPr>
          <w:rFonts w:ascii="Arial" w:hAnsi="Arial" w:cs="Arial" w:hint="eastAsia"/>
          <w:color w:val="000000"/>
          <w:kern w:val="0"/>
          <w:szCs w:val="21"/>
        </w:rPr>
        <w:t>+86 10 58153000</w:t>
      </w:r>
    </w:p>
    <w:p w14:paraId="1F258B45" w14:textId="77777777"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传真：</w:t>
      </w:r>
      <w:r>
        <w:rPr>
          <w:rFonts w:ascii="Arial" w:hAnsi="Arial" w:cs="Arial" w:hint="eastAsia"/>
          <w:color w:val="000000"/>
          <w:kern w:val="0"/>
          <w:szCs w:val="21"/>
        </w:rPr>
        <w:t>+86 10 85188298</w:t>
      </w:r>
    </w:p>
    <w:p w14:paraId="7E5CA0C4" w14:textId="77777777"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签字注册会计师：吴翠蓉</w:t>
      </w:r>
      <w:r>
        <w:rPr>
          <w:rFonts w:ascii="Arial" w:hAnsi="Arial" w:cs="Arial" w:hint="eastAsia"/>
          <w:color w:val="000000"/>
          <w:kern w:val="0"/>
          <w:szCs w:val="21"/>
        </w:rPr>
        <w:t xml:space="preserve">  </w:t>
      </w:r>
      <w:r>
        <w:rPr>
          <w:rFonts w:ascii="Arial" w:hAnsi="Arial" w:cs="Arial" w:hint="eastAsia"/>
          <w:color w:val="000000"/>
          <w:kern w:val="0"/>
          <w:szCs w:val="21"/>
        </w:rPr>
        <w:t>高鹤</w:t>
      </w:r>
    </w:p>
    <w:p w14:paraId="42908314" w14:textId="77777777" w:rsidR="004C06C5" w:rsidRDefault="00ED474B">
      <w:pPr>
        <w:adjustRightInd w:val="0"/>
        <w:snapToGrid w:val="0"/>
        <w:spacing w:line="360" w:lineRule="auto"/>
        <w:ind w:firstLineChars="200" w:firstLine="420"/>
        <w:rPr>
          <w:rFonts w:ascii="Arial Unicode MS" w:hAnsi="Arial Unicode MS" w:cs="Arial"/>
          <w:kern w:val="0"/>
          <w:szCs w:val="21"/>
        </w:rPr>
        <w:sectPr w:rsidR="004C06C5">
          <w:footerReference w:type="first" r:id="rId21"/>
          <w:pgSz w:w="11906" w:h="16838"/>
          <w:pgMar w:top="1440" w:right="1800" w:bottom="1440" w:left="1800" w:header="851" w:footer="992" w:gutter="0"/>
          <w:cols w:space="720"/>
          <w:titlePg/>
          <w:docGrid w:linePitch="312"/>
        </w:sectPr>
      </w:pPr>
      <w:r>
        <w:rPr>
          <w:rFonts w:ascii="Arial" w:hAnsi="Arial" w:cs="Arial" w:hint="eastAsia"/>
          <w:color w:val="000000"/>
          <w:kern w:val="0"/>
          <w:szCs w:val="21"/>
        </w:rPr>
        <w:t>联系人：吴翠蓉</w:t>
      </w:r>
    </w:p>
    <w:p w14:paraId="3D01641E" w14:textId="77777777"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27" w:name="_Toc12357169"/>
      <w:bookmarkStart w:id="28" w:name="_Toc21073389"/>
      <w:bookmarkStart w:id="29" w:name="_Toc147463116"/>
      <w:bookmarkStart w:id="30" w:name="_Toc317088540"/>
      <w:bookmarkStart w:id="31" w:name="_Toc317088143"/>
      <w:bookmarkStart w:id="32" w:name="_Toc335232694"/>
      <w:bookmarkStart w:id="33" w:name="_Toc214873595"/>
      <w:bookmarkStart w:id="34" w:name="_Toc1464061"/>
      <w:bookmarkStart w:id="35" w:name="_Toc320887645"/>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7"/>
      <w:bookmarkEnd w:id="28"/>
      <w:bookmarkEnd w:id="29"/>
      <w:r>
        <w:rPr>
          <w:rFonts w:ascii="Arial Unicode MS" w:eastAsia="宋体" w:hAnsi="Arial Unicode MS" w:cs="Arial"/>
          <w:b/>
          <w:bCs/>
          <w:sz w:val="28"/>
          <w:szCs w:val="28"/>
        </w:rPr>
        <w:t>基金份额的发售</w:t>
      </w:r>
      <w:bookmarkEnd w:id="30"/>
      <w:bookmarkEnd w:id="31"/>
      <w:bookmarkEnd w:id="32"/>
      <w:bookmarkEnd w:id="33"/>
      <w:bookmarkEnd w:id="34"/>
      <w:bookmarkEnd w:id="35"/>
    </w:p>
    <w:p w14:paraId="796AA22B" w14:textId="77777777" w:rsidR="004C06C5" w:rsidRDefault="004C06C5">
      <w:pPr>
        <w:rPr>
          <w:rFonts w:ascii="Arial Unicode MS" w:hAnsi="Arial Unicode MS"/>
          <w:lang w:val="zh-CN"/>
        </w:rPr>
      </w:pPr>
    </w:p>
    <w:p w14:paraId="0ADC5292" w14:textId="77777777"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bookmarkStart w:id="36" w:name="_Toc21073390"/>
      <w:bookmarkStart w:id="37" w:name="_Toc12357170"/>
      <w:bookmarkStart w:id="38" w:name="_Toc147463117"/>
      <w:r>
        <w:rPr>
          <w:rFonts w:ascii="Arial Unicode MS" w:hAnsi="Arial Unicode MS" w:cs="Arial"/>
          <w:szCs w:val="21"/>
        </w:rPr>
        <w:t>基金管理人按照《基金法》、《运作办法》、《销售办法》、基金合同及其他有关规定募集本基金，并于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5</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w:t>
      </w:r>
      <w:r>
        <w:rPr>
          <w:rFonts w:ascii="Arial Unicode MS" w:hAnsi="Arial Unicode MS" w:cs="Arial"/>
          <w:szCs w:val="21"/>
        </w:rPr>
        <w:t>经</w:t>
      </w:r>
      <w:r>
        <w:rPr>
          <w:rFonts w:ascii="Arial Unicode MS" w:hAnsi="Arial Unicode MS" w:cs="Arial"/>
          <w:kern w:val="0"/>
          <w:szCs w:val="21"/>
        </w:rPr>
        <w:t>中国证监会证监许可</w:t>
      </w:r>
      <w:r>
        <w:rPr>
          <w:rFonts w:ascii="Arial Unicode MS" w:hAnsi="Arial Unicode MS" w:cs="Arial" w:hint="eastAsia"/>
          <w:kern w:val="0"/>
          <w:szCs w:val="21"/>
        </w:rPr>
        <w:t>[2017]717</w:t>
      </w:r>
      <w:r>
        <w:rPr>
          <w:rFonts w:ascii="Arial Unicode MS" w:hAnsi="Arial Unicode MS" w:cs="Arial" w:hint="eastAsia"/>
          <w:kern w:val="0"/>
          <w:szCs w:val="21"/>
        </w:rPr>
        <w:t>号</w:t>
      </w:r>
      <w:r>
        <w:rPr>
          <w:rFonts w:ascii="Arial Unicode MS" w:hAnsi="Arial Unicode MS" w:cs="Arial"/>
          <w:kern w:val="0"/>
          <w:szCs w:val="21"/>
        </w:rPr>
        <w:t>文</w:t>
      </w:r>
      <w:r>
        <w:rPr>
          <w:rFonts w:ascii="Arial Unicode MS" w:hAnsi="Arial Unicode MS" w:cs="Arial" w:hint="eastAsia"/>
          <w:szCs w:val="21"/>
        </w:rPr>
        <w:t>准予</w:t>
      </w:r>
      <w:r>
        <w:rPr>
          <w:rFonts w:ascii="Arial Unicode MS" w:hAnsi="Arial Unicode MS" w:cs="Arial"/>
          <w:szCs w:val="21"/>
        </w:rPr>
        <w:t>募集</w:t>
      </w:r>
      <w:r>
        <w:rPr>
          <w:rFonts w:ascii="Arial Unicode MS" w:hAnsi="Arial Unicode MS" w:cs="Arial" w:hint="eastAsia"/>
          <w:szCs w:val="21"/>
        </w:rPr>
        <w:t>注册</w:t>
      </w:r>
      <w:r>
        <w:rPr>
          <w:rFonts w:ascii="Arial Unicode MS" w:hAnsi="Arial Unicode MS" w:cs="Arial"/>
          <w:szCs w:val="21"/>
        </w:rPr>
        <w:t>。</w:t>
      </w:r>
      <w:r>
        <w:rPr>
          <w:rFonts w:ascii="Arial Unicode MS" w:hAnsi="Arial Unicode MS" w:cs="Arial" w:hint="eastAsia"/>
          <w:szCs w:val="21"/>
        </w:rPr>
        <w:t>本基金于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11</w:t>
      </w:r>
      <w:r>
        <w:rPr>
          <w:rFonts w:ascii="Arial Unicode MS" w:hAnsi="Arial Unicode MS" w:cs="Arial" w:hint="eastAsia"/>
          <w:szCs w:val="21"/>
        </w:rPr>
        <w:t>月</w:t>
      </w:r>
      <w:r>
        <w:rPr>
          <w:rFonts w:ascii="Arial Unicode MS" w:hAnsi="Arial Unicode MS" w:cs="Arial" w:hint="eastAsia"/>
          <w:szCs w:val="21"/>
        </w:rPr>
        <w:t>14</w:t>
      </w:r>
      <w:r>
        <w:rPr>
          <w:rFonts w:ascii="Arial Unicode MS" w:hAnsi="Arial Unicode MS" w:cs="Arial" w:hint="eastAsia"/>
          <w:szCs w:val="21"/>
        </w:rPr>
        <w:t>日起通过各销售机构向社会公开募集，截至</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日，基金募集工作已顺利结束。</w:t>
      </w:r>
    </w:p>
    <w:p w14:paraId="415863C3" w14:textId="77777777" w:rsidR="004C06C5" w:rsidRDefault="004C06C5">
      <w:pPr>
        <w:autoSpaceDE w:val="0"/>
        <w:autoSpaceDN w:val="0"/>
        <w:adjustRightInd w:val="0"/>
        <w:snapToGrid w:val="0"/>
        <w:spacing w:line="360" w:lineRule="auto"/>
        <w:ind w:firstLine="454"/>
        <w:rPr>
          <w:rFonts w:ascii="Arial Unicode MS" w:hAnsi="Arial Unicode MS" w:cs="Arial"/>
          <w:kern w:val="0"/>
          <w:szCs w:val="21"/>
        </w:rPr>
      </w:pPr>
    </w:p>
    <w:p w14:paraId="76F7F692"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21BB2ADD"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24682273"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49FE582A"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3D891A8D"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4FCC5E26"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6E44CA38"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600EAE31"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2E3D84B7"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09191E13"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23A37E38"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522DF07A"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476F52C2"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14C6BF89"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27AEA331"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71B76005"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22EB9C20"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43D1384A"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4C693F5B"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7CB0630B"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15D486CC"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154405DF"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6DA1F39B"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790B78F7" w14:textId="77777777"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14:paraId="482C9F14" w14:textId="77777777" w:rsidR="004C06C5" w:rsidRDefault="00ED474B">
      <w:pPr>
        <w:pStyle w:val="11"/>
        <w:snapToGrid w:val="0"/>
        <w:spacing w:before="0" w:after="0" w:line="360" w:lineRule="auto"/>
        <w:ind w:firstLine="422"/>
        <w:rPr>
          <w:rFonts w:ascii="Arial Unicode MS" w:eastAsia="宋体" w:hAnsi="Arial Unicode MS" w:cs="Arial"/>
          <w:b/>
          <w:bCs/>
          <w:sz w:val="28"/>
          <w:szCs w:val="28"/>
          <w:lang w:val="en-US"/>
        </w:rPr>
      </w:pPr>
      <w:bookmarkStart w:id="39" w:name="_Toc317088541"/>
      <w:bookmarkStart w:id="40" w:name="_Toc317088144"/>
      <w:bookmarkStart w:id="41" w:name="_Toc214873596"/>
      <w:bookmarkStart w:id="42" w:name="_Toc1464062"/>
      <w:bookmarkStart w:id="43" w:name="_Toc320887646"/>
      <w:bookmarkStart w:id="44" w:name="_Toc335232695"/>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lang w:val="en-US"/>
        </w:rPr>
        <w:t xml:space="preserve">  </w:t>
      </w:r>
      <w:r>
        <w:rPr>
          <w:rFonts w:ascii="Arial Unicode MS" w:eastAsia="宋体" w:hAnsi="Arial Unicode MS" w:cs="Arial"/>
          <w:b/>
          <w:bCs/>
          <w:sz w:val="28"/>
          <w:szCs w:val="28"/>
        </w:rPr>
        <w:t>基金</w:t>
      </w:r>
      <w:bookmarkEnd w:id="36"/>
      <w:bookmarkEnd w:id="37"/>
      <w:bookmarkEnd w:id="38"/>
      <w:bookmarkEnd w:id="39"/>
      <w:bookmarkEnd w:id="40"/>
      <w:bookmarkEnd w:id="41"/>
      <w:r>
        <w:rPr>
          <w:rFonts w:ascii="Arial Unicode MS" w:eastAsia="宋体" w:hAnsi="Arial Unicode MS" w:cs="Arial" w:hint="eastAsia"/>
          <w:b/>
          <w:bCs/>
          <w:sz w:val="28"/>
          <w:szCs w:val="28"/>
        </w:rPr>
        <w:t>合同的生效</w:t>
      </w:r>
      <w:bookmarkEnd w:id="42"/>
      <w:bookmarkEnd w:id="43"/>
      <w:bookmarkEnd w:id="44"/>
    </w:p>
    <w:p w14:paraId="72DFAC23" w14:textId="77777777"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根据《基金法》、《运作办法》以及基金合同、招募说明书、基金份额发售公告的有关规定，本基金募集结果符合有关条件，本基金管理人于2018年2月7日向中国证监会办理完毕基金备案手续并已获书面确认，基金合同自该日期正式生效。自基金合同生效之日起，本基金管理人正式开始管理本基金。</w:t>
      </w:r>
    </w:p>
    <w:p w14:paraId="09DBADCF" w14:textId="77777777" w:rsidR="004C06C5" w:rsidRDefault="00A42DB6">
      <w:pPr>
        <w:spacing w:line="360" w:lineRule="auto"/>
        <w:ind w:firstLineChars="200" w:firstLine="420"/>
        <w:rPr>
          <w:rFonts w:ascii="宋体" w:hAnsi="宋体"/>
          <w:color w:val="000000"/>
          <w:kern w:val="0"/>
          <w:szCs w:val="21"/>
        </w:rPr>
      </w:pPr>
      <w:r w:rsidRPr="00A42DB6">
        <w:rPr>
          <w:rFonts w:ascii="宋体" w:hAnsi="宋体" w:hint="eastAsia"/>
          <w:color w:val="000000"/>
          <w:kern w:val="0"/>
          <w:szCs w:val="21"/>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4BA791AD" w14:textId="77777777"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法律法规或监管机构另有规定时，从其规定。</w:t>
      </w:r>
    </w:p>
    <w:p w14:paraId="768C6B84" w14:textId="77777777" w:rsidR="004C06C5" w:rsidRDefault="004C06C5">
      <w:pPr>
        <w:spacing w:line="360" w:lineRule="auto"/>
        <w:ind w:firstLineChars="200" w:firstLine="420"/>
        <w:rPr>
          <w:rFonts w:ascii="宋体" w:hAnsi="宋体"/>
          <w:color w:val="000000"/>
          <w:kern w:val="0"/>
          <w:szCs w:val="21"/>
        </w:rPr>
      </w:pPr>
    </w:p>
    <w:p w14:paraId="0405A6B6"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67D93C0D" w14:textId="77777777" w:rsidR="004C06C5" w:rsidRDefault="00ED474B">
      <w:pPr>
        <w:rPr>
          <w:rFonts w:ascii="Arial Unicode MS" w:hAnsi="Arial Unicode MS" w:cs="Arial"/>
          <w:szCs w:val="21"/>
        </w:rPr>
      </w:pPr>
      <w:r>
        <w:rPr>
          <w:rFonts w:ascii="Arial Unicode MS" w:hAnsi="Arial Unicode MS" w:cs="Arial"/>
          <w:szCs w:val="21"/>
        </w:rPr>
        <w:br w:type="page"/>
      </w:r>
      <w:bookmarkStart w:id="45" w:name="_Toc21073391"/>
      <w:bookmarkStart w:id="46" w:name="_Toc12357171"/>
      <w:bookmarkStart w:id="47" w:name="_Toc214873597"/>
      <w:bookmarkStart w:id="48" w:name="_Toc147463118"/>
    </w:p>
    <w:p w14:paraId="13E1B7CF" w14:textId="77777777"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49" w:name="_Toc317088145"/>
      <w:bookmarkStart w:id="50" w:name="_Toc320887647"/>
      <w:bookmarkStart w:id="51" w:name="_Toc317088542"/>
      <w:bookmarkStart w:id="52" w:name="_Toc335232696"/>
      <w:bookmarkStart w:id="53" w:name="_Toc146406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45"/>
      <w:bookmarkEnd w:id="46"/>
      <w:bookmarkEnd w:id="47"/>
      <w:bookmarkEnd w:id="48"/>
      <w:bookmarkEnd w:id="49"/>
      <w:bookmarkEnd w:id="50"/>
      <w:bookmarkEnd w:id="51"/>
      <w:bookmarkEnd w:id="52"/>
      <w:bookmarkEnd w:id="53"/>
    </w:p>
    <w:p w14:paraId="5555480E" w14:textId="77777777" w:rsidR="004C06C5" w:rsidRDefault="004C06C5">
      <w:pPr>
        <w:rPr>
          <w:rFonts w:ascii="Arial Unicode MS" w:hAnsi="Arial Unicode MS"/>
          <w:lang w:val="zh-CN"/>
        </w:rPr>
      </w:pPr>
    </w:p>
    <w:p w14:paraId="43BA2258" w14:textId="77777777" w:rsidR="004C06C5" w:rsidRDefault="00ED474B">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56C45AF7"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本基金的销售机构包括基金管理人和基金管理人委托的其他销售机构，具体的销售机构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45E29D22" w14:textId="77777777" w:rsidR="004C06C5" w:rsidRDefault="00ED474B">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21B2EE4E" w14:textId="77777777" w:rsidR="004C06C5" w:rsidRDefault="00ED474B">
      <w:pPr>
        <w:adjustRightInd w:val="0"/>
        <w:snapToGrid w:val="0"/>
        <w:spacing w:line="360" w:lineRule="auto"/>
        <w:ind w:firstLineChars="200" w:firstLine="420"/>
        <w:rPr>
          <w:rFonts w:ascii="Arial Unicode MS" w:hAnsi="Arial Unicode MS" w:cs="Arial"/>
          <w:kern w:val="0"/>
          <w:szCs w:val="21"/>
        </w:rPr>
      </w:pPr>
      <w:bookmarkStart w:id="54" w:name="_Toc510842719"/>
      <w:r>
        <w:rPr>
          <w:rFonts w:ascii="Arial Unicode MS" w:hAnsi="Arial Unicode MS" w:cs="Arial" w:hint="eastAsia"/>
          <w:kern w:val="0"/>
          <w:szCs w:val="21"/>
        </w:rPr>
        <w:t>1</w:t>
      </w:r>
      <w:r>
        <w:rPr>
          <w:rFonts w:ascii="Arial Unicode MS" w:hAnsi="Arial Unicode MS" w:cs="Arial" w:hint="eastAsia"/>
          <w:kern w:val="0"/>
          <w:szCs w:val="21"/>
        </w:rPr>
        <w:t>、开放日及开放时间</w:t>
      </w:r>
    </w:p>
    <w:p w14:paraId="686CEEB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开放日的具体业务办理时间在招募说明书或相关公告中载明。</w:t>
      </w:r>
    </w:p>
    <w:p w14:paraId="360ECE2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710788A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、申购、赎回开始日及业务办理时间</w:t>
      </w:r>
    </w:p>
    <w:p w14:paraId="4913653C" w14:textId="77777777"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本基金已于2018年2月22日开始办理申购、赎回业务。</w:t>
      </w:r>
    </w:p>
    <w:p w14:paraId="081F898A" w14:textId="77777777" w:rsidR="004C06C5" w:rsidRDefault="00ED474B">
      <w:pPr>
        <w:adjustRightInd w:val="0"/>
        <w:snapToGrid w:val="0"/>
        <w:spacing w:line="360" w:lineRule="auto"/>
        <w:ind w:firstLineChars="200" w:firstLine="420"/>
        <w:rPr>
          <w:rFonts w:ascii="宋体" w:hAnsi="宋体"/>
          <w:color w:val="000000"/>
          <w:kern w:val="0"/>
          <w:szCs w:val="21"/>
        </w:rPr>
      </w:pPr>
      <w:r>
        <w:rPr>
          <w:rFonts w:ascii="Arial Unicode MS" w:hAnsi="Arial Unicode MS" w:cs="Arial" w:hint="eastAsia"/>
          <w:kern w:val="0"/>
          <w:szCs w:val="21"/>
        </w:rPr>
        <w:t>基金管理人不得在基金合同约定之外的日期或者时间办理基金份额的申购、赎回或者转换。投资人在基金合同约定之外的日期和时间提出申购、赎回或转换申请</w:t>
      </w:r>
      <w:proofErr w:type="gramStart"/>
      <w:r>
        <w:rPr>
          <w:rFonts w:ascii="Arial Unicode MS" w:hAnsi="Arial Unicode MS" w:cs="Arial" w:hint="eastAsia"/>
          <w:kern w:val="0"/>
          <w:szCs w:val="21"/>
        </w:rPr>
        <w:t>且登记</w:t>
      </w:r>
      <w:proofErr w:type="gramEnd"/>
      <w:r>
        <w:rPr>
          <w:rFonts w:ascii="Arial Unicode MS" w:hAnsi="Arial Unicode MS" w:cs="Arial" w:hint="eastAsia"/>
          <w:kern w:val="0"/>
          <w:szCs w:val="21"/>
        </w:rPr>
        <w:t>机构确认接受的，其基金份额申购、赎回价格为下一开放日基金份额申购、赎回的价格。</w:t>
      </w:r>
    </w:p>
    <w:bookmarkEnd w:id="54"/>
    <w:p w14:paraId="3CEC2556" w14:textId="77777777" w:rsidR="004C06C5" w:rsidRDefault="00ED474B">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4A61228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、“未知价”原则，即申购、赎回价格以申请当日收市后计算的基金份额净值为基准进行计算；</w:t>
      </w:r>
    </w:p>
    <w:p w14:paraId="0B77013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、“金额申购、份额赎回”原则，即申购以金额申请，赎回以份额申请；</w:t>
      </w:r>
    </w:p>
    <w:p w14:paraId="6F76893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、当日的申购与赎回申请可以在基金管理人规定的时间以内撤销；</w:t>
      </w:r>
    </w:p>
    <w:p w14:paraId="317A4AC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、赎回遵循“先进先出”原则，即按照投资人认购、申购的先后次序进行顺序赎回；</w:t>
      </w:r>
    </w:p>
    <w:p w14:paraId="3B93D22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、投资者办理申购、赎回等业务时应提交的文件和办理手续、办理时间、处理规则等在遵守基金合同和招募说明书规定的前提下，以各销售机构的具体规定为准。</w:t>
      </w:r>
    </w:p>
    <w:p w14:paraId="30F28A9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基金管理人可在法律法规允许的情况下，对上述原则进行调整。基金管理人必须在新规则开始实施前依照《信息披露办法》的有关规定在指定媒介公告。</w:t>
      </w:r>
    </w:p>
    <w:p w14:paraId="63BBD44A" w14:textId="77777777" w:rsidR="004C06C5" w:rsidRDefault="00ED474B">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lastRenderedPageBreak/>
        <w:t>四、申购与赎回的数额限制</w:t>
      </w:r>
    </w:p>
    <w:p w14:paraId="37CC0A6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、首次申购本基金</w:t>
      </w:r>
      <w:r>
        <w:rPr>
          <w:rFonts w:ascii="Arial" w:hAnsi="Arial" w:cs="Arial" w:hint="eastAsia"/>
          <w:szCs w:val="21"/>
        </w:rPr>
        <w:t>A</w:t>
      </w:r>
      <w:r>
        <w:rPr>
          <w:rFonts w:ascii="Arial" w:hAnsi="Arial" w:cs="Arial" w:hint="eastAsia"/>
          <w:szCs w:val="21"/>
        </w:rPr>
        <w:t>类基金份额或</w:t>
      </w:r>
      <w:r>
        <w:rPr>
          <w:rFonts w:ascii="Arial" w:hAnsi="Arial" w:cs="Arial" w:hint="eastAsia"/>
          <w:szCs w:val="21"/>
        </w:rPr>
        <w:t>C</w:t>
      </w:r>
      <w:r>
        <w:rPr>
          <w:rFonts w:ascii="Arial" w:hAnsi="Arial" w:cs="Arial" w:hint="eastAsia"/>
          <w:szCs w:val="21"/>
        </w:rPr>
        <w:t>类基金份额</w:t>
      </w:r>
      <w:r>
        <w:rPr>
          <w:rFonts w:ascii="Arial Unicode MS" w:hAnsi="Arial Unicode MS" w:cs="Arial" w:hint="eastAsia"/>
          <w:kern w:val="0"/>
          <w:szCs w:val="21"/>
        </w:rPr>
        <w:t>的最低金额为</w:t>
      </w:r>
      <w:r>
        <w:rPr>
          <w:rFonts w:ascii="Arial Unicode MS" w:hAnsi="Arial Unicode MS" w:cs="Arial" w:hint="eastAsia"/>
          <w:kern w:val="0"/>
          <w:szCs w:val="21"/>
        </w:rPr>
        <w:t>1.00</w:t>
      </w:r>
      <w:r>
        <w:rPr>
          <w:rFonts w:ascii="Arial Unicode MS" w:hAnsi="Arial Unicode MS" w:cs="Arial" w:hint="eastAsia"/>
          <w:kern w:val="0"/>
          <w:szCs w:val="21"/>
        </w:rPr>
        <w:t>元，追加申购的最低金额为</w:t>
      </w:r>
      <w:r>
        <w:rPr>
          <w:rFonts w:ascii="Arial Unicode MS" w:hAnsi="Arial Unicode MS" w:cs="Arial" w:hint="eastAsia"/>
          <w:kern w:val="0"/>
          <w:szCs w:val="21"/>
        </w:rPr>
        <w:t>1.00</w:t>
      </w:r>
      <w:r>
        <w:rPr>
          <w:rFonts w:ascii="Arial Unicode MS" w:hAnsi="Arial Unicode MS" w:cs="Arial" w:hint="eastAsia"/>
          <w:kern w:val="0"/>
          <w:szCs w:val="21"/>
        </w:rPr>
        <w:t>元；</w:t>
      </w:r>
      <w:r>
        <w:rPr>
          <w:rFonts w:ascii="Arial Unicode MS" w:hAnsi="Arial Unicode MS" w:cs="Arial"/>
          <w:kern w:val="0"/>
          <w:szCs w:val="21"/>
        </w:rPr>
        <w:t>详情请见当地销售机构公告</w:t>
      </w:r>
      <w:r>
        <w:rPr>
          <w:rFonts w:ascii="Arial Unicode MS" w:hAnsi="Arial Unicode MS" w:cs="Arial" w:hint="eastAsia"/>
          <w:kern w:val="0"/>
          <w:szCs w:val="21"/>
        </w:rPr>
        <w:t>；</w:t>
      </w:r>
    </w:p>
    <w:p w14:paraId="29B6E98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、每个交易账户最低持有基金份额余额为</w:t>
      </w:r>
      <w:r>
        <w:rPr>
          <w:rFonts w:ascii="Arial Unicode MS" w:hAnsi="Arial Unicode MS" w:cs="Arial" w:hint="eastAsia"/>
          <w:kern w:val="0"/>
          <w:szCs w:val="21"/>
        </w:rPr>
        <w:t>1</w:t>
      </w:r>
      <w:r>
        <w:rPr>
          <w:rFonts w:ascii="Arial Unicode MS" w:hAnsi="Arial Unicode MS" w:cs="Arial" w:hint="eastAsia"/>
          <w:kern w:val="0"/>
          <w:szCs w:val="21"/>
        </w:rPr>
        <w:t>份，若某笔赎回导致单个交易账户的基金份额余额少于</w:t>
      </w:r>
      <w:r>
        <w:rPr>
          <w:rFonts w:ascii="Arial Unicode MS" w:hAnsi="Arial Unicode MS" w:cs="Arial" w:hint="eastAsia"/>
          <w:kern w:val="0"/>
          <w:szCs w:val="21"/>
        </w:rPr>
        <w:t>1</w:t>
      </w:r>
      <w:r>
        <w:rPr>
          <w:rFonts w:ascii="Arial Unicode MS" w:hAnsi="Arial Unicode MS" w:cs="Arial" w:hint="eastAsia"/>
          <w:kern w:val="0"/>
          <w:szCs w:val="21"/>
        </w:rPr>
        <w:t>份时，余额部分基金份额必须一同赎回；</w:t>
      </w:r>
      <w:r>
        <w:rPr>
          <w:rFonts w:ascii="Arial Unicode MS" w:hAnsi="Arial Unicode MS" w:cs="Arial" w:hint="eastAsia"/>
          <w:kern w:val="0"/>
          <w:szCs w:val="21"/>
        </w:rPr>
        <w:t xml:space="preserve"> </w:t>
      </w:r>
    </w:p>
    <w:p w14:paraId="6928D18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、本基金目前对单个投资人累计持有份额不设上限限制，将来基金管理人可以规定单个投资者累计持有的基金份额数量限制，具体规定见定期更新的招募说明书或相关公告；</w:t>
      </w:r>
    </w:p>
    <w:p w14:paraId="5DFB15D0" w14:textId="77777777"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4</w:t>
      </w:r>
      <w:r>
        <w:rPr>
          <w:rFonts w:asciiTheme="minorEastAsia" w:eastAsiaTheme="minorEastAsia" w:hAnsiTheme="minorEastAsia"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0480AA60" w14:textId="77777777"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5</w:t>
      </w:r>
      <w:r>
        <w:rPr>
          <w:rFonts w:asciiTheme="minorEastAsia" w:eastAsiaTheme="minorEastAsia" w:hAnsiTheme="minorEastAsia" w:hint="eastAsia"/>
          <w:bCs/>
          <w:szCs w:val="21"/>
        </w:rPr>
        <w:t>、基金管理人可在法律法规允许的情况下，调整上述规定申购金额和赎回份额等数量限制。基金管理人必须在调整实施前依照《信息披露办法》的有关规定在指定媒介上公告。</w:t>
      </w:r>
    </w:p>
    <w:p w14:paraId="5714E83C" w14:textId="77777777" w:rsidR="004C06C5" w:rsidRDefault="00ED474B">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581E2AF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w:t>
      </w:r>
      <w:r>
        <w:rPr>
          <w:rFonts w:ascii="Arial Unicode MS" w:hAnsi="Arial Unicode MS" w:cs="Arial"/>
          <w:kern w:val="0"/>
          <w:szCs w:val="21"/>
        </w:rPr>
        <w:t>申购和赎回的申请方式</w:t>
      </w:r>
    </w:p>
    <w:p w14:paraId="18628E5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投资人必须根据销售机构规定的程序，在开放日的具体业务办理时间内提出申购或赎回的申请。</w:t>
      </w:r>
    </w:p>
    <w:p w14:paraId="17FC305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hint="eastAsia"/>
          <w:kern w:val="0"/>
          <w:szCs w:val="21"/>
        </w:rPr>
        <w:t>、</w:t>
      </w:r>
      <w:r>
        <w:rPr>
          <w:rFonts w:ascii="Arial Unicode MS" w:hAnsi="Arial Unicode MS" w:cs="Arial"/>
          <w:kern w:val="0"/>
          <w:szCs w:val="21"/>
        </w:rPr>
        <w:t>申购和赎回的款项支付</w:t>
      </w:r>
    </w:p>
    <w:p w14:paraId="40D7806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投资人申购基金份额时，必须</w:t>
      </w:r>
      <w:r>
        <w:rPr>
          <w:rFonts w:ascii="Arial Unicode MS" w:hAnsi="Arial Unicode MS" w:cs="Arial" w:hint="eastAsia"/>
          <w:kern w:val="0"/>
          <w:szCs w:val="21"/>
        </w:rPr>
        <w:t>在规定时间前</w:t>
      </w:r>
      <w:r>
        <w:rPr>
          <w:rFonts w:ascii="Arial Unicode MS" w:hAnsi="Arial Unicode MS" w:cs="Arial"/>
          <w:kern w:val="0"/>
          <w:szCs w:val="21"/>
        </w:rPr>
        <w:t>全额交付申购款项，投资人</w:t>
      </w:r>
      <w:r>
        <w:rPr>
          <w:rFonts w:ascii="Arial Unicode MS" w:hAnsi="Arial Unicode MS" w:cs="Arial" w:hint="eastAsia"/>
          <w:kern w:val="0"/>
          <w:szCs w:val="21"/>
        </w:rPr>
        <w:t>在规定时间前全额</w:t>
      </w:r>
      <w:r>
        <w:rPr>
          <w:rFonts w:ascii="Arial Unicode MS" w:hAnsi="Arial Unicode MS" w:cs="Arial"/>
          <w:kern w:val="0"/>
          <w:szCs w:val="21"/>
        </w:rPr>
        <w:t>交付</w:t>
      </w:r>
      <w:r>
        <w:rPr>
          <w:rFonts w:ascii="Arial Unicode MS" w:hAnsi="Arial Unicode MS" w:cs="Arial" w:hint="eastAsia"/>
          <w:kern w:val="0"/>
          <w:szCs w:val="21"/>
        </w:rPr>
        <w:t>申购</w:t>
      </w:r>
      <w:r>
        <w:rPr>
          <w:rFonts w:ascii="Arial Unicode MS" w:hAnsi="Arial Unicode MS" w:cs="Arial"/>
          <w:kern w:val="0"/>
          <w:szCs w:val="21"/>
        </w:rPr>
        <w:t>款项，申购</w:t>
      </w:r>
      <w:r>
        <w:rPr>
          <w:rFonts w:ascii="Arial Unicode MS" w:hAnsi="Arial Unicode MS" w:cs="Arial" w:hint="eastAsia"/>
          <w:kern w:val="0"/>
          <w:szCs w:val="21"/>
        </w:rPr>
        <w:t>成立；基金份额登记机构确认基金份额时，</w:t>
      </w:r>
      <w:r>
        <w:rPr>
          <w:rFonts w:ascii="Arial Unicode MS" w:hAnsi="Arial Unicode MS" w:cs="Arial"/>
          <w:kern w:val="0"/>
          <w:szCs w:val="21"/>
        </w:rPr>
        <w:t>申购</w:t>
      </w:r>
      <w:r>
        <w:rPr>
          <w:rFonts w:ascii="Arial Unicode MS" w:hAnsi="Arial Unicode MS" w:cs="Arial" w:hint="eastAsia"/>
          <w:kern w:val="0"/>
          <w:szCs w:val="21"/>
        </w:rPr>
        <w:t>生</w:t>
      </w:r>
      <w:r>
        <w:rPr>
          <w:rFonts w:ascii="Arial Unicode MS" w:hAnsi="Arial Unicode MS" w:cs="Arial"/>
          <w:kern w:val="0"/>
          <w:szCs w:val="21"/>
        </w:rPr>
        <w:t>效。</w:t>
      </w:r>
    </w:p>
    <w:p w14:paraId="2665C07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基金份额持有人递交赎回申请，赎回成立；基金份额登记机构确认赎回时，赎回生效。</w:t>
      </w:r>
      <w:r>
        <w:rPr>
          <w:rFonts w:ascii="Arial Unicode MS" w:hAnsi="Arial Unicode MS" w:cs="Arial"/>
          <w:kern w:val="0"/>
          <w:szCs w:val="21"/>
        </w:rPr>
        <w:t>投资人赎回申请</w:t>
      </w:r>
      <w:r>
        <w:rPr>
          <w:rFonts w:ascii="Arial Unicode MS" w:hAnsi="Arial Unicode MS" w:cs="Arial" w:hint="eastAsia"/>
          <w:kern w:val="0"/>
          <w:szCs w:val="21"/>
        </w:rPr>
        <w:t>生效</w:t>
      </w:r>
      <w:r>
        <w:rPr>
          <w:rFonts w:ascii="Arial Unicode MS" w:hAnsi="Arial Unicode MS" w:cs="Arial"/>
          <w:kern w:val="0"/>
          <w:szCs w:val="21"/>
        </w:rPr>
        <w:t>后，基金管理人将在</w:t>
      </w:r>
      <w:r>
        <w:rPr>
          <w:rFonts w:ascii="Arial Unicode MS" w:hAnsi="Arial Unicode MS" w:cs="Arial"/>
          <w:kern w:val="0"/>
          <w:szCs w:val="21"/>
        </w:rPr>
        <w:t>T</w:t>
      </w:r>
      <w:r>
        <w:rPr>
          <w:rFonts w:ascii="Arial Unicode MS" w:hAnsi="Arial Unicode MS" w:cs="Arial"/>
          <w:kern w:val="0"/>
          <w:szCs w:val="21"/>
        </w:rPr>
        <w:t>＋</w:t>
      </w:r>
      <w:r>
        <w:rPr>
          <w:rFonts w:ascii="Arial Unicode MS" w:hAnsi="Arial Unicode MS" w:cs="Arial" w:hint="eastAsia"/>
          <w:kern w:val="0"/>
          <w:szCs w:val="21"/>
        </w:rPr>
        <w:t>7</w:t>
      </w:r>
      <w:r>
        <w:rPr>
          <w:rFonts w:ascii="Arial Unicode MS" w:hAnsi="Arial Unicode MS" w:cs="Arial"/>
          <w:kern w:val="0"/>
          <w:szCs w:val="21"/>
        </w:rPr>
        <w:t>日</w:t>
      </w:r>
      <w:r>
        <w:rPr>
          <w:rFonts w:ascii="Arial Unicode MS" w:hAnsi="Arial Unicode MS" w:cs="Arial"/>
          <w:kern w:val="0"/>
          <w:szCs w:val="21"/>
        </w:rPr>
        <w:t>(</w:t>
      </w:r>
      <w:r>
        <w:rPr>
          <w:rFonts w:ascii="Arial Unicode MS" w:hAnsi="Arial Unicode MS" w:cs="Arial"/>
          <w:kern w:val="0"/>
          <w:szCs w:val="21"/>
        </w:rPr>
        <w:t>包括该日</w:t>
      </w:r>
      <w:r>
        <w:rPr>
          <w:rFonts w:ascii="Arial Unicode MS" w:hAnsi="Arial Unicode MS" w:cs="Arial"/>
          <w:kern w:val="0"/>
          <w:szCs w:val="21"/>
        </w:rPr>
        <w:t>)</w:t>
      </w:r>
      <w:r>
        <w:rPr>
          <w:rFonts w:ascii="Arial Unicode MS" w:hAnsi="Arial Unicode MS" w:cs="Arial"/>
          <w:kern w:val="0"/>
          <w:szCs w:val="21"/>
        </w:rPr>
        <w:t>内支付赎回款项。在发生巨额赎回</w:t>
      </w:r>
      <w:r>
        <w:rPr>
          <w:rFonts w:ascii="Arial Unicode MS" w:hAnsi="Arial Unicode MS" w:cs="Arial" w:hint="eastAsia"/>
          <w:kern w:val="0"/>
          <w:szCs w:val="21"/>
        </w:rPr>
        <w:t>或基金合同约定的其他暂停赎回或延缓支付赎回款项的情形</w:t>
      </w:r>
      <w:r>
        <w:rPr>
          <w:rFonts w:ascii="Arial Unicode MS" w:hAnsi="Arial Unicode MS" w:cs="Arial"/>
          <w:kern w:val="0"/>
          <w:szCs w:val="21"/>
        </w:rPr>
        <w:t>时，款项的支付办法参照基金合同有关条款处理。</w:t>
      </w:r>
    </w:p>
    <w:p w14:paraId="289669C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遇交易所或交易市场数据传输延迟、通讯系统故障、银行数据交换系统故障或其他</w:t>
      </w:r>
      <w:proofErr w:type="gramStart"/>
      <w:r>
        <w:rPr>
          <w:rFonts w:ascii="Arial Unicode MS" w:hAnsi="Arial Unicode MS" w:cs="Arial" w:hint="eastAsia"/>
          <w:kern w:val="0"/>
          <w:szCs w:val="21"/>
        </w:rPr>
        <w:t>非基金</w:t>
      </w:r>
      <w:proofErr w:type="gramEnd"/>
      <w:r>
        <w:rPr>
          <w:rFonts w:ascii="Arial Unicode MS" w:hAnsi="Arial Unicode MS" w:cs="Arial" w:hint="eastAsia"/>
          <w:kern w:val="0"/>
          <w:szCs w:val="21"/>
        </w:rPr>
        <w:t>管理人及基金托管人所能控制的因素影响业务处理流程，则赎回款项划付时间相应顺延。</w:t>
      </w:r>
    </w:p>
    <w:p w14:paraId="2D64E67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w:t>
      </w:r>
      <w:r>
        <w:rPr>
          <w:rFonts w:ascii="Arial Unicode MS" w:hAnsi="Arial Unicode MS" w:cs="Arial"/>
          <w:kern w:val="0"/>
          <w:szCs w:val="21"/>
        </w:rPr>
        <w:t>申购和赎回申请的确认</w:t>
      </w:r>
    </w:p>
    <w:p w14:paraId="12EB122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基金管理人应以交易时间结束前受理</w:t>
      </w:r>
      <w:r>
        <w:rPr>
          <w:rFonts w:ascii="Arial Unicode MS" w:hAnsi="Arial Unicode MS" w:cs="Arial" w:hint="eastAsia"/>
          <w:kern w:val="0"/>
          <w:szCs w:val="21"/>
        </w:rPr>
        <w:t>有效</w:t>
      </w:r>
      <w:r>
        <w:rPr>
          <w:rFonts w:ascii="Arial Unicode MS" w:hAnsi="Arial Unicode MS" w:cs="Arial"/>
          <w:kern w:val="0"/>
          <w:szCs w:val="21"/>
        </w:rPr>
        <w:t>申购和赎回申请的当天作为申购或赎回申请日</w:t>
      </w:r>
      <w:r>
        <w:rPr>
          <w:rFonts w:ascii="Arial Unicode MS" w:hAnsi="Arial Unicode MS" w:cs="Arial"/>
          <w:kern w:val="0"/>
          <w:szCs w:val="21"/>
        </w:rPr>
        <w:t>(T</w:t>
      </w:r>
      <w:r>
        <w:rPr>
          <w:rFonts w:ascii="Arial Unicode MS" w:hAnsi="Arial Unicode MS" w:cs="Arial"/>
          <w:kern w:val="0"/>
          <w:szCs w:val="21"/>
        </w:rPr>
        <w:t>日</w:t>
      </w:r>
      <w:r>
        <w:rPr>
          <w:rFonts w:ascii="Arial Unicode MS" w:hAnsi="Arial Unicode MS" w:cs="Arial"/>
          <w:kern w:val="0"/>
          <w:szCs w:val="21"/>
        </w:rPr>
        <w:t>)</w:t>
      </w:r>
      <w:r>
        <w:rPr>
          <w:rFonts w:ascii="Arial Unicode MS" w:hAnsi="Arial Unicode MS" w:cs="Arial"/>
          <w:kern w:val="0"/>
          <w:szCs w:val="21"/>
        </w:rPr>
        <w:t>，在正常情况下，本基金登记机构在</w:t>
      </w:r>
      <w:r>
        <w:rPr>
          <w:rFonts w:ascii="Arial Unicode MS" w:hAnsi="Arial Unicode MS" w:cs="Arial"/>
          <w:kern w:val="0"/>
          <w:szCs w:val="21"/>
        </w:rPr>
        <w:t>T+</w:t>
      </w:r>
      <w:r>
        <w:rPr>
          <w:rFonts w:ascii="Arial Unicode MS" w:hAnsi="Arial Unicode MS" w:cs="Arial" w:hint="eastAsia"/>
          <w:kern w:val="0"/>
          <w:szCs w:val="21"/>
        </w:rPr>
        <w:t>1</w:t>
      </w:r>
      <w:r>
        <w:rPr>
          <w:rFonts w:ascii="Arial Unicode MS" w:hAnsi="Arial Unicode MS" w:cs="Arial"/>
          <w:kern w:val="0"/>
          <w:szCs w:val="21"/>
        </w:rPr>
        <w:t>日内对该交易的有效性进行确认。</w:t>
      </w:r>
      <w:r>
        <w:rPr>
          <w:rFonts w:ascii="Arial Unicode MS" w:hAnsi="Arial Unicode MS" w:cs="Arial"/>
          <w:kern w:val="0"/>
          <w:szCs w:val="21"/>
        </w:rPr>
        <w:t>T</w:t>
      </w:r>
      <w:r>
        <w:rPr>
          <w:rFonts w:ascii="Arial Unicode MS" w:hAnsi="Arial Unicode MS" w:cs="Arial"/>
          <w:kern w:val="0"/>
          <w:szCs w:val="21"/>
        </w:rPr>
        <w:t>日提交的有效申请，投资人</w:t>
      </w:r>
      <w:r>
        <w:rPr>
          <w:rFonts w:ascii="Arial Unicode MS" w:hAnsi="Arial Unicode MS" w:cs="Arial" w:hint="eastAsia"/>
          <w:kern w:val="0"/>
          <w:szCs w:val="21"/>
        </w:rPr>
        <w:t>应</w:t>
      </w:r>
      <w:r>
        <w:rPr>
          <w:rFonts w:ascii="Arial Unicode MS" w:hAnsi="Arial Unicode MS" w:cs="Arial"/>
          <w:kern w:val="0"/>
          <w:szCs w:val="21"/>
        </w:rPr>
        <w:t>在</w:t>
      </w:r>
      <w:r>
        <w:rPr>
          <w:rFonts w:ascii="Arial Unicode MS" w:hAnsi="Arial Unicode MS" w:cs="Arial"/>
          <w:kern w:val="0"/>
          <w:szCs w:val="21"/>
        </w:rPr>
        <w:t>T+</w:t>
      </w:r>
      <w:r>
        <w:rPr>
          <w:rFonts w:ascii="Arial Unicode MS" w:hAnsi="Arial Unicode MS" w:cs="Arial" w:hint="eastAsia"/>
          <w:kern w:val="0"/>
          <w:szCs w:val="21"/>
        </w:rPr>
        <w:t>2</w:t>
      </w:r>
      <w:r>
        <w:rPr>
          <w:rFonts w:ascii="Arial Unicode MS" w:hAnsi="Arial Unicode MS" w:cs="Arial"/>
          <w:kern w:val="0"/>
          <w:szCs w:val="21"/>
        </w:rPr>
        <w:t>日后</w:t>
      </w:r>
      <w:r>
        <w:rPr>
          <w:rFonts w:ascii="Arial Unicode MS" w:hAnsi="Arial Unicode MS" w:cs="Arial"/>
          <w:kern w:val="0"/>
          <w:szCs w:val="21"/>
        </w:rPr>
        <w:t>(</w:t>
      </w:r>
      <w:r>
        <w:rPr>
          <w:rFonts w:ascii="Arial Unicode MS" w:hAnsi="Arial Unicode MS" w:cs="Arial"/>
          <w:kern w:val="0"/>
          <w:szCs w:val="21"/>
        </w:rPr>
        <w:t>包括该日</w:t>
      </w:r>
      <w:r>
        <w:rPr>
          <w:rFonts w:ascii="Arial Unicode MS" w:hAnsi="Arial Unicode MS" w:cs="Arial"/>
          <w:kern w:val="0"/>
          <w:szCs w:val="21"/>
        </w:rPr>
        <w:t>)</w:t>
      </w:r>
      <w:r>
        <w:rPr>
          <w:rFonts w:ascii="Arial Unicode MS" w:hAnsi="Arial Unicode MS" w:cs="Arial" w:hint="eastAsia"/>
          <w:kern w:val="0"/>
          <w:szCs w:val="21"/>
        </w:rPr>
        <w:t>及时</w:t>
      </w:r>
      <w:r>
        <w:rPr>
          <w:rFonts w:ascii="Arial Unicode MS" w:hAnsi="Arial Unicode MS" w:cs="Arial"/>
          <w:kern w:val="0"/>
          <w:szCs w:val="21"/>
        </w:rPr>
        <w:t>到销售网点柜台或以销售机构规定的其他方式查询申请的确认情况。若申购不成功</w:t>
      </w:r>
      <w:r>
        <w:rPr>
          <w:rFonts w:ascii="Arial Unicode MS" w:hAnsi="Arial Unicode MS" w:cs="Arial" w:hint="eastAsia"/>
          <w:kern w:val="0"/>
          <w:szCs w:val="21"/>
        </w:rPr>
        <w:t>或</w:t>
      </w:r>
      <w:r>
        <w:rPr>
          <w:rFonts w:ascii="Arial Unicode MS" w:hAnsi="Arial Unicode MS" w:cs="Arial"/>
          <w:kern w:val="0"/>
          <w:szCs w:val="21"/>
        </w:rPr>
        <w:t>无效，则申购款项</w:t>
      </w:r>
      <w:r>
        <w:rPr>
          <w:rFonts w:ascii="Arial Unicode MS" w:hAnsi="Arial Unicode MS" w:cs="Arial" w:hint="eastAsia"/>
          <w:kern w:val="0"/>
          <w:szCs w:val="21"/>
        </w:rPr>
        <w:t>本金</w:t>
      </w:r>
      <w:r>
        <w:rPr>
          <w:rFonts w:ascii="Arial Unicode MS" w:hAnsi="Arial Unicode MS" w:cs="Arial"/>
          <w:kern w:val="0"/>
          <w:szCs w:val="21"/>
        </w:rPr>
        <w:t>退还给投资人。</w:t>
      </w:r>
    </w:p>
    <w:p w14:paraId="5F24BD6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基金销售机构对申购、赎回申请的受理并不代表申请一定成功，而仅代表销售机构确实接收到申请。申购、赎回申请的确认以登记机构的确认结果为准。对于申请的确认情况，投资者应及时查询。</w:t>
      </w:r>
    </w:p>
    <w:p w14:paraId="1F832B0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基金管理人可以在法律法规和基金合同允许的范围内，对上述业务办理时间进行调整，并在调整实施前依照《信息披露办法》的有关规定在指定媒介上公告。</w:t>
      </w:r>
    </w:p>
    <w:p w14:paraId="06177DA0" w14:textId="77777777" w:rsidR="004C06C5" w:rsidRDefault="00ED474B">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4E3B05D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、投资</w:t>
      </w:r>
      <w:r>
        <w:rPr>
          <w:rFonts w:ascii="Arial Unicode MS" w:hAnsi="Arial Unicode MS" w:cs="Arial" w:hint="eastAsia"/>
          <w:kern w:val="0"/>
          <w:szCs w:val="21"/>
        </w:rPr>
        <w:t>者</w:t>
      </w:r>
      <w:r>
        <w:rPr>
          <w:rFonts w:ascii="Arial Unicode MS" w:hAnsi="Arial Unicode MS" w:cs="Arial"/>
          <w:kern w:val="0"/>
          <w:szCs w:val="21"/>
        </w:rPr>
        <w:t>可以多次申购本基金，申购费率按每笔申购申请单独计算。</w:t>
      </w:r>
    </w:p>
    <w:p w14:paraId="495B0096" w14:textId="77777777" w:rsidR="004C06C5" w:rsidRDefault="00ED474B">
      <w:pPr>
        <w:ind w:firstLineChars="200" w:firstLine="420"/>
        <w:rPr>
          <w:rFonts w:ascii="Arial Unicode MS" w:hAnsi="Arial Unicode MS" w:cs="Arial"/>
          <w:kern w:val="0"/>
          <w:szCs w:val="21"/>
        </w:rPr>
      </w:pPr>
      <w:r>
        <w:rPr>
          <w:rFonts w:ascii="Arial Unicode MS" w:hAnsi="Arial Unicode MS" w:cs="Arial" w:hint="eastAsia"/>
          <w:kern w:val="0"/>
          <w:szCs w:val="21"/>
        </w:rPr>
        <w:t>本基金</w:t>
      </w:r>
      <w:r>
        <w:rPr>
          <w:rFonts w:ascii="Arial Unicode MS" w:hAnsi="Arial Unicode MS" w:cs="Arial" w:hint="eastAsia"/>
          <w:kern w:val="0"/>
          <w:szCs w:val="21"/>
        </w:rPr>
        <w:t>A</w:t>
      </w:r>
      <w:r>
        <w:rPr>
          <w:rFonts w:ascii="Arial Unicode MS" w:hAnsi="Arial Unicode MS" w:cs="Arial" w:hint="eastAsia"/>
          <w:kern w:val="0"/>
          <w:szCs w:val="21"/>
        </w:rPr>
        <w:t>类基金份额在申购时收取申购费用，</w:t>
      </w:r>
      <w:r>
        <w:rPr>
          <w:rFonts w:ascii="Arial Unicode MS" w:hAnsi="Arial Unicode MS" w:cs="Arial" w:hint="eastAsia"/>
          <w:kern w:val="0"/>
          <w:szCs w:val="21"/>
        </w:rPr>
        <w:t>C</w:t>
      </w:r>
      <w:r>
        <w:rPr>
          <w:rFonts w:ascii="Arial Unicode MS" w:hAnsi="Arial Unicode MS" w:cs="Arial" w:hint="eastAsia"/>
          <w:kern w:val="0"/>
          <w:szCs w:val="21"/>
        </w:rPr>
        <w:t>类基金份额不收取申购费用。</w:t>
      </w:r>
      <w:r>
        <w:rPr>
          <w:rFonts w:ascii="Arial Unicode MS" w:hAnsi="Arial Unicode MS" w:cs="Arial" w:hint="eastAsia"/>
          <w:kern w:val="0"/>
          <w:szCs w:val="21"/>
        </w:rPr>
        <w:t>A</w:t>
      </w:r>
      <w:r>
        <w:rPr>
          <w:rFonts w:ascii="Arial Unicode MS" w:hAnsi="Arial Unicode MS" w:cs="Arial" w:hint="eastAsia"/>
          <w:kern w:val="0"/>
          <w:szCs w:val="21"/>
        </w:rPr>
        <w:t>类基金份额申</w:t>
      </w:r>
      <w:r>
        <w:rPr>
          <w:rFonts w:ascii="Arial Unicode MS" w:hAnsi="Arial Unicode MS" w:cs="Arial"/>
          <w:kern w:val="0"/>
          <w:szCs w:val="21"/>
        </w:rPr>
        <w:t>购费率随</w:t>
      </w:r>
      <w:r>
        <w:rPr>
          <w:rFonts w:ascii="Arial Unicode MS" w:hAnsi="Arial Unicode MS" w:cs="Arial" w:hint="eastAsia"/>
          <w:kern w:val="0"/>
          <w:szCs w:val="21"/>
        </w:rPr>
        <w:t>申</w:t>
      </w:r>
      <w:r>
        <w:rPr>
          <w:rFonts w:ascii="Arial Unicode MS" w:hAnsi="Arial Unicode MS" w:cs="Arial"/>
          <w:kern w:val="0"/>
          <w:szCs w:val="21"/>
        </w:rPr>
        <w:t>购金额的增加而递减，如下表所</w:t>
      </w:r>
      <w:r>
        <w:rPr>
          <w:rFonts w:ascii="Arial Unicode MS" w:hAnsi="Arial Unicode MS" w:cs="Arial" w:hint="eastAsia"/>
          <w:kern w:val="0"/>
          <w:szCs w:val="21"/>
        </w:rPr>
        <w:t>示：</w:t>
      </w:r>
    </w:p>
    <w:p w14:paraId="43325648" w14:textId="77777777" w:rsidR="004C06C5" w:rsidRDefault="004C06C5">
      <w:pPr>
        <w:ind w:firstLineChars="200" w:firstLine="420"/>
        <w:rPr>
          <w:rFonts w:ascii="Arial Unicode MS" w:hAnsi="Arial Unicode MS" w:cs="Arial"/>
        </w:rPr>
      </w:pPr>
    </w:p>
    <w:tbl>
      <w:tblPr>
        <w:tblW w:w="5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4C06C5" w14:paraId="4BDA6E9B" w14:textId="77777777">
        <w:trPr>
          <w:trHeight w:val="190"/>
          <w:jc w:val="center"/>
        </w:trPr>
        <w:tc>
          <w:tcPr>
            <w:tcW w:w="2691" w:type="dxa"/>
            <w:shd w:val="clear" w:color="auto" w:fill="auto"/>
            <w:vAlign w:val="center"/>
          </w:tcPr>
          <w:p w14:paraId="7D24CF2F" w14:textId="77777777" w:rsidR="004C06C5" w:rsidRDefault="00ED474B">
            <w:pPr>
              <w:widowControl/>
              <w:spacing w:line="336" w:lineRule="auto"/>
              <w:jc w:val="center"/>
              <w:rPr>
                <w:rFonts w:ascii="Arial Unicode MS" w:hAnsi="Arial Unicode MS"/>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916" w:type="dxa"/>
            <w:shd w:val="clear" w:color="auto" w:fill="auto"/>
            <w:vAlign w:val="center"/>
          </w:tcPr>
          <w:p w14:paraId="082D45C6" w14:textId="77777777"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申购费率</w:t>
            </w:r>
          </w:p>
        </w:tc>
      </w:tr>
      <w:tr w:rsidR="004C06C5" w14:paraId="2FD328C4" w14:textId="77777777">
        <w:trPr>
          <w:trHeight w:val="190"/>
          <w:jc w:val="center"/>
        </w:trPr>
        <w:tc>
          <w:tcPr>
            <w:tcW w:w="2691" w:type="dxa"/>
            <w:shd w:val="clear" w:color="auto" w:fill="auto"/>
          </w:tcPr>
          <w:p w14:paraId="15D21A8F" w14:textId="77777777"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916" w:type="dxa"/>
            <w:shd w:val="clear" w:color="auto" w:fill="auto"/>
          </w:tcPr>
          <w:p w14:paraId="3851A928" w14:textId="77777777"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0.</w:t>
            </w:r>
            <w:r>
              <w:rPr>
                <w:rFonts w:ascii="Arial Unicode MS" w:hAnsi="Arial Unicode MS" w:hint="eastAsia"/>
                <w:bCs/>
                <w:kern w:val="0"/>
                <w:szCs w:val="21"/>
              </w:rPr>
              <w:t>8</w:t>
            </w:r>
            <w:r>
              <w:rPr>
                <w:rFonts w:ascii="Arial Unicode MS" w:hAnsi="Arial Unicode MS"/>
                <w:bCs/>
                <w:kern w:val="0"/>
                <w:szCs w:val="21"/>
              </w:rPr>
              <w:t>0%</w:t>
            </w:r>
          </w:p>
        </w:tc>
      </w:tr>
      <w:tr w:rsidR="004C06C5" w14:paraId="4B927EB2" w14:textId="77777777">
        <w:trPr>
          <w:trHeight w:val="190"/>
          <w:jc w:val="center"/>
        </w:trPr>
        <w:tc>
          <w:tcPr>
            <w:tcW w:w="2691" w:type="dxa"/>
            <w:shd w:val="clear" w:color="auto" w:fill="auto"/>
          </w:tcPr>
          <w:p w14:paraId="52CFBABF" w14:textId="77777777"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916" w:type="dxa"/>
            <w:shd w:val="clear" w:color="auto" w:fill="auto"/>
          </w:tcPr>
          <w:p w14:paraId="063C1F89" w14:textId="77777777"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0.50%</w:t>
            </w:r>
          </w:p>
        </w:tc>
      </w:tr>
      <w:tr w:rsidR="004C06C5" w14:paraId="5861CC0C" w14:textId="77777777">
        <w:trPr>
          <w:trHeight w:val="190"/>
          <w:jc w:val="center"/>
        </w:trPr>
        <w:tc>
          <w:tcPr>
            <w:tcW w:w="2691" w:type="dxa"/>
            <w:shd w:val="clear" w:color="auto" w:fill="auto"/>
          </w:tcPr>
          <w:p w14:paraId="4E1347C8" w14:textId="77777777"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916" w:type="dxa"/>
            <w:shd w:val="clear" w:color="auto" w:fill="auto"/>
          </w:tcPr>
          <w:p w14:paraId="54B5AAAF" w14:textId="77777777"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0.3</w:t>
            </w:r>
            <w:r>
              <w:rPr>
                <w:rFonts w:ascii="Arial Unicode MS" w:hAnsi="Arial Unicode MS" w:hint="eastAsia"/>
                <w:bCs/>
                <w:kern w:val="0"/>
                <w:szCs w:val="21"/>
              </w:rPr>
              <w:t>0</w:t>
            </w:r>
            <w:r>
              <w:rPr>
                <w:rFonts w:ascii="Arial Unicode MS" w:hAnsi="Arial Unicode MS"/>
                <w:bCs/>
                <w:kern w:val="0"/>
                <w:szCs w:val="21"/>
              </w:rPr>
              <w:t>%</w:t>
            </w:r>
          </w:p>
        </w:tc>
      </w:tr>
      <w:tr w:rsidR="004C06C5" w14:paraId="40EC0D53" w14:textId="77777777">
        <w:trPr>
          <w:trHeight w:val="190"/>
          <w:jc w:val="center"/>
        </w:trPr>
        <w:tc>
          <w:tcPr>
            <w:tcW w:w="2691" w:type="dxa"/>
            <w:shd w:val="clear" w:color="auto" w:fill="auto"/>
          </w:tcPr>
          <w:p w14:paraId="3ADDC559" w14:textId="77777777"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916" w:type="dxa"/>
            <w:shd w:val="clear" w:color="auto" w:fill="auto"/>
          </w:tcPr>
          <w:p w14:paraId="68E8AAC4" w14:textId="77777777"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14:paraId="3AC8071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本基金的申购费用由</w:t>
      </w:r>
      <w:r>
        <w:rPr>
          <w:rFonts w:ascii="Arial Unicode MS" w:hAnsi="Arial Unicode MS" w:cs="Arial" w:hint="eastAsia"/>
          <w:kern w:val="0"/>
          <w:szCs w:val="21"/>
        </w:rPr>
        <w:t>申购本基金</w:t>
      </w:r>
      <w:r>
        <w:rPr>
          <w:rFonts w:ascii="Arial Unicode MS" w:hAnsi="Arial Unicode MS" w:cs="Arial" w:hint="eastAsia"/>
          <w:kern w:val="0"/>
          <w:szCs w:val="21"/>
        </w:rPr>
        <w:t>A</w:t>
      </w:r>
      <w:r>
        <w:rPr>
          <w:rFonts w:ascii="Arial Unicode MS" w:hAnsi="Arial Unicode MS" w:cs="Arial" w:hint="eastAsia"/>
          <w:kern w:val="0"/>
          <w:szCs w:val="21"/>
        </w:rPr>
        <w:t>类基金份额的投资人</w:t>
      </w:r>
      <w:r>
        <w:rPr>
          <w:rFonts w:ascii="Arial Unicode MS" w:hAnsi="Arial Unicode MS" w:cs="Arial"/>
          <w:kern w:val="0"/>
          <w:szCs w:val="21"/>
        </w:rPr>
        <w:t>承担，主要用于本基金的市场推广、销售、登记等各项费用，不列入基金财产。</w:t>
      </w:r>
    </w:p>
    <w:p w14:paraId="26C5B4D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、赎回费率见下表：</w:t>
      </w:r>
    </w:p>
    <w:tbl>
      <w:tblPr>
        <w:tblW w:w="70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57"/>
        <w:gridCol w:w="2155"/>
        <w:gridCol w:w="2153"/>
      </w:tblGrid>
      <w:tr w:rsidR="004C06C5" w14:paraId="3F55A202" w14:textId="77777777">
        <w:trPr>
          <w:trHeight w:val="902"/>
          <w:jc w:val="center"/>
        </w:trPr>
        <w:tc>
          <w:tcPr>
            <w:tcW w:w="2757" w:type="dxa"/>
            <w:tcBorders>
              <w:top w:val="single" w:sz="4" w:space="0" w:color="000000"/>
              <w:left w:val="single" w:sz="4" w:space="0" w:color="000000"/>
              <w:bottom w:val="single" w:sz="4" w:space="0" w:color="000000"/>
              <w:right w:val="single" w:sz="4" w:space="0" w:color="000000"/>
            </w:tcBorders>
            <w:vAlign w:val="center"/>
          </w:tcPr>
          <w:p w14:paraId="09B72C4B" w14:textId="77777777" w:rsidR="004C06C5" w:rsidRDefault="00ED474B">
            <w:pPr>
              <w:adjustRightInd w:val="0"/>
              <w:snapToGrid w:val="0"/>
              <w:jc w:val="center"/>
              <w:rPr>
                <w:rFonts w:ascii="Arial Unicode MS" w:hAnsi="Arial Unicode MS" w:cs="Arial"/>
                <w:kern w:val="0"/>
                <w:szCs w:val="21"/>
              </w:rPr>
            </w:pPr>
            <w:r>
              <w:rPr>
                <w:rFonts w:ascii="Arial Unicode MS" w:hAnsi="Arial Unicode MS" w:cs="Arial" w:hint="eastAsia"/>
                <w:kern w:val="0"/>
                <w:szCs w:val="21"/>
              </w:rPr>
              <w:t>持有期限（</w:t>
            </w:r>
            <w:r>
              <w:rPr>
                <w:rFonts w:ascii="Arial Unicode MS" w:hAnsi="Arial Unicode MS" w:cs="Arial"/>
                <w:kern w:val="0"/>
                <w:szCs w:val="21"/>
              </w:rPr>
              <w:t>Y</w:t>
            </w:r>
            <w:r>
              <w:rPr>
                <w:rFonts w:ascii="Arial Unicode MS" w:hAnsi="Arial Unicode MS" w:cs="Arial" w:hint="eastAsia"/>
                <w:kern w:val="0"/>
                <w:szCs w:val="21"/>
              </w:rPr>
              <w:t>）</w:t>
            </w:r>
          </w:p>
        </w:tc>
        <w:tc>
          <w:tcPr>
            <w:tcW w:w="2155" w:type="dxa"/>
            <w:tcBorders>
              <w:top w:val="single" w:sz="4" w:space="0" w:color="000000"/>
              <w:left w:val="single" w:sz="4" w:space="0" w:color="000000"/>
              <w:bottom w:val="single" w:sz="4" w:space="0" w:color="000000"/>
              <w:right w:val="single" w:sz="4" w:space="0" w:color="000000"/>
            </w:tcBorders>
            <w:vAlign w:val="center"/>
          </w:tcPr>
          <w:p w14:paraId="532AF5B6" w14:textId="77777777"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A</w:t>
            </w:r>
            <w:r>
              <w:rPr>
                <w:rFonts w:ascii="Arial Unicode MS" w:hAnsi="Arial Unicode MS" w:cs="Arial" w:hint="eastAsia"/>
                <w:kern w:val="0"/>
                <w:szCs w:val="21"/>
              </w:rPr>
              <w:t>类基金份额赎回费率</w:t>
            </w:r>
          </w:p>
        </w:tc>
        <w:tc>
          <w:tcPr>
            <w:tcW w:w="2153" w:type="dxa"/>
            <w:tcBorders>
              <w:top w:val="single" w:sz="4" w:space="0" w:color="000000"/>
              <w:left w:val="single" w:sz="4" w:space="0" w:color="000000"/>
              <w:bottom w:val="single" w:sz="4" w:space="0" w:color="000000"/>
              <w:right w:val="single" w:sz="4" w:space="0" w:color="000000"/>
            </w:tcBorders>
            <w:vAlign w:val="center"/>
          </w:tcPr>
          <w:p w14:paraId="3221375C" w14:textId="77777777"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C</w:t>
            </w:r>
            <w:r>
              <w:rPr>
                <w:rFonts w:ascii="Arial Unicode MS" w:hAnsi="Arial Unicode MS" w:cs="Arial" w:hint="eastAsia"/>
                <w:kern w:val="0"/>
                <w:szCs w:val="21"/>
              </w:rPr>
              <w:t>类基金份额赎回费</w:t>
            </w:r>
          </w:p>
        </w:tc>
      </w:tr>
      <w:tr w:rsidR="004C06C5" w14:paraId="453188D9" w14:textId="77777777">
        <w:trPr>
          <w:trHeight w:val="529"/>
          <w:jc w:val="center"/>
        </w:trPr>
        <w:tc>
          <w:tcPr>
            <w:tcW w:w="2757" w:type="dxa"/>
            <w:tcBorders>
              <w:top w:val="single" w:sz="4" w:space="0" w:color="000000"/>
              <w:left w:val="single" w:sz="4" w:space="0" w:color="000000"/>
              <w:bottom w:val="single" w:sz="4" w:space="0" w:color="000000"/>
              <w:right w:val="single" w:sz="4" w:space="0" w:color="000000"/>
            </w:tcBorders>
            <w:vAlign w:val="center"/>
          </w:tcPr>
          <w:p w14:paraId="5334FB8B" w14:textId="77777777"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Y</w:t>
            </w:r>
            <w:r>
              <w:rPr>
                <w:rFonts w:ascii="Arial Unicode MS" w:hAnsi="Arial Unicode MS" w:cs="Arial" w:hint="eastAsia"/>
                <w:kern w:val="0"/>
                <w:szCs w:val="21"/>
              </w:rPr>
              <w:t>＜</w:t>
            </w:r>
            <w:r>
              <w:rPr>
                <w:rFonts w:ascii="Arial Unicode MS" w:hAnsi="Arial Unicode MS" w:cs="Arial"/>
                <w:kern w:val="0"/>
                <w:szCs w:val="21"/>
              </w:rPr>
              <w:t>7</w:t>
            </w:r>
            <w:r>
              <w:rPr>
                <w:rFonts w:ascii="Arial Unicode MS" w:hAnsi="Arial Unicode MS" w:cs="Arial" w:hint="eastAsia"/>
                <w:kern w:val="0"/>
                <w:szCs w:val="21"/>
              </w:rPr>
              <w:t>日</w:t>
            </w:r>
          </w:p>
        </w:tc>
        <w:tc>
          <w:tcPr>
            <w:tcW w:w="2155" w:type="dxa"/>
            <w:tcBorders>
              <w:top w:val="single" w:sz="4" w:space="0" w:color="000000"/>
              <w:left w:val="single" w:sz="4" w:space="0" w:color="000000"/>
              <w:bottom w:val="single" w:sz="4" w:space="0" w:color="000000"/>
              <w:right w:val="single" w:sz="4" w:space="0" w:color="000000"/>
            </w:tcBorders>
            <w:vAlign w:val="center"/>
          </w:tcPr>
          <w:p w14:paraId="32A2F503" w14:textId="77777777"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1.50%</w:t>
            </w:r>
          </w:p>
        </w:tc>
        <w:tc>
          <w:tcPr>
            <w:tcW w:w="2153" w:type="dxa"/>
            <w:tcBorders>
              <w:top w:val="single" w:sz="4" w:space="0" w:color="000000"/>
              <w:left w:val="single" w:sz="4" w:space="0" w:color="000000"/>
              <w:bottom w:val="single" w:sz="4" w:space="0" w:color="000000"/>
              <w:right w:val="single" w:sz="4" w:space="0" w:color="000000"/>
            </w:tcBorders>
            <w:vAlign w:val="center"/>
          </w:tcPr>
          <w:p w14:paraId="309E550C" w14:textId="77777777"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1.50%</w:t>
            </w:r>
          </w:p>
        </w:tc>
      </w:tr>
      <w:tr w:rsidR="004C06C5" w14:paraId="64DBB673" w14:textId="77777777">
        <w:trPr>
          <w:trHeight w:val="566"/>
          <w:jc w:val="center"/>
        </w:trPr>
        <w:tc>
          <w:tcPr>
            <w:tcW w:w="2757" w:type="dxa"/>
            <w:tcBorders>
              <w:top w:val="single" w:sz="4" w:space="0" w:color="000000"/>
              <w:left w:val="single" w:sz="4" w:space="0" w:color="000000"/>
              <w:bottom w:val="single" w:sz="4" w:space="0" w:color="000000"/>
              <w:right w:val="single" w:sz="4" w:space="0" w:color="000000"/>
            </w:tcBorders>
            <w:vAlign w:val="center"/>
          </w:tcPr>
          <w:p w14:paraId="185BBE5B" w14:textId="77777777"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Y</w:t>
            </w:r>
            <w:r>
              <w:rPr>
                <w:rFonts w:ascii="Arial Unicode MS" w:hAnsi="Arial Unicode MS" w:cs="Arial" w:hint="eastAsia"/>
                <w:kern w:val="0"/>
                <w:szCs w:val="21"/>
              </w:rPr>
              <w:t>≥</w:t>
            </w:r>
            <w:r>
              <w:rPr>
                <w:rFonts w:ascii="Arial Unicode MS" w:hAnsi="Arial Unicode MS" w:cs="Arial"/>
                <w:kern w:val="0"/>
                <w:szCs w:val="21"/>
              </w:rPr>
              <w:t>7</w:t>
            </w:r>
            <w:r>
              <w:rPr>
                <w:rFonts w:ascii="Arial Unicode MS" w:hAnsi="Arial Unicode MS" w:cs="Arial" w:hint="eastAsia"/>
                <w:kern w:val="0"/>
                <w:szCs w:val="21"/>
              </w:rPr>
              <w:t>日</w:t>
            </w:r>
          </w:p>
        </w:tc>
        <w:tc>
          <w:tcPr>
            <w:tcW w:w="2155" w:type="dxa"/>
            <w:tcBorders>
              <w:top w:val="single" w:sz="4" w:space="0" w:color="000000"/>
              <w:left w:val="single" w:sz="4" w:space="0" w:color="000000"/>
              <w:bottom w:val="single" w:sz="4" w:space="0" w:color="000000"/>
              <w:right w:val="single" w:sz="4" w:space="0" w:color="000000"/>
            </w:tcBorders>
            <w:vAlign w:val="center"/>
          </w:tcPr>
          <w:p w14:paraId="12A27484" w14:textId="77777777"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0</w:t>
            </w:r>
          </w:p>
        </w:tc>
        <w:tc>
          <w:tcPr>
            <w:tcW w:w="2153" w:type="dxa"/>
            <w:tcBorders>
              <w:top w:val="single" w:sz="4" w:space="0" w:color="000000"/>
              <w:left w:val="single" w:sz="4" w:space="0" w:color="000000"/>
              <w:bottom w:val="single" w:sz="4" w:space="0" w:color="000000"/>
              <w:right w:val="single" w:sz="4" w:space="0" w:color="000000"/>
            </w:tcBorders>
            <w:vAlign w:val="center"/>
          </w:tcPr>
          <w:p w14:paraId="7D5C9C0E" w14:textId="77777777"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0</w:t>
            </w:r>
          </w:p>
        </w:tc>
      </w:tr>
    </w:tbl>
    <w:p w14:paraId="5BF3533C" w14:textId="77777777" w:rsidR="004C06C5" w:rsidRDefault="004C06C5">
      <w:pPr>
        <w:spacing w:line="400" w:lineRule="exact"/>
        <w:ind w:firstLine="420"/>
        <w:rPr>
          <w:rFonts w:ascii="Arial Unicode MS" w:hAnsi="Arial Unicode MS" w:cs="Arial"/>
          <w:kern w:val="0"/>
          <w:szCs w:val="21"/>
        </w:rPr>
      </w:pPr>
    </w:p>
    <w:p w14:paraId="20CD0F7F" w14:textId="77777777" w:rsidR="004C06C5" w:rsidRDefault="00ED474B">
      <w:pPr>
        <w:spacing w:line="400" w:lineRule="exact"/>
        <w:ind w:firstLine="420"/>
        <w:rPr>
          <w:rFonts w:ascii="Arial" w:hAnsi="Arial"/>
          <w:spacing w:val="8"/>
          <w:szCs w:val="21"/>
        </w:rPr>
      </w:pPr>
      <w:r>
        <w:rPr>
          <w:rFonts w:ascii="Arial Unicode MS" w:hAnsi="Arial Unicode MS" w:cs="Arial" w:hint="eastAsia"/>
          <w:kern w:val="0"/>
          <w:szCs w:val="21"/>
        </w:rPr>
        <w:t>本基金的赎回费用由赎回基金份额的基金份额持有人承担，在基金份额持有</w:t>
      </w:r>
      <w:r>
        <w:rPr>
          <w:rFonts w:ascii="Arial" w:hAnsi="Arial" w:hint="eastAsia"/>
          <w:spacing w:val="8"/>
          <w:szCs w:val="21"/>
        </w:rPr>
        <w:t>人赎回基金份额时收取。本基金对持续持有期少于</w:t>
      </w:r>
      <w:r>
        <w:rPr>
          <w:rFonts w:ascii="Arial" w:hAnsi="Arial"/>
          <w:spacing w:val="8"/>
          <w:szCs w:val="21"/>
        </w:rPr>
        <w:t>7</w:t>
      </w:r>
      <w:r>
        <w:rPr>
          <w:rFonts w:ascii="Arial" w:hAnsi="Arial" w:hint="eastAsia"/>
          <w:spacing w:val="8"/>
          <w:szCs w:val="21"/>
        </w:rPr>
        <w:t>日的投资人收取的赎回费全额计入基金财产。</w:t>
      </w:r>
    </w:p>
    <w:p w14:paraId="75D847C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hint="eastAsia"/>
          <w:bCs/>
          <w:kern w:val="0"/>
          <w:szCs w:val="21"/>
        </w:rPr>
        <w:t>基金管理人可以在法律法规和基金合同允许的范围内，对上述业务办理时间进行调整，并在调整实施前依照《信息披露办法》的有关规定在指定媒介上公告</w:t>
      </w:r>
      <w:r>
        <w:rPr>
          <w:rFonts w:ascii="Arial Unicode MS" w:hAnsi="Arial Unicode MS" w:cs="Arial" w:hint="eastAsia"/>
          <w:kern w:val="0"/>
          <w:szCs w:val="21"/>
        </w:rPr>
        <w:t>。</w:t>
      </w:r>
    </w:p>
    <w:p w14:paraId="0546E342"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4</w:t>
      </w:r>
      <w:r>
        <w:rPr>
          <w:rFonts w:ascii="Arial" w:hAnsi="Arial"/>
          <w:spacing w:val="8"/>
          <w:szCs w:val="21"/>
        </w:rPr>
        <w:t>、</w:t>
      </w:r>
      <w:r>
        <w:rPr>
          <w:rFonts w:ascii="Arial" w:hAnsi="Arial" w:hint="eastAsia"/>
          <w:spacing w:val="8"/>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赎回费</w:t>
      </w:r>
      <w:r>
        <w:rPr>
          <w:rFonts w:ascii="Arial" w:hAnsi="Arial" w:hint="eastAsia"/>
          <w:spacing w:val="8"/>
          <w:szCs w:val="21"/>
        </w:rPr>
        <w:lastRenderedPageBreak/>
        <w:t>率和销售服务费率。</w:t>
      </w:r>
    </w:p>
    <w:p w14:paraId="0B890A8F" w14:textId="77777777" w:rsidR="004C06C5" w:rsidRDefault="00ED474B">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2366D08A"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1</w:t>
      </w:r>
      <w:r>
        <w:rPr>
          <w:rFonts w:ascii="Arial" w:hAnsi="Arial"/>
          <w:spacing w:val="8"/>
          <w:szCs w:val="21"/>
        </w:rPr>
        <w:t>、本基金申购份额的计算方式</w:t>
      </w:r>
    </w:p>
    <w:p w14:paraId="3A5B07A3"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w:t>
      </w:r>
      <w:r>
        <w:rPr>
          <w:rFonts w:ascii="Arial" w:hAnsi="Arial" w:hint="eastAsia"/>
          <w:spacing w:val="8"/>
          <w:szCs w:val="21"/>
        </w:rPr>
        <w:t>1</w:t>
      </w:r>
      <w:r>
        <w:rPr>
          <w:rFonts w:ascii="Arial" w:hAnsi="Arial" w:hint="eastAsia"/>
          <w:spacing w:val="8"/>
          <w:szCs w:val="21"/>
        </w:rPr>
        <w:t>）</w:t>
      </w:r>
      <w:r>
        <w:rPr>
          <w:rFonts w:ascii="Arial" w:hAnsi="Arial" w:hint="eastAsia"/>
          <w:spacing w:val="8"/>
          <w:szCs w:val="21"/>
        </w:rPr>
        <w:t>A</w:t>
      </w:r>
      <w:r>
        <w:rPr>
          <w:rFonts w:ascii="Arial" w:hAnsi="Arial" w:hint="eastAsia"/>
          <w:spacing w:val="8"/>
          <w:szCs w:val="21"/>
        </w:rPr>
        <w:t>类基金份额</w:t>
      </w:r>
    </w:p>
    <w:p w14:paraId="5140D952"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申购费用适用比例费率时：</w:t>
      </w:r>
    </w:p>
    <w:p w14:paraId="3FDE0837"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w:t>
      </w:r>
      <w:r>
        <w:rPr>
          <w:rFonts w:ascii="Arial" w:hAnsi="Arial"/>
          <w:spacing w:val="8"/>
          <w:szCs w:val="21"/>
        </w:rPr>
        <w:t>1</w:t>
      </w:r>
      <w:r>
        <w:rPr>
          <w:rFonts w:ascii="Arial" w:hAnsi="Arial"/>
          <w:spacing w:val="8"/>
          <w:szCs w:val="21"/>
        </w:rPr>
        <w:t>＋</w:t>
      </w:r>
      <w:r>
        <w:rPr>
          <w:rFonts w:ascii="Arial" w:hAnsi="Arial" w:hint="eastAsia"/>
          <w:spacing w:val="8"/>
          <w:szCs w:val="21"/>
        </w:rPr>
        <w:t>申购费率）</w:t>
      </w:r>
    </w:p>
    <w:p w14:paraId="43EDEF43"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净申购金额</w:t>
      </w:r>
    </w:p>
    <w:p w14:paraId="1A00A98B"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spacing w:val="8"/>
          <w:szCs w:val="21"/>
        </w:rPr>
        <w:t>＝</w:t>
      </w: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申购当日</w:t>
      </w:r>
      <w:r>
        <w:rPr>
          <w:rFonts w:ascii="Arial" w:hAnsi="Arial" w:hint="eastAsia"/>
          <w:spacing w:val="8"/>
          <w:szCs w:val="21"/>
        </w:rPr>
        <w:t>A</w:t>
      </w:r>
      <w:r>
        <w:rPr>
          <w:rFonts w:ascii="Arial" w:hAnsi="Arial" w:hint="eastAsia"/>
          <w:spacing w:val="8"/>
          <w:szCs w:val="21"/>
        </w:rPr>
        <w:t>类基金份额净值</w:t>
      </w:r>
    </w:p>
    <w:p w14:paraId="267508EC"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申购费用适用固定金额时：</w:t>
      </w:r>
    </w:p>
    <w:p w14:paraId="72E40DE3"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w:t>
      </w:r>
      <w:r>
        <w:rPr>
          <w:rFonts w:ascii="Arial" w:hAnsi="Arial"/>
          <w:spacing w:val="8"/>
          <w:szCs w:val="21"/>
        </w:rPr>
        <w:t>＝</w:t>
      </w:r>
      <w:r>
        <w:rPr>
          <w:rFonts w:ascii="Arial" w:hAnsi="Arial" w:hint="eastAsia"/>
          <w:spacing w:val="8"/>
          <w:szCs w:val="21"/>
        </w:rPr>
        <w:t>固定金额</w:t>
      </w:r>
    </w:p>
    <w:p w14:paraId="31F5BA99"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申购费用</w:t>
      </w:r>
    </w:p>
    <w:p w14:paraId="3B04403F"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spacing w:val="8"/>
          <w:szCs w:val="21"/>
        </w:rPr>
        <w:t>＝</w:t>
      </w: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申购当日</w:t>
      </w:r>
      <w:r>
        <w:rPr>
          <w:rFonts w:ascii="Arial" w:hAnsi="Arial" w:hint="eastAsia"/>
          <w:spacing w:val="8"/>
          <w:szCs w:val="21"/>
        </w:rPr>
        <w:t>A</w:t>
      </w:r>
      <w:r>
        <w:rPr>
          <w:rFonts w:ascii="Arial" w:hAnsi="Arial" w:hint="eastAsia"/>
          <w:spacing w:val="8"/>
          <w:szCs w:val="21"/>
        </w:rPr>
        <w:t>类基金份额净值</w:t>
      </w:r>
    </w:p>
    <w:p w14:paraId="2D21815C"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w:t>
      </w:r>
      <w:r>
        <w:rPr>
          <w:rFonts w:ascii="Arial" w:hAnsi="Arial"/>
          <w:spacing w:val="8"/>
          <w:szCs w:val="21"/>
        </w:rPr>
        <w:t>计算结果均按照四舍五入方法，保留</w:t>
      </w:r>
      <w:r>
        <w:rPr>
          <w:rFonts w:ascii="Arial" w:hAnsi="Arial" w:hint="eastAsia"/>
          <w:spacing w:val="8"/>
          <w:szCs w:val="21"/>
        </w:rPr>
        <w:t>到</w:t>
      </w:r>
      <w:r>
        <w:rPr>
          <w:rFonts w:ascii="Arial" w:hAnsi="Arial"/>
          <w:spacing w:val="8"/>
          <w:szCs w:val="21"/>
        </w:rPr>
        <w:t>小数点后两位，由此误差产生的损失由基金财产承担，产生的收益</w:t>
      </w:r>
      <w:proofErr w:type="gramStart"/>
      <w:r>
        <w:rPr>
          <w:rFonts w:ascii="Arial" w:hAnsi="Arial"/>
          <w:spacing w:val="8"/>
          <w:szCs w:val="21"/>
        </w:rPr>
        <w:t>归基金</w:t>
      </w:r>
      <w:proofErr w:type="gramEnd"/>
      <w:r>
        <w:rPr>
          <w:rFonts w:ascii="Arial" w:hAnsi="Arial"/>
          <w:spacing w:val="8"/>
          <w:szCs w:val="21"/>
        </w:rPr>
        <w:t>财产所有。</w:t>
      </w:r>
    </w:p>
    <w:p w14:paraId="796C8368"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w:t>
      </w:r>
      <w:r>
        <w:rPr>
          <w:rFonts w:ascii="Arial" w:hAnsi="Arial" w:hint="eastAsia"/>
          <w:spacing w:val="8"/>
          <w:szCs w:val="21"/>
        </w:rPr>
        <w:t>2</w:t>
      </w:r>
      <w:r>
        <w:rPr>
          <w:rFonts w:ascii="Arial" w:hAnsi="Arial" w:hint="eastAsia"/>
          <w:spacing w:val="8"/>
          <w:szCs w:val="21"/>
        </w:rPr>
        <w:t>）</w:t>
      </w:r>
      <w:r>
        <w:rPr>
          <w:rFonts w:ascii="Arial" w:hAnsi="Arial" w:hint="eastAsia"/>
          <w:spacing w:val="8"/>
          <w:szCs w:val="21"/>
        </w:rPr>
        <w:t>C</w:t>
      </w:r>
      <w:r>
        <w:rPr>
          <w:rFonts w:ascii="Arial" w:hAnsi="Arial" w:hint="eastAsia"/>
          <w:spacing w:val="8"/>
          <w:szCs w:val="21"/>
        </w:rPr>
        <w:t>类基金份额</w:t>
      </w:r>
      <w:r>
        <w:rPr>
          <w:rFonts w:ascii="Arial" w:hAnsi="Arial" w:hint="eastAsia"/>
          <w:spacing w:val="8"/>
          <w:szCs w:val="21"/>
        </w:rPr>
        <w:t xml:space="preserve"> </w:t>
      </w:r>
    </w:p>
    <w:p w14:paraId="52FA1694"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hint="eastAsia"/>
          <w:spacing w:val="8"/>
          <w:szCs w:val="21"/>
        </w:rPr>
        <w:t>=</w:t>
      </w:r>
      <w:r>
        <w:rPr>
          <w:rFonts w:ascii="Arial" w:hAnsi="Arial" w:hint="eastAsia"/>
          <w:spacing w:val="8"/>
          <w:szCs w:val="21"/>
        </w:rPr>
        <w:t>申购金额</w:t>
      </w:r>
      <w:r>
        <w:rPr>
          <w:rFonts w:ascii="Arial" w:hAnsi="Arial" w:hint="eastAsia"/>
          <w:spacing w:val="8"/>
          <w:szCs w:val="21"/>
        </w:rPr>
        <w:t>/</w:t>
      </w:r>
      <w:r>
        <w:rPr>
          <w:rFonts w:ascii="Arial" w:hAnsi="Arial" w:hint="eastAsia"/>
          <w:spacing w:val="8"/>
          <w:szCs w:val="21"/>
        </w:rPr>
        <w:t>申购当日</w:t>
      </w:r>
      <w:r>
        <w:rPr>
          <w:rFonts w:ascii="Arial" w:hAnsi="Arial" w:hint="eastAsia"/>
          <w:spacing w:val="8"/>
          <w:szCs w:val="21"/>
        </w:rPr>
        <w:t>C</w:t>
      </w:r>
      <w:r>
        <w:rPr>
          <w:rFonts w:ascii="Arial" w:hAnsi="Arial" w:hint="eastAsia"/>
          <w:spacing w:val="8"/>
          <w:szCs w:val="21"/>
        </w:rPr>
        <w:t>类基金份额净值</w:t>
      </w:r>
      <w:r>
        <w:rPr>
          <w:rFonts w:ascii="Arial" w:hAnsi="Arial" w:hint="eastAsia"/>
          <w:spacing w:val="8"/>
          <w:szCs w:val="21"/>
        </w:rPr>
        <w:t xml:space="preserve"> </w:t>
      </w:r>
    </w:p>
    <w:p w14:paraId="5F4117E3"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上述计算结果均按照四舍五入方法，保留到小数点后两位，由此误差产生的损失由基金财产承担，产生的收益</w:t>
      </w:r>
      <w:proofErr w:type="gramStart"/>
      <w:r>
        <w:rPr>
          <w:rFonts w:ascii="Arial" w:hAnsi="Arial" w:hint="eastAsia"/>
          <w:spacing w:val="8"/>
          <w:szCs w:val="21"/>
        </w:rPr>
        <w:t>归基金</w:t>
      </w:r>
      <w:proofErr w:type="gramEnd"/>
      <w:r>
        <w:rPr>
          <w:rFonts w:ascii="Arial" w:hAnsi="Arial" w:hint="eastAsia"/>
          <w:spacing w:val="8"/>
          <w:szCs w:val="21"/>
        </w:rPr>
        <w:t>财产所有。</w:t>
      </w:r>
    </w:p>
    <w:p w14:paraId="5F3E3D6C"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例</w:t>
      </w:r>
      <w:r>
        <w:rPr>
          <w:rFonts w:ascii="Arial" w:hAnsi="Arial" w:hint="eastAsia"/>
          <w:spacing w:val="8"/>
          <w:szCs w:val="21"/>
        </w:rPr>
        <w:t>1</w:t>
      </w:r>
      <w:r>
        <w:rPr>
          <w:rFonts w:ascii="Arial" w:hAnsi="Arial"/>
          <w:spacing w:val="8"/>
          <w:szCs w:val="21"/>
        </w:rPr>
        <w:t>：假定</w:t>
      </w:r>
      <w:r>
        <w:rPr>
          <w:rFonts w:ascii="Arial" w:hAnsi="Arial"/>
          <w:spacing w:val="8"/>
          <w:szCs w:val="21"/>
        </w:rPr>
        <w:t>T</w:t>
      </w:r>
      <w:r>
        <w:rPr>
          <w:rFonts w:ascii="Arial" w:hAnsi="Arial"/>
          <w:spacing w:val="8"/>
          <w:szCs w:val="21"/>
        </w:rPr>
        <w:t>日</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基金份额净值为</w:t>
      </w:r>
      <w:r>
        <w:rPr>
          <w:rFonts w:ascii="Arial" w:hAnsi="Arial" w:hint="eastAsia"/>
          <w:spacing w:val="8"/>
          <w:szCs w:val="21"/>
        </w:rPr>
        <w:t>1.016</w:t>
      </w:r>
      <w:r>
        <w:rPr>
          <w:rFonts w:ascii="Arial" w:hAnsi="Arial"/>
          <w:spacing w:val="8"/>
          <w:szCs w:val="21"/>
        </w:rPr>
        <w:t>元，某投资</w:t>
      </w:r>
      <w:r>
        <w:rPr>
          <w:rFonts w:ascii="Arial" w:hAnsi="Arial" w:hint="eastAsia"/>
          <w:spacing w:val="8"/>
          <w:szCs w:val="21"/>
        </w:rPr>
        <w:t>人</w:t>
      </w:r>
      <w:r>
        <w:rPr>
          <w:rFonts w:ascii="Arial" w:hAnsi="Arial"/>
          <w:spacing w:val="8"/>
          <w:szCs w:val="21"/>
        </w:rPr>
        <w:t>本次</w:t>
      </w:r>
      <w:r>
        <w:rPr>
          <w:rFonts w:ascii="Arial" w:hAnsi="Arial" w:hint="eastAsia"/>
          <w:spacing w:val="8"/>
          <w:szCs w:val="21"/>
        </w:rPr>
        <w:t>通过</w:t>
      </w:r>
      <w:r>
        <w:rPr>
          <w:rFonts w:ascii="Arial" w:hAnsi="Arial"/>
          <w:spacing w:val="8"/>
          <w:szCs w:val="21"/>
        </w:rPr>
        <w:t>申购本基金</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w:t>
      </w:r>
      <w:r>
        <w:rPr>
          <w:rFonts w:ascii="Arial" w:hAnsi="Arial" w:hint="eastAsia"/>
          <w:spacing w:val="8"/>
          <w:szCs w:val="21"/>
        </w:rPr>
        <w:t>10</w:t>
      </w:r>
      <w:r>
        <w:rPr>
          <w:rFonts w:ascii="Arial" w:hAnsi="Arial"/>
          <w:spacing w:val="8"/>
          <w:szCs w:val="21"/>
        </w:rPr>
        <w:t>万元，对应的本次申购费率为</w:t>
      </w:r>
      <w:r>
        <w:rPr>
          <w:rFonts w:ascii="Arial" w:hAnsi="Arial" w:hint="eastAsia"/>
          <w:spacing w:val="8"/>
          <w:szCs w:val="21"/>
        </w:rPr>
        <w:t>0.80</w:t>
      </w:r>
      <w:r>
        <w:rPr>
          <w:rFonts w:ascii="Arial" w:hAnsi="Arial"/>
          <w:spacing w:val="8"/>
          <w:szCs w:val="21"/>
        </w:rPr>
        <w:t>%</w:t>
      </w:r>
      <w:r>
        <w:rPr>
          <w:rFonts w:ascii="Arial" w:hAnsi="Arial"/>
          <w:spacing w:val="8"/>
          <w:szCs w:val="21"/>
        </w:rPr>
        <w:t>，该投资</w:t>
      </w:r>
      <w:r>
        <w:rPr>
          <w:rFonts w:ascii="Arial" w:hAnsi="Arial" w:hint="eastAsia"/>
          <w:spacing w:val="8"/>
          <w:szCs w:val="21"/>
        </w:rPr>
        <w:t>人</w:t>
      </w:r>
      <w:r>
        <w:rPr>
          <w:rFonts w:ascii="Arial" w:hAnsi="Arial"/>
          <w:spacing w:val="8"/>
          <w:szCs w:val="21"/>
        </w:rPr>
        <w:t>可得到的</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基金份额为：</w:t>
      </w:r>
    </w:p>
    <w:p w14:paraId="71C74FE4"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净申购金额＝</w:t>
      </w:r>
      <w:r>
        <w:rPr>
          <w:rFonts w:ascii="Arial" w:hAnsi="Arial"/>
          <w:spacing w:val="8"/>
          <w:szCs w:val="21"/>
        </w:rPr>
        <w:t>100,000/ (1</w:t>
      </w:r>
      <w:r>
        <w:rPr>
          <w:rFonts w:ascii="Arial" w:hAnsi="Arial"/>
          <w:spacing w:val="8"/>
          <w:szCs w:val="21"/>
        </w:rPr>
        <w:t>＋</w:t>
      </w:r>
      <w:r>
        <w:rPr>
          <w:rFonts w:ascii="Arial" w:hAnsi="Arial"/>
          <w:spacing w:val="8"/>
          <w:szCs w:val="21"/>
        </w:rPr>
        <w:t>0.</w:t>
      </w:r>
      <w:r>
        <w:rPr>
          <w:rFonts w:ascii="Arial" w:hAnsi="Arial" w:hint="eastAsia"/>
          <w:spacing w:val="8"/>
          <w:szCs w:val="21"/>
        </w:rPr>
        <w:t>8</w:t>
      </w:r>
      <w:r>
        <w:rPr>
          <w:rFonts w:ascii="Arial" w:hAnsi="Arial"/>
          <w:spacing w:val="8"/>
          <w:szCs w:val="21"/>
        </w:rPr>
        <w:t>0%)</w:t>
      </w:r>
      <w:r>
        <w:rPr>
          <w:rFonts w:ascii="Arial" w:hAnsi="Arial"/>
          <w:spacing w:val="8"/>
          <w:szCs w:val="21"/>
        </w:rPr>
        <w:t>＝</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元</w:t>
      </w:r>
    </w:p>
    <w:p w14:paraId="0650E11B"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申购费用＝</w:t>
      </w:r>
      <w:r>
        <w:rPr>
          <w:rFonts w:ascii="Arial" w:hAnsi="Arial"/>
          <w:spacing w:val="8"/>
          <w:szCs w:val="21"/>
        </w:rPr>
        <w:t>100,000</w:t>
      </w:r>
      <w:r>
        <w:rPr>
          <w:rFonts w:ascii="Arial" w:hAnsi="Arial"/>
          <w:spacing w:val="8"/>
          <w:szCs w:val="21"/>
        </w:rPr>
        <w:t>－</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w:t>
      </w:r>
      <w:r>
        <w:rPr>
          <w:rFonts w:ascii="Arial" w:hAnsi="Arial" w:hint="eastAsia"/>
          <w:spacing w:val="8"/>
          <w:szCs w:val="21"/>
        </w:rPr>
        <w:t>7</w:t>
      </w:r>
      <w:r>
        <w:rPr>
          <w:rFonts w:ascii="Arial" w:hAnsi="Arial"/>
          <w:spacing w:val="8"/>
          <w:szCs w:val="21"/>
        </w:rPr>
        <w:t>9</w:t>
      </w:r>
      <w:r>
        <w:rPr>
          <w:rFonts w:ascii="Arial" w:hAnsi="Arial" w:hint="eastAsia"/>
          <w:spacing w:val="8"/>
          <w:szCs w:val="21"/>
        </w:rPr>
        <w:t>3</w:t>
      </w:r>
      <w:r>
        <w:rPr>
          <w:rFonts w:ascii="Arial" w:hAnsi="Arial"/>
          <w:spacing w:val="8"/>
          <w:szCs w:val="21"/>
        </w:rPr>
        <w:t>.</w:t>
      </w:r>
      <w:r>
        <w:rPr>
          <w:rFonts w:ascii="Arial" w:hAnsi="Arial" w:hint="eastAsia"/>
          <w:spacing w:val="8"/>
          <w:szCs w:val="21"/>
        </w:rPr>
        <w:t>65</w:t>
      </w:r>
      <w:r>
        <w:rPr>
          <w:rFonts w:ascii="Arial" w:hAnsi="Arial"/>
          <w:spacing w:val="8"/>
          <w:szCs w:val="21"/>
        </w:rPr>
        <w:t>元</w:t>
      </w:r>
    </w:p>
    <w:p w14:paraId="67D88546"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申购份额＝</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 xml:space="preserve">/1.016 </w:t>
      </w:r>
      <w:r>
        <w:rPr>
          <w:rFonts w:ascii="Arial" w:hAnsi="Arial"/>
          <w:spacing w:val="8"/>
          <w:szCs w:val="21"/>
        </w:rPr>
        <w:t>＝</w:t>
      </w:r>
      <w:r>
        <w:rPr>
          <w:rFonts w:ascii="Arial" w:hAnsi="Arial"/>
          <w:spacing w:val="8"/>
          <w:szCs w:val="21"/>
        </w:rPr>
        <w:t>97,</w:t>
      </w:r>
      <w:r>
        <w:rPr>
          <w:rFonts w:ascii="Arial" w:hAnsi="Arial" w:hint="eastAsia"/>
          <w:spacing w:val="8"/>
          <w:szCs w:val="21"/>
        </w:rPr>
        <w:t>644</w:t>
      </w:r>
      <w:r>
        <w:rPr>
          <w:rFonts w:ascii="Arial" w:hAnsi="Arial"/>
          <w:spacing w:val="8"/>
          <w:szCs w:val="21"/>
        </w:rPr>
        <w:t>.</w:t>
      </w:r>
      <w:r>
        <w:rPr>
          <w:rFonts w:ascii="Arial" w:hAnsi="Arial" w:hint="eastAsia"/>
          <w:spacing w:val="8"/>
          <w:szCs w:val="21"/>
        </w:rPr>
        <w:t>04</w:t>
      </w:r>
      <w:r>
        <w:rPr>
          <w:rFonts w:ascii="Arial" w:hAnsi="Arial"/>
          <w:spacing w:val="8"/>
          <w:szCs w:val="21"/>
        </w:rPr>
        <w:t>份</w:t>
      </w:r>
    </w:p>
    <w:p w14:paraId="787DBEAB"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即：投资者投资</w:t>
      </w:r>
      <w:r>
        <w:rPr>
          <w:rFonts w:ascii="Arial" w:hAnsi="Arial" w:hint="eastAsia"/>
          <w:spacing w:val="8"/>
          <w:szCs w:val="21"/>
        </w:rPr>
        <w:t>10</w:t>
      </w:r>
      <w:r>
        <w:rPr>
          <w:rFonts w:ascii="Arial" w:hAnsi="Arial"/>
          <w:spacing w:val="8"/>
          <w:szCs w:val="21"/>
        </w:rPr>
        <w:t>万元申购本基金</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基金份额，假定申购当日</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基金份额净值为</w:t>
      </w:r>
      <w:r>
        <w:rPr>
          <w:rFonts w:ascii="Arial" w:hAnsi="Arial" w:hint="eastAsia"/>
          <w:spacing w:val="8"/>
          <w:szCs w:val="21"/>
        </w:rPr>
        <w:t>1.016</w:t>
      </w:r>
      <w:r>
        <w:rPr>
          <w:rFonts w:ascii="Arial" w:hAnsi="Arial"/>
          <w:spacing w:val="8"/>
          <w:szCs w:val="21"/>
        </w:rPr>
        <w:t>元，可得到</w:t>
      </w:r>
      <w:r>
        <w:rPr>
          <w:rFonts w:ascii="Arial" w:hAnsi="Arial"/>
          <w:spacing w:val="8"/>
          <w:szCs w:val="21"/>
        </w:rPr>
        <w:t>97,</w:t>
      </w:r>
      <w:r>
        <w:rPr>
          <w:rFonts w:ascii="Arial" w:hAnsi="Arial" w:hint="eastAsia"/>
          <w:spacing w:val="8"/>
          <w:szCs w:val="21"/>
        </w:rPr>
        <w:t>644</w:t>
      </w:r>
      <w:r>
        <w:rPr>
          <w:rFonts w:ascii="Arial" w:hAnsi="Arial"/>
          <w:spacing w:val="8"/>
          <w:szCs w:val="21"/>
        </w:rPr>
        <w:t>.</w:t>
      </w:r>
      <w:r>
        <w:rPr>
          <w:rFonts w:ascii="Arial" w:hAnsi="Arial" w:hint="eastAsia"/>
          <w:spacing w:val="8"/>
          <w:szCs w:val="21"/>
        </w:rPr>
        <w:t>04</w:t>
      </w:r>
      <w:r>
        <w:rPr>
          <w:rFonts w:ascii="Arial" w:hAnsi="Arial"/>
          <w:spacing w:val="8"/>
          <w:szCs w:val="21"/>
        </w:rPr>
        <w:t>份</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w:t>
      </w:r>
    </w:p>
    <w:p w14:paraId="0B08AA13"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例</w:t>
      </w:r>
      <w:r>
        <w:rPr>
          <w:rFonts w:ascii="Arial" w:hAnsi="Arial" w:hint="eastAsia"/>
          <w:spacing w:val="8"/>
          <w:szCs w:val="21"/>
        </w:rPr>
        <w:t>2</w:t>
      </w:r>
      <w:r>
        <w:rPr>
          <w:rFonts w:ascii="Arial" w:hAnsi="Arial" w:hint="eastAsia"/>
          <w:spacing w:val="8"/>
          <w:szCs w:val="21"/>
        </w:rPr>
        <w:t>：假设某投资者投资</w:t>
      </w:r>
      <w:r>
        <w:rPr>
          <w:rFonts w:ascii="Arial" w:hAnsi="Arial" w:hint="eastAsia"/>
          <w:spacing w:val="8"/>
          <w:szCs w:val="21"/>
        </w:rPr>
        <w:t>10</w:t>
      </w:r>
      <w:r>
        <w:rPr>
          <w:rFonts w:ascii="Arial" w:hAnsi="Arial" w:hint="eastAsia"/>
          <w:spacing w:val="8"/>
          <w:szCs w:val="21"/>
        </w:rPr>
        <w:t>万元申购本基金</w:t>
      </w:r>
      <w:r>
        <w:rPr>
          <w:rFonts w:ascii="Arial" w:hAnsi="Arial" w:hint="eastAsia"/>
          <w:spacing w:val="8"/>
          <w:szCs w:val="21"/>
        </w:rPr>
        <w:t>C</w:t>
      </w:r>
      <w:r>
        <w:rPr>
          <w:rFonts w:ascii="Arial" w:hAnsi="Arial" w:hint="eastAsia"/>
          <w:spacing w:val="8"/>
          <w:szCs w:val="21"/>
        </w:rPr>
        <w:t>类基金份额，申购当日本基金</w:t>
      </w:r>
      <w:r>
        <w:rPr>
          <w:rFonts w:ascii="Arial" w:hAnsi="Arial" w:hint="eastAsia"/>
          <w:spacing w:val="8"/>
          <w:szCs w:val="21"/>
        </w:rPr>
        <w:t>C</w:t>
      </w:r>
      <w:r>
        <w:rPr>
          <w:rFonts w:ascii="Arial" w:hAnsi="Arial" w:hint="eastAsia"/>
          <w:spacing w:val="8"/>
          <w:szCs w:val="21"/>
        </w:rPr>
        <w:t>类基金份额净值为</w:t>
      </w:r>
      <w:r>
        <w:rPr>
          <w:rFonts w:ascii="Arial" w:hAnsi="Arial" w:hint="eastAsia"/>
          <w:spacing w:val="8"/>
          <w:szCs w:val="21"/>
        </w:rPr>
        <w:t xml:space="preserve">1.060 </w:t>
      </w:r>
      <w:r>
        <w:rPr>
          <w:rFonts w:ascii="Arial" w:hAnsi="Arial" w:hint="eastAsia"/>
          <w:spacing w:val="8"/>
          <w:szCs w:val="21"/>
        </w:rPr>
        <w:t>元，则可得到的申购份额为：</w:t>
      </w:r>
    </w:p>
    <w:p w14:paraId="6671496E"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hint="eastAsia"/>
          <w:spacing w:val="8"/>
          <w:szCs w:val="21"/>
        </w:rPr>
        <w:t>100,000/1.060</w:t>
      </w:r>
      <w:r>
        <w:rPr>
          <w:rFonts w:ascii="Arial" w:hAnsi="Arial" w:hint="eastAsia"/>
          <w:spacing w:val="8"/>
          <w:szCs w:val="21"/>
        </w:rPr>
        <w:t>＝</w:t>
      </w:r>
      <w:r>
        <w:rPr>
          <w:rFonts w:ascii="Arial" w:hAnsi="Arial" w:hint="eastAsia"/>
          <w:spacing w:val="8"/>
          <w:szCs w:val="21"/>
        </w:rPr>
        <w:t>94,339.62</w:t>
      </w:r>
      <w:r>
        <w:rPr>
          <w:rFonts w:ascii="Arial" w:hAnsi="Arial" w:hint="eastAsia"/>
          <w:spacing w:val="8"/>
          <w:szCs w:val="21"/>
        </w:rPr>
        <w:t>份</w:t>
      </w:r>
    </w:p>
    <w:p w14:paraId="231AF973" w14:textId="77777777" w:rsidR="004C06C5" w:rsidRDefault="00ED474B">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即：投资者投资</w:t>
      </w:r>
      <w:r>
        <w:rPr>
          <w:rFonts w:ascii="Arial" w:hAnsi="Arial" w:hint="eastAsia"/>
          <w:spacing w:val="8"/>
          <w:szCs w:val="21"/>
        </w:rPr>
        <w:t>10</w:t>
      </w:r>
      <w:r>
        <w:rPr>
          <w:rFonts w:ascii="Arial" w:hAnsi="Arial" w:hint="eastAsia"/>
          <w:spacing w:val="8"/>
          <w:szCs w:val="21"/>
        </w:rPr>
        <w:t>万元申购本基金</w:t>
      </w:r>
      <w:r>
        <w:rPr>
          <w:rFonts w:ascii="Arial" w:hAnsi="Arial" w:hint="eastAsia"/>
          <w:spacing w:val="8"/>
          <w:szCs w:val="21"/>
        </w:rPr>
        <w:t>C</w:t>
      </w:r>
      <w:r>
        <w:rPr>
          <w:rFonts w:ascii="Arial" w:hAnsi="Arial" w:hint="eastAsia"/>
          <w:spacing w:val="8"/>
          <w:szCs w:val="21"/>
        </w:rPr>
        <w:t>类基金份额，假设申购当日本基金</w:t>
      </w:r>
      <w:r>
        <w:rPr>
          <w:rFonts w:ascii="Arial" w:hAnsi="Arial" w:hint="eastAsia"/>
          <w:spacing w:val="8"/>
          <w:szCs w:val="21"/>
        </w:rPr>
        <w:t>C</w:t>
      </w:r>
      <w:r>
        <w:rPr>
          <w:rFonts w:ascii="Arial" w:hAnsi="Arial" w:hint="eastAsia"/>
          <w:spacing w:val="8"/>
          <w:szCs w:val="21"/>
        </w:rPr>
        <w:t>类基金份额净值为</w:t>
      </w:r>
      <w:r>
        <w:rPr>
          <w:rFonts w:ascii="Arial" w:hAnsi="Arial" w:hint="eastAsia"/>
          <w:spacing w:val="8"/>
          <w:szCs w:val="21"/>
        </w:rPr>
        <w:t>1.060</w:t>
      </w:r>
      <w:r>
        <w:rPr>
          <w:rFonts w:ascii="Arial" w:hAnsi="Arial" w:hint="eastAsia"/>
          <w:spacing w:val="8"/>
          <w:szCs w:val="21"/>
        </w:rPr>
        <w:t>元，则其可得到</w:t>
      </w:r>
      <w:r>
        <w:rPr>
          <w:rFonts w:ascii="Arial" w:hAnsi="Arial" w:hint="eastAsia"/>
          <w:spacing w:val="8"/>
          <w:szCs w:val="21"/>
        </w:rPr>
        <w:t>94,339.62</w:t>
      </w:r>
      <w:r>
        <w:rPr>
          <w:rFonts w:ascii="Arial" w:hAnsi="Arial" w:hint="eastAsia"/>
          <w:spacing w:val="8"/>
          <w:szCs w:val="21"/>
        </w:rPr>
        <w:t>份</w:t>
      </w:r>
      <w:r>
        <w:rPr>
          <w:rFonts w:ascii="Arial" w:hAnsi="Arial" w:hint="eastAsia"/>
          <w:spacing w:val="8"/>
          <w:szCs w:val="21"/>
        </w:rPr>
        <w:t>C</w:t>
      </w:r>
      <w:r>
        <w:rPr>
          <w:rFonts w:ascii="Arial" w:hAnsi="Arial" w:hint="eastAsia"/>
          <w:spacing w:val="8"/>
          <w:szCs w:val="21"/>
        </w:rPr>
        <w:t>类基金份额。</w:t>
      </w:r>
    </w:p>
    <w:p w14:paraId="5CE06740" w14:textId="77777777" w:rsidR="004C06C5" w:rsidRDefault="00ED474B">
      <w:pPr>
        <w:adjustRightInd w:val="0"/>
        <w:snapToGrid w:val="0"/>
        <w:spacing w:line="360" w:lineRule="auto"/>
        <w:ind w:firstLineChars="200" w:firstLine="420"/>
        <w:rPr>
          <w:rFonts w:ascii="Arial" w:hAnsi="Arial" w:cs="Arial"/>
          <w:szCs w:val="21"/>
        </w:rPr>
      </w:pPr>
      <w:r>
        <w:rPr>
          <w:rFonts w:ascii="Arial" w:hAnsi="Arial" w:cs="Arial"/>
          <w:szCs w:val="21"/>
        </w:rPr>
        <w:t>2</w:t>
      </w:r>
      <w:r>
        <w:rPr>
          <w:rFonts w:ascii="Arial" w:hAnsi="Arial" w:cs="Arial"/>
          <w:szCs w:val="21"/>
        </w:rPr>
        <w:t>、</w:t>
      </w:r>
      <w:r>
        <w:rPr>
          <w:rFonts w:ascii="Arial" w:hAnsi="Arial" w:cs="Arial"/>
          <w:szCs w:val="21"/>
        </w:rPr>
        <w:t xml:space="preserve"> </w:t>
      </w:r>
      <w:r>
        <w:rPr>
          <w:rFonts w:ascii="Arial" w:hAnsi="Arial" w:cs="Arial"/>
          <w:szCs w:val="21"/>
        </w:rPr>
        <w:t>赎回金额的计算方式：</w:t>
      </w:r>
    </w:p>
    <w:p w14:paraId="27E5DE1D" w14:textId="77777777"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赎回总额</w:t>
      </w:r>
      <w:r>
        <w:rPr>
          <w:rFonts w:ascii="Arial" w:hAnsi="Arial" w:cs="Arial"/>
        </w:rPr>
        <w:t>=</w:t>
      </w:r>
      <w:r>
        <w:rPr>
          <w:rFonts w:ascii="Arial" w:hAnsi="Arial" w:cs="Arial" w:hint="eastAsia"/>
        </w:rPr>
        <w:t>赎回份额×</w:t>
      </w:r>
      <w:r>
        <w:rPr>
          <w:rFonts w:ascii="Arial" w:hAnsi="Arial" w:cs="Arial"/>
        </w:rPr>
        <w:t xml:space="preserve">T </w:t>
      </w:r>
      <w:r>
        <w:rPr>
          <w:rFonts w:ascii="Arial" w:hAnsi="Arial" w:cs="Arial" w:hint="eastAsia"/>
        </w:rPr>
        <w:t>日该类基金份额净值</w:t>
      </w:r>
    </w:p>
    <w:p w14:paraId="3886CC89" w14:textId="77777777"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赎回费用</w:t>
      </w:r>
      <w:r>
        <w:rPr>
          <w:rFonts w:ascii="Arial" w:hAnsi="Arial" w:cs="Arial"/>
        </w:rPr>
        <w:t>=</w:t>
      </w:r>
      <w:r>
        <w:rPr>
          <w:rFonts w:ascii="Arial" w:hAnsi="Arial" w:cs="Arial" w:hint="eastAsia"/>
        </w:rPr>
        <w:t>赎回总额×赎回费率</w:t>
      </w:r>
    </w:p>
    <w:p w14:paraId="266180FB" w14:textId="77777777"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赎回金额</w:t>
      </w:r>
      <w:r>
        <w:rPr>
          <w:rFonts w:ascii="Arial" w:hAnsi="Arial" w:cs="Arial"/>
        </w:rPr>
        <w:t>=</w:t>
      </w:r>
      <w:r>
        <w:rPr>
          <w:rFonts w:ascii="Arial" w:hAnsi="Arial" w:cs="Arial" w:hint="eastAsia"/>
        </w:rPr>
        <w:t>赎回总额－赎回费用</w:t>
      </w:r>
    </w:p>
    <w:p w14:paraId="059DF587" w14:textId="77777777" w:rsidR="004C06C5" w:rsidRDefault="00ED474B">
      <w:pPr>
        <w:adjustRightInd w:val="0"/>
        <w:ind w:firstLineChars="200" w:firstLine="420"/>
        <w:rPr>
          <w:rFonts w:cs="Arial"/>
          <w:bCs/>
        </w:rPr>
      </w:pPr>
      <w:r>
        <w:rPr>
          <w:rFonts w:cs="Arial" w:hint="eastAsia"/>
          <w:bCs/>
        </w:rPr>
        <w:lastRenderedPageBreak/>
        <w:t>上述计算结果均按四舍五入方法，保留到小数点后</w:t>
      </w:r>
      <w:r>
        <w:rPr>
          <w:rFonts w:cs="Arial"/>
          <w:bCs/>
        </w:rPr>
        <w:t>2</w:t>
      </w:r>
      <w:r>
        <w:rPr>
          <w:rFonts w:cs="Arial" w:hint="eastAsia"/>
          <w:bCs/>
        </w:rPr>
        <w:t>位，由此产生的收益或损失由基金财产承担。</w:t>
      </w:r>
    </w:p>
    <w:p w14:paraId="17E0F571" w14:textId="77777777" w:rsidR="004C06C5" w:rsidRDefault="00ED474B">
      <w:pPr>
        <w:adjustRightInd w:val="0"/>
        <w:snapToGrid w:val="0"/>
        <w:spacing w:line="360" w:lineRule="auto"/>
        <w:ind w:firstLineChars="200" w:firstLine="420"/>
        <w:rPr>
          <w:rFonts w:ascii="Arial" w:hAnsi="Arial" w:cs="Arial"/>
        </w:rPr>
      </w:pPr>
      <w:r>
        <w:rPr>
          <w:rFonts w:ascii="Arial" w:hAnsi="Arial" w:cs="Arial" w:hint="eastAsia"/>
        </w:rPr>
        <w:t>例：某投资者赎回</w:t>
      </w:r>
      <w:r>
        <w:rPr>
          <w:rFonts w:ascii="Arial" w:hAnsi="Arial" w:cs="Arial"/>
        </w:rPr>
        <w:t xml:space="preserve">10,000 </w:t>
      </w:r>
      <w:r>
        <w:rPr>
          <w:rFonts w:ascii="Arial" w:hAnsi="Arial" w:cs="Arial" w:hint="eastAsia"/>
        </w:rPr>
        <w:t>份</w:t>
      </w:r>
      <w:r>
        <w:rPr>
          <w:rFonts w:ascii="Arial" w:hAnsi="Arial" w:cs="Arial" w:hint="eastAsia"/>
        </w:rPr>
        <w:t>A</w:t>
      </w:r>
      <w:r>
        <w:rPr>
          <w:rFonts w:ascii="Arial" w:hAnsi="Arial" w:cs="Arial" w:hint="eastAsia"/>
        </w:rPr>
        <w:t>类基金份额且持有时间不满</w:t>
      </w:r>
      <w:r>
        <w:rPr>
          <w:rFonts w:ascii="Arial" w:hAnsi="Arial" w:cs="Arial" w:hint="eastAsia"/>
        </w:rPr>
        <w:t>30</w:t>
      </w:r>
      <w:r>
        <w:rPr>
          <w:rFonts w:ascii="Arial" w:hAnsi="Arial" w:cs="Arial" w:hint="eastAsia"/>
        </w:rPr>
        <w:t>日，假设赎回申请当日</w:t>
      </w:r>
      <w:r>
        <w:rPr>
          <w:rFonts w:ascii="Arial" w:hAnsi="Arial" w:cs="Arial" w:hint="eastAsia"/>
        </w:rPr>
        <w:t>A</w:t>
      </w:r>
      <w:r>
        <w:rPr>
          <w:rFonts w:ascii="Arial" w:hAnsi="Arial" w:cs="Arial" w:hint="eastAsia"/>
        </w:rPr>
        <w:t>类基金份额净值是</w:t>
      </w:r>
      <w:r>
        <w:rPr>
          <w:rFonts w:ascii="Arial" w:hAnsi="Arial" w:cs="Arial"/>
        </w:rPr>
        <w:t xml:space="preserve">1.068 </w:t>
      </w:r>
      <w:r>
        <w:rPr>
          <w:rFonts w:ascii="Arial" w:hAnsi="Arial" w:cs="Arial" w:hint="eastAsia"/>
        </w:rPr>
        <w:t>元，赎回费率为</w:t>
      </w:r>
      <w:r>
        <w:rPr>
          <w:rFonts w:ascii="Arial" w:hAnsi="Arial" w:cs="Arial" w:hint="eastAsia"/>
        </w:rPr>
        <w:t>0</w:t>
      </w:r>
      <w:r>
        <w:rPr>
          <w:rFonts w:ascii="Arial" w:hAnsi="Arial" w:cs="Arial"/>
        </w:rPr>
        <w:t>.75%</w:t>
      </w:r>
      <w:r>
        <w:rPr>
          <w:rFonts w:ascii="Arial" w:hAnsi="Arial" w:cs="Arial" w:hint="eastAsia"/>
        </w:rPr>
        <w:t>，则可得到的赎回金额为：</w:t>
      </w:r>
    </w:p>
    <w:p w14:paraId="2C34A8C6" w14:textId="77777777"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赎回总额</w:t>
      </w:r>
      <w:r>
        <w:rPr>
          <w:rFonts w:ascii="Arial" w:hAnsi="Arial" w:cs="Arial"/>
        </w:rPr>
        <w:t xml:space="preserve"> = 10,000 </w:t>
      </w:r>
      <w:r>
        <w:rPr>
          <w:rFonts w:ascii="Arial" w:hAnsi="Arial" w:cs="Arial" w:hint="eastAsia"/>
        </w:rPr>
        <w:t>×</w:t>
      </w:r>
      <w:r>
        <w:rPr>
          <w:rFonts w:ascii="Arial" w:hAnsi="Arial" w:cs="Arial"/>
        </w:rPr>
        <w:t xml:space="preserve">1.068= 10,680.00 </w:t>
      </w:r>
      <w:r>
        <w:rPr>
          <w:rFonts w:ascii="Arial" w:hAnsi="Arial" w:cs="Arial" w:hint="eastAsia"/>
        </w:rPr>
        <w:t>元</w:t>
      </w:r>
    </w:p>
    <w:p w14:paraId="7B3B7AA9" w14:textId="77777777"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赎回费用</w:t>
      </w:r>
      <w:r>
        <w:rPr>
          <w:rFonts w:ascii="Arial" w:hAnsi="Arial" w:cs="Arial"/>
        </w:rPr>
        <w:t xml:space="preserve"> = 10,680.00 </w:t>
      </w:r>
      <w:r>
        <w:rPr>
          <w:rFonts w:ascii="Arial" w:hAnsi="Arial" w:cs="Arial" w:hint="eastAsia"/>
        </w:rPr>
        <w:t>×</w:t>
      </w:r>
      <w:r>
        <w:rPr>
          <w:rFonts w:ascii="Arial" w:hAnsi="Arial" w:cs="Arial" w:hint="eastAsia"/>
        </w:rPr>
        <w:t>0</w:t>
      </w:r>
      <w:r>
        <w:rPr>
          <w:rFonts w:ascii="Arial" w:hAnsi="Arial" w:cs="Arial"/>
        </w:rPr>
        <w:t>.75% = 80.10</w:t>
      </w:r>
      <w:r>
        <w:rPr>
          <w:rFonts w:ascii="Arial" w:hAnsi="Arial" w:cs="Arial" w:hint="eastAsia"/>
        </w:rPr>
        <w:t>元</w:t>
      </w:r>
    </w:p>
    <w:p w14:paraId="33DD9138" w14:textId="77777777"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赎回金额</w:t>
      </w:r>
      <w:r>
        <w:rPr>
          <w:rFonts w:ascii="Arial" w:hAnsi="Arial" w:cs="Arial"/>
        </w:rPr>
        <w:t xml:space="preserve"> = 10,680.00 –</w:t>
      </w:r>
      <w:r>
        <w:rPr>
          <w:rFonts w:ascii="Arial" w:hAnsi="Arial" w:cs="Arial" w:hint="eastAsia"/>
        </w:rPr>
        <w:t xml:space="preserve"> </w:t>
      </w:r>
      <w:r>
        <w:rPr>
          <w:rFonts w:ascii="Arial" w:hAnsi="Arial" w:cs="Arial"/>
        </w:rPr>
        <w:t xml:space="preserve">80.10 = 10,599.90 </w:t>
      </w:r>
      <w:r>
        <w:rPr>
          <w:rFonts w:ascii="Arial" w:hAnsi="Arial" w:cs="Arial" w:hint="eastAsia"/>
        </w:rPr>
        <w:t>元</w:t>
      </w:r>
    </w:p>
    <w:p w14:paraId="5618D381" w14:textId="77777777" w:rsidR="004C06C5" w:rsidRDefault="00ED474B">
      <w:pPr>
        <w:adjustRightInd w:val="0"/>
        <w:snapToGrid w:val="0"/>
        <w:spacing w:line="360" w:lineRule="auto"/>
        <w:ind w:firstLineChars="200" w:firstLine="420"/>
        <w:rPr>
          <w:rFonts w:ascii="Arial" w:hAnsi="Arial" w:cs="Arial"/>
        </w:rPr>
      </w:pPr>
      <w:r>
        <w:rPr>
          <w:rFonts w:ascii="Arial" w:hAnsi="Arial" w:cs="Arial" w:hint="eastAsia"/>
        </w:rPr>
        <w:t>即：投资者赎回</w:t>
      </w:r>
      <w:r>
        <w:rPr>
          <w:rFonts w:ascii="Arial" w:hAnsi="Arial" w:cs="Arial"/>
        </w:rPr>
        <w:t xml:space="preserve"> 10,000 </w:t>
      </w:r>
      <w:r>
        <w:rPr>
          <w:rFonts w:ascii="Arial" w:hAnsi="Arial" w:cs="Arial" w:hint="eastAsia"/>
        </w:rPr>
        <w:t>份</w:t>
      </w:r>
      <w:r>
        <w:rPr>
          <w:rFonts w:ascii="Arial" w:hAnsi="Arial" w:cs="Arial" w:hint="eastAsia"/>
        </w:rPr>
        <w:t>A</w:t>
      </w:r>
      <w:r>
        <w:rPr>
          <w:rFonts w:ascii="Arial" w:hAnsi="Arial" w:cs="Arial" w:hint="eastAsia"/>
        </w:rPr>
        <w:t>类基金份额且持有时间不满</w:t>
      </w:r>
      <w:r>
        <w:rPr>
          <w:rFonts w:ascii="Arial" w:hAnsi="Arial" w:cs="Arial" w:hint="eastAsia"/>
        </w:rPr>
        <w:t>30</w:t>
      </w:r>
      <w:r>
        <w:rPr>
          <w:rFonts w:ascii="Arial" w:hAnsi="Arial" w:cs="Arial" w:hint="eastAsia"/>
        </w:rPr>
        <w:t>日，假设赎回当日</w:t>
      </w:r>
      <w:r>
        <w:rPr>
          <w:rFonts w:ascii="Arial" w:hAnsi="Arial" w:cs="Arial" w:hint="eastAsia"/>
        </w:rPr>
        <w:t>A</w:t>
      </w:r>
      <w:r>
        <w:rPr>
          <w:rFonts w:ascii="Arial" w:hAnsi="Arial" w:cs="Arial" w:hint="eastAsia"/>
        </w:rPr>
        <w:t>类基金份额的基金份额净值是</w:t>
      </w:r>
      <w:r>
        <w:rPr>
          <w:rFonts w:ascii="Arial" w:hAnsi="Arial" w:cs="Arial"/>
        </w:rPr>
        <w:t xml:space="preserve">1.068 </w:t>
      </w:r>
      <w:r>
        <w:rPr>
          <w:rFonts w:ascii="Arial" w:hAnsi="Arial" w:cs="Arial" w:hint="eastAsia"/>
        </w:rPr>
        <w:t>元，则其可得到的赎回金额为</w:t>
      </w:r>
      <w:r>
        <w:rPr>
          <w:rFonts w:ascii="Arial" w:hAnsi="Arial" w:cs="Arial"/>
        </w:rPr>
        <w:t xml:space="preserve">10,599.90 </w:t>
      </w:r>
      <w:r>
        <w:rPr>
          <w:rFonts w:ascii="Arial" w:hAnsi="Arial" w:cs="Arial" w:hint="eastAsia"/>
        </w:rPr>
        <w:t>元。</w:t>
      </w:r>
    </w:p>
    <w:p w14:paraId="1176E49E" w14:textId="77777777" w:rsidR="004C06C5" w:rsidRDefault="00ED474B">
      <w:pPr>
        <w:adjustRightInd w:val="0"/>
        <w:snapToGrid w:val="0"/>
        <w:spacing w:line="360" w:lineRule="auto"/>
        <w:ind w:firstLineChars="200" w:firstLine="420"/>
        <w:rPr>
          <w:rFonts w:ascii="Arial" w:hAnsi="Arial"/>
        </w:rPr>
      </w:pPr>
      <w:r>
        <w:rPr>
          <w:rFonts w:ascii="Arial" w:hAnsi="Arial" w:cs="Arial"/>
        </w:rPr>
        <w:t>3</w:t>
      </w:r>
      <w:r>
        <w:rPr>
          <w:rFonts w:ascii="Arial" w:hAnsi="Arial" w:cs="Arial"/>
        </w:rPr>
        <w:t>、</w:t>
      </w:r>
      <w:r>
        <w:rPr>
          <w:rFonts w:ascii="Arial" w:hAnsi="Arial" w:cs="Arial"/>
          <w:bCs/>
        </w:rPr>
        <w:t>本基金</w:t>
      </w:r>
      <w:r>
        <w:rPr>
          <w:rFonts w:ascii="Arial" w:hAnsi="Arial" w:cs="Arial"/>
          <w:bCs/>
        </w:rPr>
        <w:t>A</w:t>
      </w:r>
      <w:r>
        <w:rPr>
          <w:rFonts w:ascii="Arial" w:hAnsi="Arial" w:cs="Arial"/>
          <w:bCs/>
        </w:rPr>
        <w:t>类基金份额和</w:t>
      </w:r>
      <w:r>
        <w:rPr>
          <w:rFonts w:ascii="Arial" w:hAnsi="Arial" w:cs="Arial"/>
          <w:bCs/>
        </w:rPr>
        <w:t>C</w:t>
      </w:r>
      <w:r>
        <w:rPr>
          <w:rFonts w:ascii="Arial" w:hAnsi="Arial" w:cs="Arial"/>
          <w:bCs/>
        </w:rPr>
        <w:t>类基金份额分别设置代码，分别计算和公告</w:t>
      </w:r>
      <w:r>
        <w:rPr>
          <w:rFonts w:ascii="Arial" w:hAnsi="Arial" w:cs="Arial" w:hint="eastAsia"/>
          <w:bCs/>
        </w:rPr>
        <w:t>各</w:t>
      </w:r>
      <w:r>
        <w:rPr>
          <w:rFonts w:ascii="Arial" w:hAnsi="Arial" w:cs="Arial"/>
          <w:bCs/>
        </w:rPr>
        <w:t>类基金份额净值和</w:t>
      </w:r>
      <w:r>
        <w:rPr>
          <w:rFonts w:ascii="Arial" w:hAnsi="Arial" w:cs="Arial" w:hint="eastAsia"/>
          <w:bCs/>
        </w:rPr>
        <w:t>各</w:t>
      </w:r>
      <w:r>
        <w:rPr>
          <w:rFonts w:ascii="Arial" w:hAnsi="Arial" w:cs="Arial"/>
          <w:bCs/>
        </w:rPr>
        <w:t>类基金份额累计净值</w:t>
      </w:r>
      <w:r>
        <w:rPr>
          <w:rFonts w:ascii="Arial" w:hAnsi="Arial" w:cs="Arial" w:hint="eastAsia"/>
          <w:bCs/>
        </w:rPr>
        <w:t>。</w:t>
      </w:r>
      <w:r>
        <w:rPr>
          <w:rFonts w:ascii="Arial" w:hAnsi="Arial" w:hint="eastAsia"/>
        </w:rPr>
        <w:t>本基金各类基金份额净值的计算，保留到小数点后</w:t>
      </w:r>
      <w:r>
        <w:rPr>
          <w:rFonts w:ascii="Arial" w:hAnsi="Arial" w:hint="eastAsia"/>
        </w:rPr>
        <w:t>4</w:t>
      </w:r>
      <w:r>
        <w:rPr>
          <w:rFonts w:ascii="Arial" w:hAnsi="Arial" w:hint="eastAsia"/>
        </w:rPr>
        <w:t>位，小数点后第</w:t>
      </w:r>
      <w:r>
        <w:rPr>
          <w:rFonts w:ascii="Arial" w:hAnsi="Arial" w:hint="eastAsia"/>
        </w:rPr>
        <w:t>5</w:t>
      </w:r>
      <w:r>
        <w:rPr>
          <w:rFonts w:ascii="Arial" w:hAnsi="Arial" w:hint="eastAsia"/>
        </w:rPr>
        <w:t>位四舍五入，由此产生的收益或损失由基金财产承担。</w:t>
      </w:r>
      <w:r>
        <w:rPr>
          <w:rFonts w:ascii="Arial" w:hAnsi="Arial" w:hint="eastAsia"/>
        </w:rPr>
        <w:t>T</w:t>
      </w:r>
      <w:r>
        <w:rPr>
          <w:rFonts w:ascii="Arial" w:hAnsi="Arial" w:hint="eastAsia"/>
        </w:rPr>
        <w:t>日的基金份额净值在当天收市后计算，并在</w:t>
      </w:r>
      <w:r>
        <w:rPr>
          <w:rFonts w:ascii="Arial" w:hAnsi="Arial" w:hint="eastAsia"/>
        </w:rPr>
        <w:t>T+1</w:t>
      </w:r>
      <w:r>
        <w:rPr>
          <w:rFonts w:ascii="Arial" w:hAnsi="Arial" w:hint="eastAsia"/>
        </w:rPr>
        <w:t>日内公告。遇特殊情况，经中国证监会同意，可以适当延迟计算或公告。</w:t>
      </w:r>
    </w:p>
    <w:p w14:paraId="192D3254" w14:textId="77777777" w:rsidR="004C06C5" w:rsidRDefault="00ED474B">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14:paraId="75F08B7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、经基金销售机构同意，基金投资者提出的申购和赎回申请，在基金管理人规定的时间之前可以撤销。</w:t>
      </w:r>
    </w:p>
    <w:p w14:paraId="2822607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、投资者申购基金成功后，登记机构在</w:t>
      </w:r>
      <w:r>
        <w:rPr>
          <w:rFonts w:ascii="Arial Unicode MS" w:hAnsi="Arial Unicode MS" w:cs="Arial" w:hint="eastAsia"/>
          <w:kern w:val="0"/>
          <w:szCs w:val="21"/>
        </w:rPr>
        <w:t>T+1</w:t>
      </w:r>
      <w:r>
        <w:rPr>
          <w:rFonts w:ascii="Arial Unicode MS" w:hAnsi="Arial Unicode MS" w:cs="Arial" w:hint="eastAsia"/>
          <w:kern w:val="0"/>
          <w:szCs w:val="21"/>
        </w:rPr>
        <w:t>日为投资者登记权益并办理登记手续，投资人自</w:t>
      </w:r>
      <w:r>
        <w:rPr>
          <w:rFonts w:ascii="Arial Unicode MS" w:hAnsi="Arial Unicode MS" w:cs="Arial" w:hint="eastAsia"/>
          <w:kern w:val="0"/>
          <w:szCs w:val="21"/>
        </w:rPr>
        <w:t>T+2</w:t>
      </w:r>
      <w:r>
        <w:rPr>
          <w:rFonts w:ascii="Arial Unicode MS" w:hAnsi="Arial Unicode MS" w:cs="Arial" w:hint="eastAsia"/>
          <w:kern w:val="0"/>
          <w:szCs w:val="21"/>
        </w:rPr>
        <w:t>日（含该日）后有权赎回该部分基金份额。</w:t>
      </w:r>
    </w:p>
    <w:p w14:paraId="49DB9D2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、投资人赎回基金成功后，登记机构在</w:t>
      </w:r>
      <w:r>
        <w:rPr>
          <w:rFonts w:ascii="Arial Unicode MS" w:hAnsi="Arial Unicode MS" w:cs="Arial" w:hint="eastAsia"/>
          <w:kern w:val="0"/>
          <w:szCs w:val="21"/>
        </w:rPr>
        <w:t>T+1</w:t>
      </w:r>
      <w:r>
        <w:rPr>
          <w:rFonts w:ascii="Arial Unicode MS" w:hAnsi="Arial Unicode MS" w:cs="Arial" w:hint="eastAsia"/>
          <w:kern w:val="0"/>
          <w:szCs w:val="21"/>
        </w:rPr>
        <w:t>日为投资者办理扣除权益的登记手续。</w:t>
      </w:r>
    </w:p>
    <w:p w14:paraId="0928DEE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、基金管理人可以在法律法规允许的范围内，对上述登记办理时间进行调整，但不得实质影响投资者的合法权益，并最迟于开始实施前依照《信息披露办法》的有关规定进行公告。</w:t>
      </w:r>
    </w:p>
    <w:p w14:paraId="7FFBEF73" w14:textId="77777777" w:rsidR="004C06C5" w:rsidRDefault="00ED474B">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7F1DFD1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发生下列情况时，基金管理人可拒绝或暂停接受投资人的申购申请：</w:t>
      </w:r>
    </w:p>
    <w:p w14:paraId="3C8283C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、因不可抗力导致基金无法正常运作。</w:t>
      </w:r>
    </w:p>
    <w:p w14:paraId="7605C327" w14:textId="77777777" w:rsidR="004C06C5" w:rsidRDefault="00ED474B">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、发生基金合同规定的暂停基金资产估值情况时，基金管理人可暂停</w:t>
      </w:r>
      <w:r>
        <w:rPr>
          <w:rFonts w:asciiTheme="minorEastAsia" w:eastAsiaTheme="minorEastAsia" w:hAnsiTheme="minorEastAsia" w:hint="eastAsia"/>
          <w:bCs/>
          <w:szCs w:val="21"/>
        </w:rPr>
        <w:t>接受</w:t>
      </w:r>
      <w:r>
        <w:rPr>
          <w:rFonts w:asciiTheme="minorEastAsia" w:eastAsiaTheme="minorEastAsia" w:hAnsiTheme="minorEastAsia" w:hint="eastAsia"/>
          <w:szCs w:val="21"/>
        </w:rPr>
        <w:t>投资人的申购申请。</w:t>
      </w:r>
    </w:p>
    <w:p w14:paraId="561C9DE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、证券交易所交易时间非正常停市，导致基金管理人无法计算当日基金资产净值。</w:t>
      </w:r>
    </w:p>
    <w:p w14:paraId="22E2DF7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、基金管理人认为接受某笔或某些申购申请可能会影响或损害现有基金份额持有人利益或对存量基金份额持有人利益构成潜在重大不利影响时。</w:t>
      </w:r>
    </w:p>
    <w:p w14:paraId="74A3C0A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、基金资产规模过大，使基金管理人无法找到合适的投资品种，或其他可能对基金业</w:t>
      </w:r>
      <w:r>
        <w:rPr>
          <w:rFonts w:ascii="Arial Unicode MS" w:hAnsi="Arial Unicode MS" w:cs="Arial" w:hint="eastAsia"/>
          <w:kern w:val="0"/>
          <w:szCs w:val="21"/>
        </w:rPr>
        <w:lastRenderedPageBreak/>
        <w:t>绩产生负面影响，从而损害现有基金份额持有人利益的情形。</w:t>
      </w:r>
    </w:p>
    <w:p w14:paraId="4923B4F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、基金管理人、基金托管人、基金份额登记机构、销售机构等因异常情况导致基金销售系统、基金登记系统或基金会计系统无法正常运行。</w:t>
      </w:r>
    </w:p>
    <w:p w14:paraId="79E34FC2" w14:textId="77777777"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7</w:t>
      </w:r>
      <w:r>
        <w:rPr>
          <w:rFonts w:asciiTheme="minorEastAsia" w:eastAsiaTheme="minorEastAsia" w:hAnsiTheme="minorEastAsia" w:hint="eastAsia"/>
          <w:bCs/>
          <w:szCs w:val="21"/>
        </w:rPr>
        <w:t>、基金管理人接受某笔或者某些申购申请有可能导致单一投资者持有基金份额的比例达到或者超过</w:t>
      </w:r>
      <w:r>
        <w:rPr>
          <w:rFonts w:asciiTheme="minorEastAsia" w:eastAsiaTheme="minorEastAsia" w:hAnsiTheme="minorEastAsia"/>
          <w:bCs/>
          <w:szCs w:val="21"/>
        </w:rPr>
        <w:t>50%</w:t>
      </w:r>
      <w:r>
        <w:rPr>
          <w:rFonts w:asciiTheme="minorEastAsia" w:eastAsiaTheme="minorEastAsia" w:hAnsiTheme="minorEastAsia" w:hint="eastAsia"/>
          <w:bCs/>
          <w:szCs w:val="21"/>
        </w:rPr>
        <w:t>，或者变相规避</w:t>
      </w:r>
      <w:r>
        <w:rPr>
          <w:rFonts w:asciiTheme="minorEastAsia" w:eastAsiaTheme="minorEastAsia" w:hAnsiTheme="minorEastAsia"/>
          <w:bCs/>
          <w:szCs w:val="21"/>
        </w:rPr>
        <w:t>50%</w:t>
      </w:r>
      <w:r>
        <w:rPr>
          <w:rFonts w:asciiTheme="minorEastAsia" w:eastAsiaTheme="minorEastAsia" w:hAnsiTheme="minorEastAsia" w:hint="eastAsia"/>
          <w:bCs/>
          <w:szCs w:val="21"/>
        </w:rPr>
        <w:t>集中度的情形时。</w:t>
      </w:r>
    </w:p>
    <w:p w14:paraId="2077BD5D" w14:textId="77777777"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8</w:t>
      </w:r>
      <w:r>
        <w:rPr>
          <w:rFonts w:asciiTheme="minorEastAsia" w:eastAsiaTheme="minorEastAsia" w:hAnsiTheme="minorEastAsia" w:hint="eastAsia"/>
          <w:bCs/>
          <w:szCs w:val="21"/>
        </w:rPr>
        <w:t>、当前一估值日基金资产净值</w:t>
      </w:r>
      <w:r>
        <w:rPr>
          <w:rFonts w:asciiTheme="minorEastAsia" w:eastAsiaTheme="minorEastAsia" w:hAnsiTheme="minorEastAsia"/>
          <w:bCs/>
          <w:szCs w:val="21"/>
        </w:rPr>
        <w:t>50%</w:t>
      </w:r>
      <w:r>
        <w:rPr>
          <w:rFonts w:asciiTheme="minorEastAsia" w:eastAsiaTheme="minorEastAsia" w:hAnsiTheme="minorEastAsia" w:hint="eastAsia"/>
          <w:bCs/>
          <w:szCs w:val="21"/>
        </w:rPr>
        <w:t>以上的资产出现无可参考的活跃市场价格且采用估值技术</w:t>
      </w:r>
      <w:proofErr w:type="gramStart"/>
      <w:r>
        <w:rPr>
          <w:rFonts w:asciiTheme="minorEastAsia" w:eastAsiaTheme="minorEastAsia" w:hAnsiTheme="minorEastAsia" w:hint="eastAsia"/>
          <w:bCs/>
          <w:szCs w:val="21"/>
        </w:rPr>
        <w:t>仍导致</w:t>
      </w:r>
      <w:proofErr w:type="gramEnd"/>
      <w:r>
        <w:rPr>
          <w:rFonts w:asciiTheme="minorEastAsia" w:eastAsiaTheme="minorEastAsia" w:hAnsiTheme="minorEastAsia" w:hint="eastAsia"/>
          <w:bCs/>
          <w:szCs w:val="21"/>
        </w:rPr>
        <w:t>公允价值存在重大不确定性时，经与基金托管人协商确认后，基金管理人应当采取延缓支付赎回款项或暂停接受基金申购赎回申请的措施。</w:t>
      </w:r>
    </w:p>
    <w:p w14:paraId="2CA8643D" w14:textId="77777777"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9</w:t>
      </w:r>
      <w:r>
        <w:rPr>
          <w:rFonts w:asciiTheme="minorEastAsia" w:eastAsiaTheme="minorEastAsia" w:hAnsiTheme="minorEastAsia" w:hint="eastAsia"/>
          <w:bCs/>
          <w:szCs w:val="21"/>
        </w:rPr>
        <w:t>、法律法规规定或中国证监会认定的其他情形。</w:t>
      </w:r>
    </w:p>
    <w:p w14:paraId="531A4EA0" w14:textId="77777777"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发生上述第</w:t>
      </w:r>
      <w:r>
        <w:rPr>
          <w:rFonts w:asciiTheme="minorEastAsia" w:eastAsiaTheme="minorEastAsia" w:hAnsiTheme="minorEastAsia"/>
          <w:bCs/>
          <w:szCs w:val="21"/>
        </w:rPr>
        <w:t>1</w:t>
      </w:r>
      <w:r>
        <w:rPr>
          <w:rFonts w:asciiTheme="minorEastAsia" w:eastAsiaTheme="minorEastAsia" w:hAnsiTheme="minorEastAsia" w:hint="eastAsia"/>
          <w:bCs/>
          <w:szCs w:val="21"/>
        </w:rPr>
        <w:t>、</w:t>
      </w:r>
      <w:r>
        <w:rPr>
          <w:rFonts w:asciiTheme="minorEastAsia" w:eastAsiaTheme="minorEastAsia" w:hAnsiTheme="minorEastAsia"/>
          <w:bCs/>
          <w:szCs w:val="21"/>
        </w:rPr>
        <w:t>2</w:t>
      </w:r>
      <w:r>
        <w:rPr>
          <w:rFonts w:asciiTheme="minorEastAsia" w:eastAsiaTheme="minorEastAsia" w:hAnsiTheme="minorEastAsia" w:hint="eastAsia"/>
          <w:bCs/>
          <w:szCs w:val="21"/>
        </w:rPr>
        <w:t>、</w:t>
      </w:r>
      <w:r>
        <w:rPr>
          <w:rFonts w:asciiTheme="minorEastAsia" w:eastAsiaTheme="minorEastAsia" w:hAnsiTheme="minorEastAsia"/>
          <w:bCs/>
          <w:szCs w:val="21"/>
        </w:rPr>
        <w:t>3</w:t>
      </w:r>
      <w:r>
        <w:rPr>
          <w:rFonts w:asciiTheme="minorEastAsia" w:eastAsiaTheme="minorEastAsia" w:hAnsiTheme="minorEastAsia" w:hint="eastAsia"/>
          <w:bCs/>
          <w:szCs w:val="21"/>
        </w:rPr>
        <w:t>、</w:t>
      </w:r>
      <w:r>
        <w:rPr>
          <w:rFonts w:asciiTheme="minorEastAsia" w:eastAsiaTheme="minorEastAsia" w:hAnsiTheme="minorEastAsia"/>
          <w:bCs/>
          <w:szCs w:val="21"/>
        </w:rPr>
        <w:t>5</w:t>
      </w:r>
      <w:r>
        <w:rPr>
          <w:rFonts w:asciiTheme="minorEastAsia" w:eastAsiaTheme="minorEastAsia" w:hAnsiTheme="minorEastAsia" w:hint="eastAsia"/>
          <w:bCs/>
          <w:szCs w:val="21"/>
        </w:rPr>
        <w:t>、</w:t>
      </w:r>
      <w:r>
        <w:rPr>
          <w:rFonts w:asciiTheme="minorEastAsia" w:eastAsiaTheme="minorEastAsia" w:hAnsiTheme="minorEastAsia"/>
          <w:bCs/>
          <w:szCs w:val="21"/>
        </w:rPr>
        <w:t>6</w:t>
      </w:r>
      <w:r>
        <w:rPr>
          <w:rFonts w:asciiTheme="minorEastAsia" w:eastAsiaTheme="minorEastAsia" w:hAnsiTheme="minorEastAsia" w:hint="eastAsia"/>
          <w:bCs/>
          <w:szCs w:val="21"/>
        </w:rPr>
        <w:t>、</w:t>
      </w:r>
      <w:r>
        <w:rPr>
          <w:rFonts w:asciiTheme="minorEastAsia" w:eastAsiaTheme="minorEastAsia" w:hAnsiTheme="minorEastAsia"/>
          <w:bCs/>
          <w:szCs w:val="21"/>
        </w:rPr>
        <w:t>8</w:t>
      </w:r>
      <w:r>
        <w:rPr>
          <w:rFonts w:asciiTheme="minorEastAsia" w:eastAsiaTheme="minorEastAsia" w:hAnsiTheme="minorEastAsia" w:hint="eastAsia"/>
          <w:bCs/>
          <w:szCs w:val="21"/>
        </w:rPr>
        <w:t>、</w:t>
      </w:r>
      <w:r>
        <w:rPr>
          <w:rFonts w:asciiTheme="minorEastAsia" w:eastAsiaTheme="minorEastAsia" w:hAnsiTheme="minorEastAsia"/>
          <w:bCs/>
          <w:szCs w:val="21"/>
        </w:rPr>
        <w:t>9</w:t>
      </w:r>
      <w:r>
        <w:rPr>
          <w:rFonts w:asciiTheme="minorEastAsia" w:eastAsiaTheme="minorEastAsia" w:hAnsiTheme="minorEastAsia" w:hint="eastAsia"/>
          <w:bCs/>
          <w:szCs w:val="21"/>
        </w:rPr>
        <w:t>项暂停申购情形之一</w:t>
      </w:r>
      <w:proofErr w:type="gramStart"/>
      <w:r>
        <w:rPr>
          <w:rFonts w:asciiTheme="minorEastAsia" w:eastAsiaTheme="minorEastAsia" w:hAnsiTheme="minorEastAsia" w:hint="eastAsia"/>
          <w:bCs/>
          <w:szCs w:val="21"/>
        </w:rPr>
        <w:t>且基金</w:t>
      </w:r>
      <w:proofErr w:type="gramEnd"/>
      <w:r>
        <w:rPr>
          <w:rFonts w:asciiTheme="minorEastAsia" w:eastAsiaTheme="minorEastAsia" w:hAnsiTheme="minorEastAsia" w:hint="eastAsia"/>
          <w:bCs/>
          <w:szCs w:val="21"/>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347417E" w14:textId="77777777" w:rsidR="004C06C5" w:rsidRDefault="00ED474B">
      <w:pPr>
        <w:adjustRightInd w:val="0"/>
        <w:snapToGrid w:val="0"/>
        <w:spacing w:line="360" w:lineRule="auto"/>
        <w:ind w:firstLineChars="200" w:firstLine="422"/>
        <w:rPr>
          <w:rFonts w:ascii="Arial Unicode MS" w:hAnsi="Arial Unicode MS" w:cs="Arial"/>
          <w:b/>
          <w:bCs/>
          <w:szCs w:val="21"/>
          <w:lang w:val="zh-CN"/>
        </w:rPr>
      </w:pPr>
      <w:bookmarkStart w:id="55" w:name="_Hlt70481650"/>
      <w:bookmarkEnd w:id="55"/>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4FA851C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发生下列情形时，基金管理人可暂停接受投资人的赎回申请或延缓支付赎回款项：</w:t>
      </w:r>
    </w:p>
    <w:p w14:paraId="0756BC7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w:t>
      </w:r>
      <w:r>
        <w:rPr>
          <w:rFonts w:ascii="Arial Unicode MS" w:hAnsi="Arial Unicode MS" w:cs="Arial"/>
          <w:kern w:val="0"/>
          <w:szCs w:val="21"/>
        </w:rPr>
        <w:t>因不可抗力导致基金管理人不能支付赎回款项。</w:t>
      </w:r>
    </w:p>
    <w:p w14:paraId="25896518" w14:textId="77777777" w:rsidR="004C06C5" w:rsidRDefault="00ED474B">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、发生基金合同规定的暂停基金资产估值情况时，基金管理人可暂停</w:t>
      </w:r>
      <w:r>
        <w:rPr>
          <w:rFonts w:asciiTheme="minorEastAsia" w:eastAsiaTheme="minorEastAsia" w:hAnsiTheme="minorEastAsia" w:hint="eastAsia"/>
          <w:bCs/>
          <w:szCs w:val="21"/>
        </w:rPr>
        <w:t>接受</w:t>
      </w:r>
      <w:r>
        <w:rPr>
          <w:rFonts w:asciiTheme="minorEastAsia" w:eastAsiaTheme="minorEastAsia" w:hAnsiTheme="minorEastAsia" w:hint="eastAsia"/>
          <w:szCs w:val="21"/>
        </w:rPr>
        <w:t>投资人的赎回申请或延缓支付赎回款项。</w:t>
      </w:r>
    </w:p>
    <w:p w14:paraId="22F81C3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kern w:val="0"/>
          <w:szCs w:val="21"/>
        </w:rPr>
        <w:t>证券交易所交易时间非正常停市，导致基金管理人无法计算当日基金资产</w:t>
      </w:r>
      <w:bookmarkStart w:id="56" w:name="_Hlt152500890"/>
      <w:r>
        <w:rPr>
          <w:rFonts w:ascii="Arial Unicode MS" w:hAnsi="Arial Unicode MS" w:cs="Arial"/>
          <w:kern w:val="0"/>
          <w:szCs w:val="21"/>
        </w:rPr>
        <w:t>净值。</w:t>
      </w:r>
    </w:p>
    <w:p w14:paraId="235F434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w:t>
      </w:r>
      <w:r>
        <w:rPr>
          <w:rFonts w:ascii="Arial Unicode MS" w:hAnsi="Arial Unicode MS" w:cs="Arial"/>
          <w:kern w:val="0"/>
          <w:szCs w:val="21"/>
        </w:rPr>
        <w:t>连续两个或两个以上开放日发生巨额赎回。</w:t>
      </w:r>
    </w:p>
    <w:bookmarkEnd w:id="56"/>
    <w:p w14:paraId="18A581D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、发生继续接受赎回申请将损害</w:t>
      </w:r>
      <w:r>
        <w:rPr>
          <w:rFonts w:ascii="Arial Unicode MS" w:hAnsi="Arial Unicode MS" w:cs="Arial"/>
          <w:kern w:val="0"/>
          <w:szCs w:val="21"/>
        </w:rPr>
        <w:t>现有基金份额持有人利益的情形</w:t>
      </w:r>
      <w:r>
        <w:rPr>
          <w:rFonts w:ascii="Arial Unicode MS" w:hAnsi="Arial Unicode MS" w:cs="Arial" w:hint="eastAsia"/>
          <w:kern w:val="0"/>
          <w:szCs w:val="21"/>
        </w:rPr>
        <w:t>时。</w:t>
      </w:r>
    </w:p>
    <w:p w14:paraId="2073F18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、当前一估值日基金资产净值</w:t>
      </w:r>
      <w:r>
        <w:rPr>
          <w:rFonts w:ascii="Arial Unicode MS" w:hAnsi="Arial Unicode MS" w:cs="Arial" w:hint="eastAsia"/>
          <w:kern w:val="0"/>
          <w:szCs w:val="21"/>
        </w:rPr>
        <w:t>50%</w:t>
      </w:r>
      <w:r>
        <w:rPr>
          <w:rFonts w:ascii="Arial Unicode MS" w:hAnsi="Arial Unicode MS" w:cs="Arial" w:hint="eastAsia"/>
          <w:kern w:val="0"/>
          <w:szCs w:val="21"/>
        </w:rPr>
        <w:t>以上的资产出现无可参考的活跃市场价格且采用估值技术</w:t>
      </w:r>
      <w:proofErr w:type="gramStart"/>
      <w:r>
        <w:rPr>
          <w:rFonts w:ascii="Arial Unicode MS" w:hAnsi="Arial Unicode MS" w:cs="Arial" w:hint="eastAsia"/>
          <w:kern w:val="0"/>
          <w:szCs w:val="21"/>
        </w:rPr>
        <w:t>仍导致</w:t>
      </w:r>
      <w:proofErr w:type="gramEnd"/>
      <w:r>
        <w:rPr>
          <w:rFonts w:ascii="Arial Unicode MS" w:hAnsi="Arial Unicode MS" w:cs="Arial" w:hint="eastAsia"/>
          <w:kern w:val="0"/>
          <w:szCs w:val="21"/>
        </w:rPr>
        <w:t>公允价值存在重大不确定性时，经与基金托管人协商确认后，基金管理人暂停基金估值并采取延缓支付赎回款项或暂停接受基金赎回申请的措施。</w:t>
      </w:r>
    </w:p>
    <w:p w14:paraId="1B056D4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w:t>
      </w:r>
      <w:r>
        <w:rPr>
          <w:rFonts w:ascii="Arial Unicode MS" w:hAnsi="Arial Unicode MS" w:cs="Arial"/>
          <w:kern w:val="0"/>
          <w:szCs w:val="21"/>
        </w:rPr>
        <w:t>法律法规规定或中国证监会认定的其他情形。</w:t>
      </w:r>
    </w:p>
    <w:p w14:paraId="3A3E4790" w14:textId="77777777"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发生上述情形之一</w:t>
      </w:r>
      <w:proofErr w:type="gramStart"/>
      <w:r>
        <w:rPr>
          <w:rFonts w:asciiTheme="minorEastAsia" w:eastAsiaTheme="minorEastAsia" w:hAnsiTheme="minorEastAsia" w:hint="eastAsia"/>
          <w:bCs/>
          <w:szCs w:val="21"/>
        </w:rPr>
        <w:t>且基金</w:t>
      </w:r>
      <w:proofErr w:type="gramEnd"/>
      <w:r>
        <w:rPr>
          <w:rFonts w:asciiTheme="minorEastAsia" w:eastAsiaTheme="minorEastAsia" w:hAnsiTheme="minorEastAsia" w:hint="eastAsia"/>
          <w:bCs/>
          <w:szCs w:val="21"/>
        </w:rPr>
        <w:t>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w:t>
      </w:r>
      <w:r>
        <w:rPr>
          <w:rFonts w:asciiTheme="minorEastAsia" w:eastAsiaTheme="minorEastAsia" w:hAnsiTheme="minorEastAsia" w:hint="eastAsia"/>
          <w:bCs/>
          <w:szCs w:val="21"/>
        </w:rPr>
        <w:lastRenderedPageBreak/>
        <w:t>人，未支付部分可延期支付。若出现上述第</w:t>
      </w:r>
      <w:r>
        <w:rPr>
          <w:rFonts w:asciiTheme="minorEastAsia" w:eastAsiaTheme="minorEastAsia" w:hAnsiTheme="minorEastAsia"/>
          <w:bCs/>
          <w:szCs w:val="21"/>
        </w:rPr>
        <w:t>4</w:t>
      </w:r>
      <w:r>
        <w:rPr>
          <w:rFonts w:asciiTheme="minorEastAsia" w:eastAsiaTheme="minorEastAsia" w:hAnsiTheme="minorEastAsia"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024C2214" w14:textId="77777777"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3DC406A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、巨额赎回的认定</w:t>
      </w:r>
    </w:p>
    <w:p w14:paraId="2440D12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若本基金单个开放日内的基金份额净赎回申请</w:t>
      </w:r>
      <w:r>
        <w:rPr>
          <w:rFonts w:ascii="Arial Unicode MS" w:hAnsi="Arial Unicode MS" w:cs="Arial" w:hint="eastAsia"/>
          <w:kern w:val="0"/>
          <w:szCs w:val="21"/>
        </w:rPr>
        <w:t>(</w:t>
      </w:r>
      <w:r>
        <w:rPr>
          <w:rFonts w:ascii="Arial Unicode MS" w:hAnsi="Arial Unicode MS" w:cs="Arial" w:hint="eastAsia"/>
          <w:kern w:val="0"/>
          <w:szCs w:val="21"/>
        </w:rPr>
        <w:t>赎回申请份额总数加上基金转换中转出申请份额总数后扣除申购申请份额总数及基金转换中转入申请份额总数后的余额</w:t>
      </w:r>
      <w:r>
        <w:rPr>
          <w:rFonts w:ascii="Arial Unicode MS" w:hAnsi="Arial Unicode MS" w:cs="Arial" w:hint="eastAsia"/>
          <w:kern w:val="0"/>
          <w:szCs w:val="21"/>
        </w:rPr>
        <w:t>)</w:t>
      </w:r>
      <w:r>
        <w:rPr>
          <w:rFonts w:ascii="Arial Unicode MS" w:hAnsi="Arial Unicode MS" w:cs="Arial" w:hint="eastAsia"/>
          <w:kern w:val="0"/>
          <w:szCs w:val="21"/>
        </w:rPr>
        <w:t>超过前一开放日的基金总份额的</w:t>
      </w:r>
      <w:r>
        <w:rPr>
          <w:rFonts w:ascii="Arial Unicode MS" w:hAnsi="Arial Unicode MS" w:cs="Arial" w:hint="eastAsia"/>
          <w:kern w:val="0"/>
          <w:szCs w:val="21"/>
        </w:rPr>
        <w:t>10%</w:t>
      </w:r>
      <w:r>
        <w:rPr>
          <w:rFonts w:ascii="Arial Unicode MS" w:hAnsi="Arial Unicode MS" w:cs="Arial" w:hint="eastAsia"/>
          <w:kern w:val="0"/>
          <w:szCs w:val="21"/>
        </w:rPr>
        <w:t>，即认为是发生了巨额赎回。</w:t>
      </w:r>
    </w:p>
    <w:p w14:paraId="65A569E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、巨额赎回的处理方式</w:t>
      </w:r>
    </w:p>
    <w:p w14:paraId="15DD033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当基金出现巨额赎回时，基金管理人可以根据基金当时的资产组合状况决定全额赎回或部分延期赎回。</w:t>
      </w:r>
    </w:p>
    <w:p w14:paraId="5ACFFF5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）全额赎回：当基金管理人认为有能力支付投资人的全部赎回申请时，按正常赎回程序执行。</w:t>
      </w:r>
      <w:r>
        <w:rPr>
          <w:rFonts w:ascii="Arial Unicode MS" w:hAnsi="Arial Unicode MS" w:cs="Arial" w:hint="eastAsia"/>
          <w:kern w:val="0"/>
          <w:szCs w:val="21"/>
        </w:rPr>
        <w:t xml:space="preserve"> </w:t>
      </w:r>
    </w:p>
    <w:p w14:paraId="78844BB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Arial Unicode MS" w:hAnsi="Arial Unicode MS" w:cs="Arial" w:hint="eastAsia"/>
          <w:kern w:val="0"/>
          <w:szCs w:val="21"/>
        </w:rPr>
        <w:t>10%</w:t>
      </w:r>
      <w:r>
        <w:rPr>
          <w:rFonts w:ascii="Arial Unicode MS" w:hAnsi="Arial Unicode MS" w:cs="Arial" w:hint="eastAsia"/>
          <w:kern w:val="0"/>
          <w:szCs w:val="21"/>
        </w:rPr>
        <w:t>的前提下，可对其余赎回申请延期办理。</w:t>
      </w:r>
      <w:r>
        <w:rPr>
          <w:rFonts w:asciiTheme="minorEastAsia" w:eastAsiaTheme="minorEastAsia" w:hAnsiTheme="minorEastAsia" w:hint="eastAsia"/>
          <w:bCs/>
          <w:szCs w:val="21"/>
        </w:rPr>
        <w:t>若进行上述延期办理，对于单个基金份额持有人当日赎回申请超过上一开放日基金总份额</w:t>
      </w:r>
      <w:r>
        <w:rPr>
          <w:rFonts w:asciiTheme="minorEastAsia" w:eastAsiaTheme="minorEastAsia" w:hAnsiTheme="minorEastAsia"/>
          <w:bCs/>
          <w:szCs w:val="21"/>
        </w:rPr>
        <w:t>50%</w:t>
      </w:r>
      <w:r>
        <w:rPr>
          <w:rFonts w:asciiTheme="minorEastAsia" w:eastAsiaTheme="minorEastAsia" w:hAnsiTheme="minorEastAsia" w:hint="eastAsia"/>
          <w:bCs/>
          <w:szCs w:val="21"/>
        </w:rPr>
        <w:t>以上的部分，将自动进行延期办理。对于其余当日非自动延期办理的赎回申请，应当按单个账户非自动延期办理的赎回申请量占非自动延期办理的赎回申请总量的比例，确定当日受理的赎回份额；</w:t>
      </w:r>
      <w:r>
        <w:rPr>
          <w:rFonts w:ascii="Arial Unicode MS" w:hAnsi="Arial Unicode MS" w:cs="Arial" w:hint="eastAsia"/>
          <w:kern w:val="0"/>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cs="Arial" w:hint="eastAsia"/>
          <w:kern w:val="0"/>
          <w:szCs w:val="21"/>
        </w:rPr>
        <w:t>并以下</w:t>
      </w:r>
      <w:proofErr w:type="gramEnd"/>
      <w:r>
        <w:rPr>
          <w:rFonts w:ascii="Arial Unicode MS" w:hAnsi="Arial Unicode MS" w:cs="Arial" w:hint="eastAsia"/>
          <w:kern w:val="0"/>
          <w:szCs w:val="21"/>
        </w:rPr>
        <w:t>一开放日的各类基金份额净值为基础计算赎回金额，以此类推，直到全部赎回为止。如投资人在提交赎回申请时未作明确选择，投资人未能赎回部分作自动延期赎回处理。部分延期赎回不受单笔赎回最低份额的限制。</w:t>
      </w:r>
      <w:r>
        <w:rPr>
          <w:rFonts w:ascii="Arial Unicode MS" w:hAnsi="Arial Unicode MS" w:cs="Arial" w:hint="eastAsia"/>
          <w:kern w:val="0"/>
          <w:szCs w:val="21"/>
        </w:rPr>
        <w:t xml:space="preserve"> </w:t>
      </w:r>
    </w:p>
    <w:p w14:paraId="065A209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）暂停赎回：连续</w:t>
      </w:r>
      <w:r>
        <w:rPr>
          <w:rFonts w:ascii="Arial Unicode MS" w:hAnsi="Arial Unicode MS" w:cs="Arial" w:hint="eastAsia"/>
          <w:kern w:val="0"/>
          <w:szCs w:val="21"/>
        </w:rPr>
        <w:t>2</w:t>
      </w:r>
      <w:r>
        <w:rPr>
          <w:rFonts w:ascii="Arial Unicode MS" w:hAnsi="Arial Unicode MS" w:cs="Arial" w:hint="eastAsia"/>
          <w:kern w:val="0"/>
          <w:szCs w:val="21"/>
        </w:rPr>
        <w:t>个开放日以上</w:t>
      </w:r>
      <w:r>
        <w:rPr>
          <w:rFonts w:ascii="Arial Unicode MS" w:hAnsi="Arial Unicode MS" w:cs="Arial" w:hint="eastAsia"/>
          <w:kern w:val="0"/>
          <w:szCs w:val="21"/>
        </w:rPr>
        <w:t>(</w:t>
      </w:r>
      <w:r>
        <w:rPr>
          <w:rFonts w:ascii="Arial Unicode MS" w:hAnsi="Arial Unicode MS" w:cs="Arial" w:hint="eastAsia"/>
          <w:kern w:val="0"/>
          <w:szCs w:val="21"/>
        </w:rPr>
        <w:t>含本数</w:t>
      </w:r>
      <w:r>
        <w:rPr>
          <w:rFonts w:ascii="Arial Unicode MS" w:hAnsi="Arial Unicode MS" w:cs="Arial" w:hint="eastAsia"/>
          <w:kern w:val="0"/>
          <w:szCs w:val="21"/>
        </w:rPr>
        <w:t>)</w:t>
      </w:r>
      <w:r>
        <w:rPr>
          <w:rFonts w:ascii="Arial Unicode MS" w:hAnsi="Arial Unicode MS" w:cs="Arial" w:hint="eastAsia"/>
          <w:kern w:val="0"/>
          <w:szCs w:val="21"/>
        </w:rPr>
        <w:t>发生巨额赎回，如基金管理人认为有必要，可暂停接受基金的赎回申请；已经接受的赎回申请可以延缓支付赎回款项，但不得超过</w:t>
      </w:r>
      <w:r>
        <w:rPr>
          <w:rFonts w:ascii="Arial Unicode MS" w:hAnsi="Arial Unicode MS" w:cs="Arial" w:hint="eastAsia"/>
          <w:kern w:val="0"/>
          <w:szCs w:val="21"/>
        </w:rPr>
        <w:t>20</w:t>
      </w:r>
      <w:r>
        <w:rPr>
          <w:rFonts w:ascii="Arial Unicode MS" w:hAnsi="Arial Unicode MS" w:cs="Arial" w:hint="eastAsia"/>
          <w:kern w:val="0"/>
          <w:szCs w:val="21"/>
        </w:rPr>
        <w:t>个工作日，并应当在指定媒介上进行公告。</w:t>
      </w:r>
    </w:p>
    <w:p w14:paraId="4AA0609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、巨额赎回的公告</w:t>
      </w:r>
    </w:p>
    <w:p w14:paraId="05A5B19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当发生上述巨额赎回并延期办理时，基金管理人应当通过邮寄、传真或者招募说明书规定的其他方式在</w:t>
      </w:r>
      <w:r>
        <w:rPr>
          <w:rFonts w:ascii="Arial Unicode MS" w:hAnsi="Arial Unicode MS" w:cs="Arial" w:hint="eastAsia"/>
          <w:kern w:val="0"/>
          <w:szCs w:val="21"/>
        </w:rPr>
        <w:t>3</w:t>
      </w:r>
      <w:r>
        <w:rPr>
          <w:rFonts w:ascii="Arial Unicode MS" w:hAnsi="Arial Unicode MS" w:cs="Arial" w:hint="eastAsia"/>
          <w:kern w:val="0"/>
          <w:szCs w:val="21"/>
        </w:rPr>
        <w:t>个交易日内通知基金份额持有人，说明有关处理方法，</w:t>
      </w:r>
      <w:r>
        <w:rPr>
          <w:rFonts w:ascii="Arial Unicode MS" w:hAnsi="Arial Unicode MS" w:hint="eastAsia"/>
          <w:bCs/>
          <w:szCs w:val="21"/>
        </w:rPr>
        <w:t>并在</w:t>
      </w:r>
      <w:r>
        <w:rPr>
          <w:rFonts w:ascii="Arial Unicode MS" w:hAnsi="Arial Unicode MS" w:hint="eastAsia"/>
          <w:bCs/>
          <w:szCs w:val="21"/>
        </w:rPr>
        <w:t>2</w:t>
      </w:r>
      <w:r>
        <w:rPr>
          <w:rFonts w:ascii="Arial Unicode MS" w:hAnsi="Arial Unicode MS" w:hint="eastAsia"/>
          <w:bCs/>
          <w:szCs w:val="21"/>
        </w:rPr>
        <w:t>日内在指定媒介上刊登公告</w:t>
      </w:r>
      <w:r>
        <w:rPr>
          <w:rFonts w:ascii="Arial Unicode MS" w:hAnsi="Arial Unicode MS" w:cs="Arial" w:hint="eastAsia"/>
          <w:kern w:val="0"/>
          <w:szCs w:val="21"/>
        </w:rPr>
        <w:t>。</w:t>
      </w:r>
    </w:p>
    <w:p w14:paraId="409A743A" w14:textId="77777777"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00699969" w14:textId="77777777"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、发生上述暂停申购或赎回情况的，</w:t>
      </w:r>
      <w:r>
        <w:rPr>
          <w:rFonts w:ascii="Arial Unicode MS" w:hAnsi="Arial Unicode MS" w:hint="eastAsia"/>
          <w:bCs/>
          <w:szCs w:val="21"/>
        </w:rPr>
        <w:t>基金管理人应在规定期限内在指定媒介上刊登暂停公告</w:t>
      </w:r>
      <w:r>
        <w:rPr>
          <w:rFonts w:ascii="Arial Unicode MS" w:hAnsi="Arial Unicode MS" w:cs="Arial" w:hint="eastAsia"/>
          <w:kern w:val="0"/>
          <w:szCs w:val="21"/>
        </w:rPr>
        <w:t>。</w:t>
      </w:r>
    </w:p>
    <w:p w14:paraId="6E2EF76E" w14:textId="77777777"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、上述暂停申购或赎回情况消除的，基金管理人应于重新开放日公布最近</w:t>
      </w:r>
      <w:r>
        <w:rPr>
          <w:rFonts w:ascii="Arial Unicode MS" w:hAnsi="Arial Unicode MS" w:cs="Arial" w:hint="eastAsia"/>
          <w:kern w:val="0"/>
          <w:szCs w:val="21"/>
        </w:rPr>
        <w:t>1</w:t>
      </w:r>
      <w:r>
        <w:rPr>
          <w:rFonts w:ascii="Arial Unicode MS" w:hAnsi="Arial Unicode MS" w:cs="Arial" w:hint="eastAsia"/>
          <w:kern w:val="0"/>
          <w:szCs w:val="21"/>
        </w:rPr>
        <w:t>个开放日各类基金份额的基金份额净值。</w:t>
      </w:r>
    </w:p>
    <w:p w14:paraId="1AD7303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4C60D258" w14:textId="77777777"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14:paraId="39724E3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712E6791" w14:textId="77777777" w:rsidR="004C06C5" w:rsidRDefault="00ED474B">
      <w:pPr>
        <w:autoSpaceDE w:val="0"/>
        <w:autoSpaceDN w:val="0"/>
        <w:adjustRightInd w:val="0"/>
        <w:spacing w:line="360" w:lineRule="auto"/>
        <w:ind w:firstLine="422"/>
        <w:jc w:val="left"/>
        <w:rPr>
          <w:rFonts w:ascii="Arial Unicode MS" w:hAnsi="Arial Unicode MS"/>
          <w:b/>
          <w:bCs/>
          <w:szCs w:val="21"/>
        </w:rPr>
      </w:pPr>
      <w:r>
        <w:rPr>
          <w:rFonts w:ascii="Arial Unicode MS" w:hAnsi="Arial Unicode MS" w:hint="eastAsia"/>
          <w:b/>
          <w:bCs/>
          <w:szCs w:val="21"/>
        </w:rPr>
        <w:t>十四、基金的</w:t>
      </w:r>
      <w:proofErr w:type="gramStart"/>
      <w:r>
        <w:rPr>
          <w:rFonts w:ascii="Arial Unicode MS" w:hAnsi="Arial Unicode MS" w:hint="eastAsia"/>
          <w:b/>
          <w:bCs/>
          <w:szCs w:val="21"/>
        </w:rPr>
        <w:t>非交易</w:t>
      </w:r>
      <w:proofErr w:type="gramEnd"/>
      <w:r>
        <w:rPr>
          <w:rFonts w:ascii="Arial Unicode MS" w:hAnsi="Arial Unicode MS" w:hint="eastAsia"/>
          <w:b/>
          <w:bCs/>
          <w:szCs w:val="21"/>
        </w:rPr>
        <w:t>过户</w:t>
      </w:r>
    </w:p>
    <w:p w14:paraId="1C48279B" w14:textId="77777777" w:rsidR="004C06C5" w:rsidRDefault="00ED474B">
      <w:pPr>
        <w:autoSpaceDE w:val="0"/>
        <w:autoSpaceDN w:val="0"/>
        <w:adjustRightInd w:val="0"/>
        <w:spacing w:line="360" w:lineRule="auto"/>
        <w:ind w:firstLine="422"/>
        <w:jc w:val="left"/>
        <w:rPr>
          <w:rFonts w:ascii="Arial Unicode MS" w:hAnsi="Arial Unicode MS"/>
          <w:bCs/>
          <w:szCs w:val="21"/>
        </w:rPr>
      </w:pPr>
      <w:r>
        <w:rPr>
          <w:rFonts w:ascii="Arial Unicode MS" w:hAnsi="Arial Unicode MS" w:hint="eastAsia"/>
          <w:bCs/>
          <w:szCs w:val="21"/>
        </w:rPr>
        <w:t>基金的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过户是指基金登记机构受理继承、捐赠和司法强制执行等情形而产生的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过户以及登记机构认可、符合法律法规的其它</w:t>
      </w:r>
      <w:proofErr w:type="gramStart"/>
      <w:r>
        <w:rPr>
          <w:rFonts w:ascii="Arial Unicode MS" w:hAnsi="Arial Unicode MS" w:hint="eastAsia"/>
          <w:bCs/>
          <w:szCs w:val="21"/>
        </w:rPr>
        <w:t>非交易</w:t>
      </w:r>
      <w:proofErr w:type="gramEnd"/>
      <w:r>
        <w:rPr>
          <w:rFonts w:ascii="Arial Unicode MS" w:hAnsi="Arial Unicode MS" w:hint="eastAsia"/>
          <w:bCs/>
          <w:szCs w:val="21"/>
        </w:rPr>
        <w:t>过户。无论在上述何种情况下，接受划转的主体必须是依法可以持有本</w:t>
      </w:r>
      <w:proofErr w:type="gramStart"/>
      <w:r>
        <w:rPr>
          <w:rFonts w:ascii="Arial Unicode MS" w:hAnsi="Arial Unicode MS" w:hint="eastAsia"/>
          <w:bCs/>
          <w:szCs w:val="21"/>
        </w:rPr>
        <w:t>基金基金</w:t>
      </w:r>
      <w:proofErr w:type="gramEnd"/>
      <w:r>
        <w:rPr>
          <w:rFonts w:ascii="Arial Unicode MS" w:hAnsi="Arial Unicode MS" w:hint="eastAsia"/>
          <w:bCs/>
          <w:szCs w:val="21"/>
        </w:rPr>
        <w:t>份额的投资人。</w:t>
      </w:r>
    </w:p>
    <w:p w14:paraId="17241797" w14:textId="77777777" w:rsidR="004C06C5" w:rsidRDefault="00ED474B">
      <w:pPr>
        <w:autoSpaceDE w:val="0"/>
        <w:autoSpaceDN w:val="0"/>
        <w:adjustRightInd w:val="0"/>
        <w:spacing w:line="360" w:lineRule="auto"/>
        <w:ind w:firstLine="422"/>
        <w:jc w:val="left"/>
        <w:rPr>
          <w:rFonts w:ascii="Arial Unicode MS" w:hAnsi="Arial Unicode MS" w:cs="Arial"/>
          <w:kern w:val="0"/>
          <w:szCs w:val="21"/>
        </w:rPr>
      </w:pPr>
      <w:r>
        <w:rPr>
          <w:rFonts w:ascii="Arial Unicode MS" w:hAnsi="Arial Unicode MS" w:hint="eastAsia"/>
          <w:bCs/>
          <w:szCs w:val="21"/>
        </w:rPr>
        <w:t>继承是指基金份额持有人死亡，其持有的基金份额由其合法的继承人继承；</w:t>
      </w:r>
      <w:proofErr w:type="gramStart"/>
      <w:r>
        <w:rPr>
          <w:rFonts w:ascii="Arial Unicode MS" w:hAnsi="Arial Unicode MS" w:hint="eastAsia"/>
          <w:bCs/>
          <w:szCs w:val="21"/>
        </w:rPr>
        <w:t>捐赠指</w:t>
      </w:r>
      <w:proofErr w:type="gramEnd"/>
      <w:r>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Cs w:val="21"/>
        </w:rPr>
        <w:t>非交易</w:t>
      </w:r>
      <w:proofErr w:type="gramEnd"/>
      <w:r>
        <w:rPr>
          <w:rFonts w:ascii="Arial Unicode MS" w:hAnsi="Arial Unicode MS" w:hint="eastAsia"/>
          <w:bCs/>
          <w:szCs w:val="21"/>
        </w:rPr>
        <w:t>过户必须提供基金登记机构要求提供的相关资料，对于符合条件的</w:t>
      </w:r>
      <w:proofErr w:type="gramStart"/>
      <w:r>
        <w:rPr>
          <w:rFonts w:ascii="Arial Unicode MS" w:hAnsi="Arial Unicode MS" w:hint="eastAsia"/>
          <w:bCs/>
          <w:szCs w:val="21"/>
        </w:rPr>
        <w:t>非交易过户申请按</w:t>
      </w:r>
      <w:proofErr w:type="gramEnd"/>
      <w:r>
        <w:rPr>
          <w:rFonts w:ascii="Arial Unicode MS" w:hAnsi="Arial Unicode MS" w:hint="eastAsia"/>
          <w:bCs/>
          <w:szCs w:val="21"/>
        </w:rPr>
        <w:t>基金登记机构的规定办理，并按基金登记机构规定的标准收费。</w:t>
      </w:r>
    </w:p>
    <w:p w14:paraId="5EA9AAC2" w14:textId="77777777"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十五、基金的转托管</w:t>
      </w:r>
    </w:p>
    <w:p w14:paraId="2E08C971" w14:textId="77777777"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14:paraId="2224BC49" w14:textId="77777777"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十六、定期定额投资计划</w:t>
      </w:r>
    </w:p>
    <w:p w14:paraId="7657F3E3" w14:textId="77777777"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7345496" w14:textId="77777777"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十七、基金份额的冻结、解冻与质押</w:t>
      </w:r>
    </w:p>
    <w:p w14:paraId="1D9DC18E" w14:textId="77777777" w:rsidR="004C06C5" w:rsidRDefault="00ED474B">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w:t>
      </w:r>
      <w:r>
        <w:rPr>
          <w:rFonts w:ascii="Arial Unicode MS" w:hAnsi="Arial Unicode MS" w:hint="eastAsia"/>
          <w:bCs/>
          <w:szCs w:val="21"/>
        </w:rPr>
        <w:lastRenderedPageBreak/>
        <w:t>可、符合法律法规的其他情况下的冻结与解冻。基金份额被冻结的，被冻结部分产生的权益一并冻结，被冻结部分份额仍然参与收益分配与支付。法律法规另有规定的除外。</w:t>
      </w:r>
    </w:p>
    <w:p w14:paraId="48172DDE" w14:textId="77777777"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如相关法律法规允许基金管理人办理基金份额的质押业务或其他基金业务，基金管理人有权制定和实施相应的业务规则。</w:t>
      </w:r>
    </w:p>
    <w:p w14:paraId="3C4769DA" w14:textId="77777777"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十八、基金份额的转让</w:t>
      </w:r>
    </w:p>
    <w:p w14:paraId="1AB49F9F" w14:textId="77777777" w:rsidR="004C06C5" w:rsidRDefault="00ED474B">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E5C5EEC"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58B23423"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47870997"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2287CEC2"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4F13A757"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40079DA8"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7F3802D4"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22D18630"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5B15ACFD"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699A3FAC"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5D899A8D"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02FAF0BD"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6FF22A25"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3847C315"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3413CDED" w14:textId="77777777" w:rsidR="004C06C5" w:rsidRDefault="004C06C5">
      <w:pPr>
        <w:autoSpaceDE w:val="0"/>
        <w:autoSpaceDN w:val="0"/>
        <w:adjustRightInd w:val="0"/>
        <w:spacing w:line="360" w:lineRule="auto"/>
        <w:ind w:firstLine="420"/>
        <w:jc w:val="left"/>
        <w:rPr>
          <w:rFonts w:ascii="Arial Unicode MS" w:hAnsi="Arial Unicode MS"/>
          <w:bCs/>
          <w:szCs w:val="21"/>
        </w:rPr>
      </w:pPr>
    </w:p>
    <w:p w14:paraId="76CFDA01" w14:textId="77777777" w:rsidR="004C06C5" w:rsidRDefault="00ED474B">
      <w:pPr>
        <w:widowControl/>
        <w:jc w:val="left"/>
        <w:rPr>
          <w:rFonts w:ascii="Arial Unicode MS" w:hAnsi="Arial Unicode MS"/>
          <w:bCs/>
          <w:szCs w:val="21"/>
        </w:rPr>
      </w:pPr>
      <w:r>
        <w:rPr>
          <w:rFonts w:ascii="Arial Unicode MS" w:hAnsi="Arial Unicode MS"/>
          <w:bCs/>
          <w:szCs w:val="21"/>
        </w:rPr>
        <w:br w:type="page"/>
      </w:r>
    </w:p>
    <w:p w14:paraId="1EEB618F" w14:textId="77777777" w:rsidR="004C06C5" w:rsidRDefault="00ED474B">
      <w:pPr>
        <w:pStyle w:val="11"/>
        <w:snapToGrid w:val="0"/>
        <w:spacing w:before="0" w:after="0" w:line="360" w:lineRule="auto"/>
        <w:rPr>
          <w:rFonts w:ascii="Arial Unicode MS" w:eastAsia="宋体" w:hAnsi="Arial Unicode MS" w:cs="Arial"/>
          <w:b/>
          <w:bCs/>
          <w:sz w:val="28"/>
          <w:szCs w:val="28"/>
        </w:rPr>
      </w:pPr>
      <w:bookmarkStart w:id="57" w:name="_Toc1464064"/>
      <w:bookmarkStart w:id="58" w:name="_Toc317088146"/>
      <w:bookmarkStart w:id="59" w:name="_Toc214873598"/>
      <w:bookmarkStart w:id="60" w:name="_Toc335232697"/>
      <w:bookmarkStart w:id="61" w:name="_Toc320887648"/>
      <w:bookmarkStart w:id="62" w:name="_Toc3170885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7"/>
      <w:bookmarkEnd w:id="58"/>
      <w:bookmarkEnd w:id="59"/>
      <w:bookmarkEnd w:id="60"/>
      <w:bookmarkEnd w:id="61"/>
      <w:bookmarkEnd w:id="62"/>
    </w:p>
    <w:p w14:paraId="470A74E7" w14:textId="77777777" w:rsidR="004C06C5" w:rsidRDefault="004C06C5">
      <w:pPr>
        <w:rPr>
          <w:rFonts w:ascii="Arial Unicode MS" w:hAnsi="Arial Unicode MS"/>
          <w:lang w:val="zh-CN"/>
        </w:rPr>
      </w:pPr>
    </w:p>
    <w:p w14:paraId="7733A678" w14:textId="77777777"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一、投资目标</w:t>
      </w:r>
    </w:p>
    <w:p w14:paraId="138640A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在一定程度上控制组合净值波动率的前提下，力争长期内实现超越业绩比较基准的投资回报。</w:t>
      </w:r>
    </w:p>
    <w:p w14:paraId="206B38A3" w14:textId="77777777"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14:paraId="4C68834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本基金的投资范围主要为具有良好流动性的金融工具，包括国债、国债期货、地方政府债、金融债、企业债、公司债、央行票据、中期票据、短期融资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、中小企业私募债、资产支持证券、次级债、可分离交易可转债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14:paraId="60803DB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14:paraId="32CD4F6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14:paraId="096D0BA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3764AD3B" w14:textId="77777777"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2C5686AD" w14:textId="77777777" w:rsidR="004C06C5" w:rsidRDefault="00ED474B">
      <w:pPr>
        <w:adjustRightInd w:val="0"/>
        <w:snapToGrid w:val="0"/>
        <w:spacing w:line="360" w:lineRule="auto"/>
        <w:ind w:firstLineChars="200" w:firstLine="420"/>
        <w:rPr>
          <w:rFonts w:ascii="Arial Unicode MS" w:hAnsi="Arial Unicode MS" w:cs="Arial"/>
          <w:kern w:val="0"/>
          <w:szCs w:val="21"/>
        </w:rPr>
      </w:pPr>
      <w:bookmarkStart w:id="63" w:name="_Toc212891567"/>
      <w:bookmarkStart w:id="64" w:name="_Toc149105517"/>
      <w:bookmarkStart w:id="65" w:name="_Toc148867251"/>
      <w:r>
        <w:rPr>
          <w:rFonts w:ascii="Arial Unicode MS" w:hAnsi="Arial Unicode MS" w:cs="Arial" w:hint="eastAsia"/>
          <w:kern w:val="0"/>
          <w:szCs w:val="21"/>
        </w:rPr>
        <w:t>1</w:t>
      </w:r>
      <w:r>
        <w:rPr>
          <w:rFonts w:ascii="Arial Unicode MS" w:hAnsi="Arial Unicode MS" w:cs="Arial" w:hint="eastAsia"/>
          <w:kern w:val="0"/>
          <w:szCs w:val="21"/>
        </w:rPr>
        <w:t>、资产配置策略</w:t>
      </w:r>
    </w:p>
    <w:p w14:paraId="0E79775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以中长期利率趋势分析为基础，结合经济周期、宏观政策方向及收益率曲线分析，自上而下决定资产配置及组合久期，并依据内部信用评估体系，深入挖掘价值被低估的标的券种，实施积极的债券投资组合管理，以获取较高的债券组合投资收益。</w:t>
      </w:r>
    </w:p>
    <w:p w14:paraId="64E2F11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、固定收益类证券投资策略</w:t>
      </w:r>
    </w:p>
    <w:p w14:paraId="7147953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）债券投资策略</w:t>
      </w:r>
    </w:p>
    <w:p w14:paraId="6234FA2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对于本基金投资的固定收益类证券，主要从四个层次进行独立、客观、综合的</w:t>
      </w:r>
      <w:proofErr w:type="gramStart"/>
      <w:r>
        <w:rPr>
          <w:rFonts w:ascii="Arial Unicode MS" w:hAnsi="Arial Unicode MS" w:cs="Arial" w:hint="eastAsia"/>
          <w:kern w:val="0"/>
          <w:szCs w:val="21"/>
        </w:rPr>
        <w:t>考量</w:t>
      </w:r>
      <w:proofErr w:type="gramEnd"/>
      <w:r>
        <w:rPr>
          <w:rFonts w:ascii="Arial Unicode MS" w:hAnsi="Arial Unicode MS" w:cs="Arial" w:hint="eastAsia"/>
          <w:kern w:val="0"/>
          <w:szCs w:val="21"/>
        </w:rPr>
        <w:t>，以筛选出合适的投资标的。</w:t>
      </w:r>
    </w:p>
    <w:p w14:paraId="256CD46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以及信用资质存在超预期下沉风险的</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，甄选信用风险低、信用利差对信用风险补偿较好或信用资质存在优化可能的</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，纳入债券池。</w:t>
      </w:r>
    </w:p>
    <w:p w14:paraId="5B1C418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第二，使用基金管理人内部的信用评估体系对备选</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进行评分，着重考察发行人的经营稳定性、财务稳定性、外部支持三个核心要素。</w:t>
      </w:r>
    </w:p>
    <w:p w14:paraId="660B1CB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第三，对市场同类可比债券、信用收益率曲线、市场交易活跃度、机构需求进行偏好分析，对个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进行流动性风险、信用风险的综合定价，判断其合理估值水平。</w:t>
      </w:r>
    </w:p>
    <w:p w14:paraId="535A045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第四，根据市场结构与需求特征，在前三个层次的分析基础上，对个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进行深入的跟踪分析，发掘其中被市场低估的品种，在控制流动性风险的前提下，对低估品种进行择机配置和交易。</w:t>
      </w:r>
    </w:p>
    <w:p w14:paraId="3F65E96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针对中小企业私募债券，本基金以持有到期，获得本金和票息收入为主要投资策略，同时，密切关注债券的信用风险变化，力争在控制风险的前提下，获得较高收益。</w:t>
      </w:r>
    </w:p>
    <w:p w14:paraId="43B8062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）杠杆投资策略</w:t>
      </w:r>
    </w:p>
    <w:p w14:paraId="05D1226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本基金将综合考虑债券投资的风险收益以及回购成本等因素，在严格控制投资风险的前提下，通过正回购，获得杠杆放大收益。本基金资产总值不得超过基金资产净值的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r>
        <w:rPr>
          <w:rFonts w:ascii="Arial Unicode MS" w:hAnsi="Arial Unicode MS" w:cs="Arial" w:hint="eastAsia"/>
          <w:kern w:val="0"/>
          <w:szCs w:val="21"/>
        </w:rPr>
        <w:t xml:space="preserve"> </w:t>
      </w:r>
    </w:p>
    <w:p w14:paraId="43214BD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、股票投资策略</w:t>
      </w:r>
      <w:r>
        <w:rPr>
          <w:rFonts w:ascii="Arial Unicode MS" w:hAnsi="Arial Unicode MS" w:cs="Arial" w:hint="eastAsia"/>
          <w:kern w:val="0"/>
          <w:szCs w:val="21"/>
        </w:rPr>
        <w:t xml:space="preserve"> </w:t>
      </w:r>
    </w:p>
    <w:p w14:paraId="6F66639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本基金的股票投资策略以精选个股为主，发挥基金管理人专业研究团队的研究能力，从定量和定性两个方面考察上市公司的增值潜力。</w:t>
      </w:r>
      <w:r>
        <w:rPr>
          <w:rFonts w:ascii="Arial Unicode MS" w:hAnsi="Arial Unicode MS" w:cs="Arial" w:hint="eastAsia"/>
          <w:kern w:val="0"/>
          <w:szCs w:val="21"/>
        </w:rPr>
        <w:t xml:space="preserve"> </w:t>
      </w:r>
    </w:p>
    <w:p w14:paraId="4606BF4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定量方面综合考虑盈利能力、成长性、估值水平等多种因素，包括净资产与市值比率（</w:t>
      </w:r>
      <w:r>
        <w:rPr>
          <w:rFonts w:ascii="Arial Unicode MS" w:hAnsi="Arial Unicode MS" w:cs="Arial" w:hint="eastAsia"/>
          <w:kern w:val="0"/>
          <w:szCs w:val="21"/>
        </w:rPr>
        <w:t>B/P</w:t>
      </w:r>
      <w:r>
        <w:rPr>
          <w:rFonts w:ascii="Arial Unicode MS" w:hAnsi="Arial Unicode MS" w:cs="Arial" w:hint="eastAsia"/>
          <w:kern w:val="0"/>
          <w:szCs w:val="21"/>
        </w:rPr>
        <w:t>）、每股盈利</w:t>
      </w:r>
      <w:r>
        <w:rPr>
          <w:rFonts w:ascii="Arial Unicode MS" w:hAnsi="Arial Unicode MS" w:cs="Arial" w:hint="eastAsia"/>
          <w:kern w:val="0"/>
          <w:szCs w:val="21"/>
        </w:rPr>
        <w:t>/</w:t>
      </w:r>
      <w:r>
        <w:rPr>
          <w:rFonts w:ascii="Arial Unicode MS" w:hAnsi="Arial Unicode MS" w:cs="Arial" w:hint="eastAsia"/>
          <w:kern w:val="0"/>
          <w:szCs w:val="21"/>
        </w:rPr>
        <w:t>每股市价（</w:t>
      </w:r>
      <w:r>
        <w:rPr>
          <w:rFonts w:ascii="Arial Unicode MS" w:hAnsi="Arial Unicode MS" w:cs="Arial" w:hint="eastAsia"/>
          <w:kern w:val="0"/>
          <w:szCs w:val="21"/>
        </w:rPr>
        <w:t>E/P</w:t>
      </w:r>
      <w:r>
        <w:rPr>
          <w:rFonts w:ascii="Arial Unicode MS" w:hAnsi="Arial Unicode MS" w:cs="Arial" w:hint="eastAsia"/>
          <w:kern w:val="0"/>
          <w:szCs w:val="21"/>
        </w:rPr>
        <w:t>）、年现金流</w:t>
      </w:r>
      <w:r>
        <w:rPr>
          <w:rFonts w:ascii="Arial Unicode MS" w:hAnsi="Arial Unicode MS" w:cs="Arial" w:hint="eastAsia"/>
          <w:kern w:val="0"/>
          <w:szCs w:val="21"/>
        </w:rPr>
        <w:t>/</w:t>
      </w:r>
      <w:r>
        <w:rPr>
          <w:rFonts w:ascii="Arial Unicode MS" w:hAnsi="Arial Unicode MS" w:cs="Arial" w:hint="eastAsia"/>
          <w:kern w:val="0"/>
          <w:szCs w:val="21"/>
        </w:rPr>
        <w:t>市值（</w:t>
      </w:r>
      <w:r>
        <w:rPr>
          <w:rFonts w:ascii="Arial Unicode MS" w:hAnsi="Arial Unicode MS" w:cs="Arial" w:hint="eastAsia"/>
          <w:kern w:val="0"/>
          <w:szCs w:val="21"/>
        </w:rPr>
        <w:t>cashflow-to-price</w:t>
      </w:r>
      <w:r>
        <w:rPr>
          <w:rFonts w:ascii="Arial Unicode MS" w:hAnsi="Arial Unicode MS" w:cs="Arial" w:hint="eastAsia"/>
          <w:kern w:val="0"/>
          <w:szCs w:val="21"/>
        </w:rPr>
        <w:t>）和销售收入</w:t>
      </w:r>
      <w:r>
        <w:rPr>
          <w:rFonts w:ascii="Arial Unicode MS" w:hAnsi="Arial Unicode MS" w:cs="Arial" w:hint="eastAsia"/>
          <w:kern w:val="0"/>
          <w:szCs w:val="21"/>
        </w:rPr>
        <w:t>/</w:t>
      </w:r>
      <w:r>
        <w:rPr>
          <w:rFonts w:ascii="Arial Unicode MS" w:hAnsi="Arial Unicode MS" w:cs="Arial" w:hint="eastAsia"/>
          <w:kern w:val="0"/>
          <w:szCs w:val="21"/>
        </w:rPr>
        <w:t>市值（</w:t>
      </w:r>
      <w:r>
        <w:rPr>
          <w:rFonts w:ascii="Arial Unicode MS" w:hAnsi="Arial Unicode MS" w:cs="Arial" w:hint="eastAsia"/>
          <w:kern w:val="0"/>
          <w:szCs w:val="21"/>
        </w:rPr>
        <w:t>S/P</w:t>
      </w:r>
      <w:r>
        <w:rPr>
          <w:rFonts w:ascii="Arial Unicode MS" w:hAnsi="Arial Unicode MS" w:cs="Arial" w:hint="eastAsia"/>
          <w:kern w:val="0"/>
          <w:szCs w:val="21"/>
        </w:rPr>
        <w:t>）等价值指标以及净资产收益率（</w:t>
      </w:r>
      <w:r>
        <w:rPr>
          <w:rFonts w:ascii="Arial Unicode MS" w:hAnsi="Arial Unicode MS" w:cs="Arial" w:hint="eastAsia"/>
          <w:kern w:val="0"/>
          <w:szCs w:val="21"/>
        </w:rPr>
        <w:t>ROE</w:t>
      </w:r>
      <w:r>
        <w:rPr>
          <w:rFonts w:ascii="Arial Unicode MS" w:hAnsi="Arial Unicode MS" w:cs="Arial" w:hint="eastAsia"/>
          <w:kern w:val="0"/>
          <w:szCs w:val="21"/>
        </w:rPr>
        <w:t>）、每股收益增长率和主营业务收入增长率</w:t>
      </w:r>
      <w:proofErr w:type="gramStart"/>
      <w:r>
        <w:rPr>
          <w:rFonts w:ascii="Arial Unicode MS" w:hAnsi="Arial Unicode MS" w:cs="Arial" w:hint="eastAsia"/>
          <w:kern w:val="0"/>
          <w:szCs w:val="21"/>
        </w:rPr>
        <w:t>等成长</w:t>
      </w:r>
      <w:proofErr w:type="gramEnd"/>
      <w:r>
        <w:rPr>
          <w:rFonts w:ascii="Arial Unicode MS" w:hAnsi="Arial Unicode MS" w:cs="Arial" w:hint="eastAsia"/>
          <w:kern w:val="0"/>
          <w:szCs w:val="21"/>
        </w:rPr>
        <w:t>指标。</w:t>
      </w:r>
      <w:r>
        <w:rPr>
          <w:rFonts w:ascii="Arial Unicode MS" w:hAnsi="Arial Unicode MS" w:cs="Arial" w:hint="eastAsia"/>
          <w:kern w:val="0"/>
          <w:szCs w:val="21"/>
        </w:rPr>
        <w:t xml:space="preserve"> </w:t>
      </w:r>
    </w:p>
    <w:p w14:paraId="0BE55F6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定性方面考察上市公司所属行业发展前景、行业地位、竞争优势等多种因素，精选流动性好、成长性高、估值水平低的股票进行投资。</w:t>
      </w:r>
      <w:r>
        <w:rPr>
          <w:rFonts w:ascii="Arial Unicode MS" w:hAnsi="Arial Unicode MS" w:cs="Arial" w:hint="eastAsia"/>
          <w:kern w:val="0"/>
          <w:szCs w:val="21"/>
        </w:rPr>
        <w:t xml:space="preserve"> </w:t>
      </w:r>
    </w:p>
    <w:p w14:paraId="798A1DB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、权证投资策略</w:t>
      </w:r>
    </w:p>
    <w:p w14:paraId="42A2651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14:paraId="6B0C45E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、国债期货投资策略</w:t>
      </w:r>
    </w:p>
    <w:p w14:paraId="50E3352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本基金将根据风险管理的原则，主要选择流动性好、交易活跃的国债期货合约进行交易，以对冲投资组合的系统性风险、有效管理现金流量或降低减仓</w:t>
      </w:r>
      <w:proofErr w:type="gramStart"/>
      <w:r>
        <w:rPr>
          <w:rFonts w:ascii="Arial Unicode MS" w:hAnsi="Arial Unicode MS" w:cs="Arial" w:hint="eastAsia"/>
          <w:kern w:val="0"/>
          <w:szCs w:val="21"/>
        </w:rPr>
        <w:t>或调仓过程</w:t>
      </w:r>
      <w:proofErr w:type="gramEnd"/>
      <w:r>
        <w:rPr>
          <w:rFonts w:ascii="Arial Unicode MS" w:hAnsi="Arial Unicode MS" w:cs="Arial" w:hint="eastAsia"/>
          <w:kern w:val="0"/>
          <w:szCs w:val="21"/>
        </w:rPr>
        <w:t>中的冲击成本等。</w:t>
      </w:r>
    </w:p>
    <w:p w14:paraId="377B829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、资产支持证券投资策略</w:t>
      </w:r>
    </w:p>
    <w:p w14:paraId="184CED9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本基金将深入分析资产支持证券的市场利率、发行条款、支持资产的构成及质量、提前偿还率、风险补偿收益和市场流动性等基本面因素，估计资产违约风险和提前偿付风险，并</w:t>
      </w:r>
      <w:r>
        <w:rPr>
          <w:rFonts w:ascii="Arial Unicode MS" w:hAnsi="Arial Unicode MS" w:cs="Arial" w:hint="eastAsia"/>
          <w:kern w:val="0"/>
          <w:szCs w:val="21"/>
        </w:rPr>
        <w:lastRenderedPageBreak/>
        <w:t>根据资产证券化的收益结构安排，模拟资产支持证券的本金偿还和利息收益的现金流过程，辅助采用定价模型，评估其内在价值。</w:t>
      </w:r>
    </w:p>
    <w:p w14:paraId="5A4459F4" w14:textId="77777777" w:rsidR="004C06C5" w:rsidRDefault="00ED474B">
      <w:pPr>
        <w:spacing w:line="360" w:lineRule="auto"/>
        <w:ind w:firstLineChars="200" w:firstLine="422"/>
        <w:rPr>
          <w:rFonts w:ascii="Arial Unicode MS" w:hAnsi="Arial Unicode MS" w:cs="Arial"/>
          <w:b/>
          <w:bCs/>
          <w:szCs w:val="21"/>
        </w:rPr>
      </w:pPr>
      <w:r>
        <w:rPr>
          <w:rFonts w:ascii="Arial Unicode MS" w:hAnsi="Arial Unicode MS" w:cs="Arial" w:hint="eastAsia"/>
          <w:b/>
          <w:szCs w:val="21"/>
        </w:rPr>
        <w:t>四、</w:t>
      </w:r>
      <w:bookmarkEnd w:id="63"/>
      <w:bookmarkEnd w:id="64"/>
      <w:bookmarkEnd w:id="65"/>
      <w:r>
        <w:rPr>
          <w:rFonts w:ascii="Arial Unicode MS" w:hAnsi="Arial Unicode MS" w:cs="Arial"/>
          <w:b/>
          <w:bCs/>
          <w:szCs w:val="21"/>
        </w:rPr>
        <w:t>投资限制</w:t>
      </w:r>
    </w:p>
    <w:p w14:paraId="0B3BCF25"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、组合限制</w:t>
      </w:r>
    </w:p>
    <w:p w14:paraId="10866854"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基金的投资组合应遵循以下限制：</w:t>
      </w:r>
    </w:p>
    <w:p w14:paraId="0F5D269A"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w:t>
      </w:r>
    </w:p>
    <w:p w14:paraId="039E8B62"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14:paraId="7455F33C"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20612D53"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4B148B9D"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）本基金持有的全部权证，其市值不得超过基金资产净值的</w:t>
      </w:r>
      <w:r>
        <w:rPr>
          <w:rFonts w:ascii="Arial Unicode MS" w:hAnsi="Arial Unicode MS" w:cs="Arial" w:hint="eastAsia"/>
          <w:kern w:val="0"/>
          <w:szCs w:val="21"/>
        </w:rPr>
        <w:t>3%</w:t>
      </w:r>
      <w:r>
        <w:rPr>
          <w:rFonts w:ascii="Arial Unicode MS" w:hAnsi="Arial Unicode MS" w:cs="Arial" w:hint="eastAsia"/>
          <w:kern w:val="0"/>
          <w:szCs w:val="21"/>
        </w:rPr>
        <w:t>；</w:t>
      </w:r>
    </w:p>
    <w:p w14:paraId="6E3CE44B"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）本基金在任何交易日买入权证的总金额，不得超过上一交易日基金资产净值的</w:t>
      </w:r>
      <w:r>
        <w:rPr>
          <w:rFonts w:ascii="Arial Unicode MS" w:hAnsi="Arial Unicode MS" w:cs="Arial" w:hint="eastAsia"/>
          <w:kern w:val="0"/>
          <w:szCs w:val="21"/>
        </w:rPr>
        <w:t>0.5%</w:t>
      </w:r>
      <w:r>
        <w:rPr>
          <w:rFonts w:ascii="Arial Unicode MS" w:hAnsi="Arial Unicode MS" w:cs="Arial" w:hint="eastAsia"/>
          <w:kern w:val="0"/>
          <w:szCs w:val="21"/>
        </w:rPr>
        <w:t>；</w:t>
      </w:r>
    </w:p>
    <w:p w14:paraId="310EFE6B"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14:paraId="27431B60"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547DF6CF"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7F72413B"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5D3D7310"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）本基金管理人管理的全部基金投资于同一原始权益人的各类资产支持证券，不得超过其各类资产支持证券合计规模的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197405C1"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130D87E5"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13</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14:paraId="09231A50"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22B5126E"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）本基金参与国债期货交易，需遵守下列投资比例限制：</w:t>
      </w:r>
    </w:p>
    <w:p w14:paraId="1790D59D"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）基金在任何交易日日终，持有的买入国债期货合约价值，不得超过基金资产净值的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2A5F9EBC"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）基金在任何交易日日终，持有的卖出国债期货合约价值不得超过基金持有的债券总市值的</w:t>
      </w:r>
      <w:r>
        <w:rPr>
          <w:rFonts w:ascii="Arial Unicode MS" w:hAnsi="Arial Unicode MS" w:cs="Arial" w:hint="eastAsia"/>
          <w:kern w:val="0"/>
          <w:szCs w:val="21"/>
        </w:rPr>
        <w:t>30%</w:t>
      </w:r>
      <w:r>
        <w:rPr>
          <w:rFonts w:ascii="Arial Unicode MS" w:hAnsi="Arial Unicode MS" w:cs="Arial" w:hint="eastAsia"/>
          <w:kern w:val="0"/>
          <w:szCs w:val="21"/>
        </w:rPr>
        <w:t>；</w:t>
      </w:r>
    </w:p>
    <w:p w14:paraId="31595CB4"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）基金在任何交易日内交易（不包括平仓）的国债期货合约的成交金额不得超过上一交易日基金资产净值的</w:t>
      </w:r>
      <w:r>
        <w:rPr>
          <w:rFonts w:ascii="Arial Unicode MS" w:hAnsi="Arial Unicode MS" w:cs="Arial" w:hint="eastAsia"/>
          <w:kern w:val="0"/>
          <w:szCs w:val="21"/>
        </w:rPr>
        <w:t>30%</w:t>
      </w:r>
      <w:r>
        <w:rPr>
          <w:rFonts w:ascii="Arial Unicode MS" w:hAnsi="Arial Unicode MS" w:cs="Arial" w:hint="eastAsia"/>
          <w:kern w:val="0"/>
          <w:szCs w:val="21"/>
        </w:rPr>
        <w:t>；</w:t>
      </w:r>
    </w:p>
    <w:p w14:paraId="4C462707"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14:paraId="3A5415E1" w14:textId="77777777" w:rsidR="004C06C5" w:rsidRDefault="00ED474B">
      <w:pPr>
        <w:spacing w:line="360" w:lineRule="auto"/>
        <w:ind w:firstLineChars="200" w:firstLine="420"/>
        <w:rPr>
          <w:bCs/>
          <w:szCs w:val="21"/>
        </w:rPr>
      </w:pPr>
      <w:r>
        <w:rPr>
          <w:rFonts w:hint="eastAsia"/>
          <w:bCs/>
          <w:szCs w:val="21"/>
        </w:rPr>
        <w:t>（</w:t>
      </w:r>
      <w:r>
        <w:rPr>
          <w:bCs/>
          <w:szCs w:val="21"/>
        </w:rPr>
        <w:t>16</w:t>
      </w:r>
      <w:r>
        <w:rPr>
          <w:rFonts w:hint="eastAsia"/>
          <w:bCs/>
          <w:szCs w:val="21"/>
        </w:rPr>
        <w:t>）本基金管理人管理的全部开放式基金（包括开放式基金以及处于开放期的定期开放基金）持有一家上市公司发行的可流通股票，不得超过该上市公司可流通股票的</w:t>
      </w:r>
      <w:r>
        <w:rPr>
          <w:bCs/>
          <w:szCs w:val="21"/>
        </w:rPr>
        <w:t>15%</w:t>
      </w:r>
      <w:r>
        <w:rPr>
          <w:rFonts w:hint="eastAsia"/>
          <w:bCs/>
          <w:szCs w:val="21"/>
        </w:rPr>
        <w:t>；本基金管理人管理的全部投资组合持有一家上市公司发行的可流通股票，不得超过该上市公司可流通股票的</w:t>
      </w:r>
      <w:r>
        <w:rPr>
          <w:bCs/>
          <w:szCs w:val="21"/>
        </w:rPr>
        <w:t>30%</w:t>
      </w:r>
      <w:r>
        <w:rPr>
          <w:rFonts w:hint="eastAsia"/>
          <w:bCs/>
          <w:szCs w:val="21"/>
        </w:rPr>
        <w:t>；</w:t>
      </w:r>
    </w:p>
    <w:p w14:paraId="46D82684" w14:textId="77777777" w:rsidR="004C06C5" w:rsidRDefault="00ED474B">
      <w:pPr>
        <w:spacing w:line="360" w:lineRule="auto"/>
        <w:ind w:firstLineChars="200" w:firstLine="420"/>
        <w:rPr>
          <w:bCs/>
          <w:szCs w:val="21"/>
        </w:rPr>
      </w:pPr>
      <w:r>
        <w:rPr>
          <w:rFonts w:hint="eastAsia"/>
          <w:bCs/>
          <w:szCs w:val="21"/>
        </w:rPr>
        <w:t>（</w:t>
      </w:r>
      <w:r>
        <w:rPr>
          <w:bCs/>
          <w:szCs w:val="21"/>
        </w:rPr>
        <w:t>17</w:t>
      </w:r>
      <w:r>
        <w:rPr>
          <w:rFonts w:hint="eastAsia"/>
          <w:bCs/>
          <w:szCs w:val="21"/>
        </w:rPr>
        <w:t>）本基金主动投资于流动性受限资产的市值合计不得超过该基金资产净值的</w:t>
      </w:r>
      <w:r>
        <w:rPr>
          <w:bCs/>
          <w:szCs w:val="21"/>
        </w:rPr>
        <w:t>15%</w:t>
      </w:r>
      <w:r>
        <w:rPr>
          <w:rFonts w:hint="eastAsia"/>
          <w:bCs/>
          <w:szCs w:val="21"/>
        </w:rPr>
        <w:t>；</w:t>
      </w:r>
    </w:p>
    <w:p w14:paraId="6D4A5E42" w14:textId="77777777" w:rsidR="004C06C5" w:rsidRDefault="00ED474B">
      <w:pPr>
        <w:spacing w:line="360" w:lineRule="auto"/>
        <w:ind w:firstLineChars="200" w:firstLine="420"/>
        <w:rPr>
          <w:bCs/>
          <w:szCs w:val="21"/>
        </w:rPr>
      </w:pPr>
      <w:r>
        <w:rPr>
          <w:rFonts w:hint="eastAsia"/>
          <w:bCs/>
          <w:szCs w:val="21"/>
        </w:rPr>
        <w:t>因证券市场波动、上市公司股票停牌、基金规模变动等基金管理人之外的因素致使基金不符合前款所规定比例限制的，基金管理人不得主动新增流动性受限资产的投资；</w:t>
      </w:r>
    </w:p>
    <w:p w14:paraId="590EEEAE" w14:textId="77777777" w:rsidR="004C06C5" w:rsidRDefault="00ED474B">
      <w:pPr>
        <w:spacing w:line="360" w:lineRule="auto"/>
        <w:ind w:firstLineChars="200" w:firstLine="420"/>
        <w:rPr>
          <w:bCs/>
          <w:szCs w:val="21"/>
        </w:rPr>
      </w:pPr>
      <w:r>
        <w:rPr>
          <w:rFonts w:hint="eastAsia"/>
          <w:bCs/>
          <w:szCs w:val="21"/>
        </w:rPr>
        <w:t>（</w:t>
      </w:r>
      <w:r>
        <w:rPr>
          <w:bCs/>
          <w:szCs w:val="21"/>
        </w:rPr>
        <w:t>18</w:t>
      </w:r>
      <w:r>
        <w:rPr>
          <w:rFonts w:hint="eastAsia"/>
          <w:bCs/>
          <w:szCs w:val="21"/>
        </w:rPr>
        <w:t>）本基金与私募类</w:t>
      </w:r>
      <w:proofErr w:type="gramStart"/>
      <w:r>
        <w:rPr>
          <w:rFonts w:hint="eastAsia"/>
          <w:bCs/>
          <w:szCs w:val="21"/>
        </w:rPr>
        <w:t>证券资管产品</w:t>
      </w:r>
      <w:proofErr w:type="gramEnd"/>
      <w:r>
        <w:rPr>
          <w:rFonts w:hint="eastAsia"/>
          <w:bCs/>
          <w:szCs w:val="21"/>
        </w:rPr>
        <w:t>及中国证监会认定的其他主体为交易对手开展逆回购交易的，可接受质押品的资质要求应当与基金合同约定的投资范围保持一致；</w:t>
      </w:r>
    </w:p>
    <w:p w14:paraId="2CE767D9" w14:textId="77777777" w:rsidR="004C06C5" w:rsidRDefault="00ED474B">
      <w:pPr>
        <w:spacing w:line="360" w:lineRule="auto"/>
        <w:ind w:firstLineChars="200" w:firstLine="420"/>
        <w:rPr>
          <w:bCs/>
          <w:szCs w:val="21"/>
        </w:rPr>
      </w:pPr>
      <w:r>
        <w:rPr>
          <w:rFonts w:hint="eastAsia"/>
          <w:bCs/>
          <w:szCs w:val="21"/>
        </w:rPr>
        <w:t>（</w:t>
      </w:r>
      <w:r>
        <w:rPr>
          <w:bCs/>
          <w:szCs w:val="21"/>
        </w:rPr>
        <w:t>19</w:t>
      </w:r>
      <w:r>
        <w:rPr>
          <w:rFonts w:hint="eastAsia"/>
          <w:bCs/>
          <w:szCs w:val="21"/>
        </w:rPr>
        <w:t>）法律法规及中国证监会规定的和《基金合同》约定的其他投资限制。</w:t>
      </w:r>
    </w:p>
    <w:p w14:paraId="4487B31E" w14:textId="77777777" w:rsidR="004C06C5" w:rsidRDefault="00ED474B">
      <w:pPr>
        <w:spacing w:line="360" w:lineRule="auto"/>
        <w:ind w:firstLineChars="200" w:firstLine="420"/>
        <w:rPr>
          <w:bCs/>
          <w:szCs w:val="21"/>
        </w:rPr>
      </w:pPr>
      <w:r>
        <w:rPr>
          <w:rFonts w:hint="eastAsia"/>
          <w:bCs/>
          <w:szCs w:val="21"/>
        </w:rPr>
        <w:t>除上述第（</w:t>
      </w:r>
      <w:r>
        <w:rPr>
          <w:bCs/>
          <w:szCs w:val="21"/>
        </w:rPr>
        <w:t>2</w:t>
      </w:r>
      <w:r>
        <w:rPr>
          <w:rFonts w:hint="eastAsia"/>
          <w:bCs/>
          <w:szCs w:val="21"/>
        </w:rPr>
        <w:t>）、（</w:t>
      </w:r>
      <w:r>
        <w:rPr>
          <w:bCs/>
          <w:szCs w:val="21"/>
        </w:rPr>
        <w:t>12</w:t>
      </w:r>
      <w:r>
        <w:rPr>
          <w:rFonts w:hint="eastAsia"/>
          <w:bCs/>
          <w:szCs w:val="21"/>
        </w:rPr>
        <w:t>）、（</w:t>
      </w:r>
      <w:r>
        <w:rPr>
          <w:bCs/>
          <w:szCs w:val="21"/>
        </w:rPr>
        <w:t>17</w:t>
      </w:r>
      <w:r>
        <w:rPr>
          <w:rFonts w:hint="eastAsia"/>
          <w:bCs/>
          <w:szCs w:val="21"/>
        </w:rPr>
        <w:t>）、（</w:t>
      </w:r>
      <w:r>
        <w:rPr>
          <w:bCs/>
          <w:szCs w:val="21"/>
        </w:rPr>
        <w:t>18</w:t>
      </w:r>
      <w:r>
        <w:rPr>
          <w:rFonts w:hint="eastAsia"/>
          <w:bCs/>
          <w:szCs w:val="21"/>
        </w:rPr>
        <w:t>）项外，因证券、期货市场波动、证券发行人合并、基金规模变动等基金管理人之外的因素致使基金投资比例不符合上述规定投资比例的，基金管理人应当在</w:t>
      </w:r>
      <w:r>
        <w:rPr>
          <w:bCs/>
          <w:szCs w:val="21"/>
        </w:rPr>
        <w:t>10</w:t>
      </w:r>
      <w:r>
        <w:rPr>
          <w:rFonts w:hint="eastAsia"/>
          <w:bCs/>
          <w:szCs w:val="21"/>
        </w:rPr>
        <w:t>个交易日内进行调整，但中国证监会规定的特殊情形除外。法律法规或监管机构另有规定的，从其规定。</w:t>
      </w:r>
    </w:p>
    <w:p w14:paraId="24EF6416"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0EDF5FD6"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法律法规或监管部门取消或变更上述限制，则本基金投资可不再受相关限制或以变更后的规定为准。</w:t>
      </w:r>
    </w:p>
    <w:p w14:paraId="2A6C3EEE"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、禁止行为</w:t>
      </w:r>
    </w:p>
    <w:p w14:paraId="15B6EE0E"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为维护基金份额持有人的合法权益，基金财产不得用于下列投资或者活动：</w:t>
      </w:r>
    </w:p>
    <w:p w14:paraId="25D74E67"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）承销证券；</w:t>
      </w:r>
    </w:p>
    <w:p w14:paraId="4FE78B8D"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）违反规定向他人贷款或者提供担保；</w:t>
      </w:r>
    </w:p>
    <w:p w14:paraId="00E17AAA"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）从事承担无限责任的投资；</w:t>
      </w:r>
    </w:p>
    <w:p w14:paraId="652B8873"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）买卖其他基金份额，但是中国证监会另有规定的除外；</w:t>
      </w:r>
    </w:p>
    <w:p w14:paraId="521E8290"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）向其基金管理人、基金托管人出资；</w:t>
      </w:r>
    </w:p>
    <w:p w14:paraId="7783AAFF"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）从事内幕交易、操纵证券交易价格及其他不正当的证券交易活动；</w:t>
      </w:r>
    </w:p>
    <w:p w14:paraId="1143ECEE"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）法律、行政法规和中国证监会规定禁止的其他活动。</w:t>
      </w:r>
    </w:p>
    <w:p w14:paraId="75E51656"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096E41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如法律、行政法规或监管部门取消或调整上述禁止性规定，则本基金可不受上述规定的限制或按调整后的规定执行。</w:t>
      </w:r>
    </w:p>
    <w:p w14:paraId="67B83FB5" w14:textId="77777777" w:rsidR="004C06C5" w:rsidRDefault="00ED474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、业绩比较基准</w:t>
      </w:r>
    </w:p>
    <w:p w14:paraId="2270F360"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本基金的业绩比较基准为：中</w:t>
      </w:r>
      <w:proofErr w:type="gramStart"/>
      <w:r>
        <w:rPr>
          <w:rFonts w:ascii="Arial Unicode MS" w:hAnsi="Arial Unicode MS" w:cs="Arial" w:hint="eastAsia"/>
          <w:kern w:val="0"/>
          <w:szCs w:val="21"/>
        </w:rPr>
        <w:t>债综合</w:t>
      </w:r>
      <w:proofErr w:type="gramEnd"/>
      <w:r>
        <w:rPr>
          <w:rFonts w:ascii="Arial Unicode MS" w:hAnsi="Arial Unicode MS" w:cs="Arial" w:hint="eastAsia"/>
          <w:kern w:val="0"/>
          <w:szCs w:val="21"/>
        </w:rPr>
        <w:t>指数（总财富）收益率×</w:t>
      </w:r>
      <w:r>
        <w:rPr>
          <w:rFonts w:ascii="Arial Unicode MS" w:hAnsi="Arial Unicode MS" w:cs="Arial" w:hint="eastAsia"/>
          <w:kern w:val="0"/>
          <w:szCs w:val="21"/>
        </w:rPr>
        <w:t>90%+1</w:t>
      </w:r>
      <w:r>
        <w:rPr>
          <w:rFonts w:ascii="Arial Unicode MS" w:hAnsi="Arial Unicode MS" w:cs="Arial" w:hint="eastAsia"/>
          <w:kern w:val="0"/>
          <w:szCs w:val="21"/>
        </w:rPr>
        <w:t>年期定期存款利率（税后）×</w:t>
      </w:r>
      <w:r>
        <w:rPr>
          <w:rFonts w:ascii="Arial Unicode MS" w:hAnsi="Arial Unicode MS" w:cs="Arial" w:hint="eastAsia"/>
          <w:kern w:val="0"/>
          <w:szCs w:val="21"/>
        </w:rPr>
        <w:t>10%</w:t>
      </w:r>
      <w:r>
        <w:rPr>
          <w:rFonts w:ascii="Arial Unicode MS" w:hAnsi="Arial Unicode MS" w:cs="Arial" w:hint="eastAsia"/>
          <w:kern w:val="0"/>
          <w:szCs w:val="21"/>
        </w:rPr>
        <w:t>。</w:t>
      </w:r>
    </w:p>
    <w:p w14:paraId="62355D9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如果今后法律法规发生变化，或者有更权威的、更能为市场普遍接受的业绩比较基准推出，或者是市场上出现更加适合用于本基金的业绩基准的指数，或者市场发生变化导致</w:t>
      </w:r>
      <w:proofErr w:type="gramStart"/>
      <w:r>
        <w:rPr>
          <w:rFonts w:ascii="Arial Unicode MS" w:hAnsi="Arial Unicode MS" w:cs="Arial" w:hint="eastAsia"/>
          <w:kern w:val="0"/>
          <w:szCs w:val="21"/>
        </w:rPr>
        <w:t>本业绩</w:t>
      </w:r>
      <w:proofErr w:type="gramEnd"/>
      <w:r>
        <w:rPr>
          <w:rFonts w:ascii="Arial Unicode MS" w:hAnsi="Arial Unicode MS" w:cs="Arial" w:hint="eastAsia"/>
          <w:kern w:val="0"/>
          <w:szCs w:val="21"/>
        </w:rPr>
        <w:t>比较基准不再适用或</w:t>
      </w:r>
      <w:proofErr w:type="gramStart"/>
      <w:r>
        <w:rPr>
          <w:rFonts w:ascii="Arial Unicode MS" w:hAnsi="Arial Unicode MS" w:cs="Arial" w:hint="eastAsia"/>
          <w:kern w:val="0"/>
          <w:szCs w:val="21"/>
        </w:rPr>
        <w:t>本业绩</w:t>
      </w:r>
      <w:proofErr w:type="gramEnd"/>
      <w:r>
        <w:rPr>
          <w:rFonts w:ascii="Arial Unicode MS" w:hAnsi="Arial Unicode MS" w:cs="Arial" w:hint="eastAsia"/>
          <w:kern w:val="0"/>
          <w:szCs w:val="21"/>
        </w:rPr>
        <w:t>比较基准停止发布时，本基金管理人在与基金托管人协商一致，可调整或变更业绩比较基准并及时公告，而无需召开基金份额持有人大会。</w:t>
      </w:r>
    </w:p>
    <w:p w14:paraId="3453B6FB" w14:textId="77777777" w:rsidR="004C06C5" w:rsidRDefault="00ED474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、风险收益特征</w:t>
      </w:r>
    </w:p>
    <w:p w14:paraId="0A9F883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本基金为债券型基金，预期收益和预期风险高于货币市场基金，但低于混合型基金、股票型基金，属于中低风险</w:t>
      </w:r>
      <w:r>
        <w:rPr>
          <w:rFonts w:ascii="Arial Unicode MS" w:hAnsi="Arial Unicode MS" w:cs="Arial" w:hint="eastAsia"/>
          <w:kern w:val="0"/>
          <w:szCs w:val="21"/>
        </w:rPr>
        <w:t>/</w:t>
      </w:r>
      <w:r>
        <w:rPr>
          <w:rFonts w:ascii="Arial Unicode MS" w:hAnsi="Arial Unicode MS" w:cs="Arial" w:hint="eastAsia"/>
          <w:kern w:val="0"/>
          <w:szCs w:val="21"/>
        </w:rPr>
        <w:t>收益的产品。</w:t>
      </w:r>
    </w:p>
    <w:p w14:paraId="25394EF8" w14:textId="77777777" w:rsidR="004C06C5" w:rsidRDefault="00ED474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七、基金管理人代表基金行使相关权利的处理原则及方法</w:t>
      </w:r>
    </w:p>
    <w:p w14:paraId="2297414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、基金管理人按照国家有关规定代表基金独立行使相关权利，保护基金份额持有人的</w:t>
      </w:r>
      <w:r>
        <w:rPr>
          <w:rFonts w:ascii="Arial Unicode MS" w:hAnsi="Arial Unicode MS" w:cs="Arial" w:hint="eastAsia"/>
          <w:kern w:val="0"/>
          <w:szCs w:val="21"/>
        </w:rPr>
        <w:lastRenderedPageBreak/>
        <w:t>利益；</w:t>
      </w:r>
    </w:p>
    <w:p w14:paraId="1FB0420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、有利于基金财产的安全与增值；</w:t>
      </w:r>
    </w:p>
    <w:p w14:paraId="47E2867F"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、不通过关联交易为自身、雇员、授权代理人或任何存在利害关系的第三人牟取任何不当利益。</w:t>
      </w:r>
    </w:p>
    <w:p w14:paraId="584EA28F" w14:textId="77777777" w:rsidR="004C06C5" w:rsidRDefault="00ED474B">
      <w:pPr>
        <w:spacing w:line="360" w:lineRule="auto"/>
        <w:ind w:firstLineChars="200" w:firstLine="422"/>
        <w:rPr>
          <w:rFonts w:ascii="宋体" w:hAnsi="宋体" w:cs="Arial"/>
          <w:b/>
          <w:bCs/>
          <w:szCs w:val="21"/>
        </w:rPr>
      </w:pPr>
      <w:r>
        <w:rPr>
          <w:rFonts w:ascii="宋体" w:hAnsi="宋体" w:cs="Arial" w:hint="eastAsia"/>
          <w:b/>
          <w:bCs/>
          <w:szCs w:val="21"/>
        </w:rPr>
        <w:t>八、基金投资组合报告</w:t>
      </w:r>
    </w:p>
    <w:p w14:paraId="5BBF1B6B" w14:textId="77777777" w:rsidR="004C06C5" w:rsidRDefault="00ED474B">
      <w:pPr>
        <w:spacing w:line="360" w:lineRule="auto"/>
        <w:ind w:firstLineChars="200" w:firstLine="420"/>
        <w:rPr>
          <w:rFonts w:ascii="宋体" w:hAnsi="宋体" w:cs="Arial"/>
          <w:bCs/>
          <w:szCs w:val="21"/>
        </w:rPr>
      </w:pPr>
      <w:r>
        <w:rPr>
          <w:rFonts w:ascii="宋体" w:hAnsi="宋体" w:cs="Arial" w:hint="eastAsia"/>
          <w:bCs/>
          <w:szCs w:val="21"/>
        </w:rPr>
        <w:t>基金管理人的董事会及董事保证本报告所载资料不存在虚假记载、误导性陈述或重大遗漏，并对其内容的真实性、准确性和完整性承担个别及连带责任。</w:t>
      </w:r>
    </w:p>
    <w:p w14:paraId="4D8BBF0C" w14:textId="77777777" w:rsidR="004C06C5" w:rsidRDefault="00ED474B">
      <w:pPr>
        <w:spacing w:line="360" w:lineRule="auto"/>
        <w:ind w:firstLineChars="200" w:firstLine="420"/>
        <w:rPr>
          <w:rFonts w:ascii="宋体" w:hAnsi="宋体" w:cs="Arial"/>
          <w:bCs/>
          <w:szCs w:val="21"/>
        </w:rPr>
      </w:pPr>
      <w:r>
        <w:rPr>
          <w:rFonts w:ascii="宋体" w:hAnsi="宋体" w:cs="Arial" w:hint="eastAsia"/>
          <w:bCs/>
          <w:szCs w:val="21"/>
        </w:rPr>
        <w:t>基金托管人上海浦东发展银行股份有限公司根据本基金合同规定，于</w:t>
      </w:r>
      <w:r w:rsidR="00302FED">
        <w:rPr>
          <w:rFonts w:ascii="宋体" w:hAnsi="宋体" w:cs="Arial" w:hint="eastAsia"/>
          <w:bCs/>
          <w:szCs w:val="21"/>
        </w:rPr>
        <w:t>2020</w:t>
      </w:r>
      <w:r>
        <w:rPr>
          <w:rFonts w:ascii="宋体" w:hAnsi="宋体" w:cs="Arial" w:hint="eastAsia"/>
          <w:bCs/>
          <w:szCs w:val="21"/>
        </w:rPr>
        <w:t>年</w:t>
      </w:r>
      <w:r w:rsidR="00302FED">
        <w:rPr>
          <w:rFonts w:ascii="宋体" w:hAnsi="宋体" w:cs="Arial" w:hint="eastAsia"/>
          <w:bCs/>
          <w:szCs w:val="21"/>
        </w:rPr>
        <w:t>5</w:t>
      </w:r>
      <w:r>
        <w:rPr>
          <w:rFonts w:ascii="宋体" w:hAnsi="宋体" w:cs="Arial" w:hint="eastAsia"/>
          <w:bCs/>
          <w:szCs w:val="21"/>
        </w:rPr>
        <w:t>月</w:t>
      </w:r>
      <w:r w:rsidR="00302FED">
        <w:rPr>
          <w:rFonts w:ascii="宋体" w:hAnsi="宋体" w:cs="Arial" w:hint="eastAsia"/>
          <w:bCs/>
          <w:szCs w:val="21"/>
        </w:rPr>
        <w:t>7</w:t>
      </w:r>
      <w:r>
        <w:rPr>
          <w:rFonts w:ascii="宋体" w:hAnsi="宋体" w:cs="Arial" w:hint="eastAsia"/>
          <w:bCs/>
          <w:szCs w:val="21"/>
        </w:rPr>
        <w:t>日复核了本报告中的财务指标、净值表现和投资组合报告等内容，保证复核内容不存在虚假记载、误导性陈述或者重大遗漏。</w:t>
      </w:r>
    </w:p>
    <w:p w14:paraId="052D0DC6" w14:textId="77777777" w:rsidR="004C06C5" w:rsidRDefault="00ED474B">
      <w:pPr>
        <w:spacing w:line="360" w:lineRule="auto"/>
        <w:ind w:firstLineChars="200" w:firstLine="420"/>
        <w:rPr>
          <w:rFonts w:ascii="宋体" w:hAnsi="宋体" w:cs="Arial"/>
          <w:bCs/>
          <w:szCs w:val="21"/>
        </w:rPr>
      </w:pPr>
      <w:r>
        <w:rPr>
          <w:rFonts w:ascii="宋体" w:hAnsi="宋体" w:cs="Arial" w:hint="eastAsia"/>
          <w:bCs/>
          <w:szCs w:val="21"/>
        </w:rPr>
        <w:t>本投资组合报告所载数据截至2019</w:t>
      </w:r>
      <w:r>
        <w:rPr>
          <w:rFonts w:ascii="宋体" w:hAnsi="宋体" w:cs="Arial"/>
          <w:bCs/>
          <w:szCs w:val="21"/>
        </w:rPr>
        <w:t xml:space="preserve"> </w:t>
      </w:r>
      <w:r>
        <w:rPr>
          <w:rFonts w:ascii="宋体" w:hAnsi="宋体" w:cs="Arial" w:hint="eastAsia"/>
          <w:bCs/>
          <w:szCs w:val="21"/>
        </w:rPr>
        <w:t>年12月31</w:t>
      </w:r>
      <w:r>
        <w:rPr>
          <w:rFonts w:ascii="宋体" w:hAnsi="宋体" w:cs="Arial"/>
          <w:bCs/>
          <w:szCs w:val="21"/>
        </w:rPr>
        <w:t xml:space="preserve"> </w:t>
      </w:r>
      <w:r>
        <w:rPr>
          <w:rFonts w:ascii="宋体" w:hAnsi="宋体" w:cs="Arial" w:hint="eastAsia"/>
          <w:bCs/>
          <w:szCs w:val="21"/>
        </w:rPr>
        <w:t>日，本报告中所列财务数据未经审计。</w:t>
      </w:r>
    </w:p>
    <w:p w14:paraId="2C761350" w14:textId="77777777" w:rsidR="004C06C5" w:rsidRDefault="00ED474B">
      <w:pPr>
        <w:pStyle w:val="zhangjiep2"/>
        <w:spacing w:line="360" w:lineRule="auto"/>
        <w:rPr>
          <w:bCs/>
          <w:sz w:val="21"/>
          <w:szCs w:val="21"/>
        </w:rPr>
      </w:pPr>
      <w:r>
        <w:rPr>
          <w:rFonts w:hint="eastAsia"/>
          <w:bCs/>
          <w:sz w:val="21"/>
          <w:szCs w:val="21"/>
        </w:rPr>
        <w:t>1、报告期末基金资产组合情况</w:t>
      </w:r>
    </w:p>
    <w:tbl>
      <w:tblPr>
        <w:tblW w:w="8414" w:type="dxa"/>
        <w:tblInd w:w="108" w:type="dxa"/>
        <w:tblLayout w:type="fixed"/>
        <w:tblLook w:val="04A0" w:firstRow="1" w:lastRow="0" w:firstColumn="1" w:lastColumn="0" w:noHBand="0" w:noVBand="1"/>
      </w:tblPr>
      <w:tblGrid>
        <w:gridCol w:w="763"/>
        <w:gridCol w:w="2743"/>
        <w:gridCol w:w="2414"/>
        <w:gridCol w:w="2494"/>
      </w:tblGrid>
      <w:tr w:rsidR="004C06C5" w14:paraId="042327A7"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48CFA83F" w14:textId="77777777" w:rsidR="004C06C5" w:rsidRDefault="00ED474B">
            <w:pPr>
              <w:pStyle w:val="biaogecenter"/>
              <w:wordWrap w:val="0"/>
              <w:rPr>
                <w:rFonts w:hAnsi="Calibri"/>
                <w:color w:val="000000"/>
              </w:rPr>
            </w:pPr>
            <w:r>
              <w:rPr>
                <w:rFonts w:hAnsi="Calibri" w:hint="eastAsia"/>
                <w:color w:val="000000"/>
              </w:rPr>
              <w:t>序号</w:t>
            </w:r>
          </w:p>
        </w:tc>
        <w:tc>
          <w:tcPr>
            <w:tcW w:w="2743" w:type="dxa"/>
            <w:tcBorders>
              <w:top w:val="single" w:sz="8" w:space="0" w:color="000000"/>
              <w:left w:val="single" w:sz="8" w:space="0" w:color="000000"/>
              <w:bottom w:val="single" w:sz="6" w:space="0" w:color="000000"/>
              <w:right w:val="single" w:sz="8" w:space="0" w:color="000000"/>
            </w:tcBorders>
            <w:vAlign w:val="center"/>
          </w:tcPr>
          <w:p w14:paraId="61765DF7" w14:textId="77777777" w:rsidR="004C06C5" w:rsidRDefault="00ED474B">
            <w:pPr>
              <w:pStyle w:val="biaogecenter"/>
              <w:wordWrap w:val="0"/>
              <w:rPr>
                <w:rFonts w:hAnsi="Calibri"/>
                <w:color w:val="000000"/>
              </w:rPr>
            </w:pPr>
            <w:r>
              <w:rPr>
                <w:rFonts w:hAnsi="Calibri" w:hint="eastAsia"/>
                <w:color w:val="000000"/>
              </w:rPr>
              <w:t>项目</w:t>
            </w:r>
          </w:p>
        </w:tc>
        <w:tc>
          <w:tcPr>
            <w:tcW w:w="2414" w:type="dxa"/>
            <w:tcBorders>
              <w:top w:val="single" w:sz="8" w:space="0" w:color="000000"/>
              <w:left w:val="single" w:sz="8" w:space="0" w:color="000000"/>
              <w:bottom w:val="single" w:sz="6" w:space="0" w:color="000000"/>
              <w:right w:val="single" w:sz="8" w:space="0" w:color="000000"/>
            </w:tcBorders>
            <w:vAlign w:val="center"/>
          </w:tcPr>
          <w:p w14:paraId="14FFA7D9" w14:textId="77777777" w:rsidR="004C06C5" w:rsidRDefault="00ED474B">
            <w:pPr>
              <w:pStyle w:val="biaogecenter"/>
              <w:wordWrap w:val="0"/>
              <w:rPr>
                <w:rFonts w:hAnsi="Calibri"/>
                <w:color w:val="000000"/>
              </w:rPr>
            </w:pPr>
            <w:r>
              <w:rPr>
                <w:rFonts w:hAnsi="Calibri"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tcPr>
          <w:p w14:paraId="2ED6DE84" w14:textId="77777777" w:rsidR="004C06C5" w:rsidRDefault="00ED474B">
            <w:pPr>
              <w:pStyle w:val="biaogecenter"/>
              <w:wordWrap w:val="0"/>
              <w:rPr>
                <w:rFonts w:hAnsi="Calibri"/>
                <w:color w:val="000000"/>
              </w:rPr>
            </w:pPr>
            <w:r>
              <w:rPr>
                <w:rFonts w:hAnsi="Calibri" w:hint="eastAsia"/>
                <w:color w:val="000000"/>
              </w:rPr>
              <w:t>占基金总资产的比例（%）</w:t>
            </w:r>
          </w:p>
        </w:tc>
      </w:tr>
      <w:tr w:rsidR="004C06C5" w14:paraId="1E5A6114"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53B4DFE6" w14:textId="77777777" w:rsidR="004C06C5" w:rsidRDefault="00ED474B">
            <w:pPr>
              <w:pStyle w:val="biaogecenter"/>
              <w:wordWrap w:val="0"/>
              <w:rPr>
                <w:rFonts w:hAnsi="Calibri"/>
                <w:color w:val="000000"/>
              </w:rPr>
            </w:pPr>
            <w:r>
              <w:rPr>
                <w:rFonts w:hAnsi="Calibri" w:hint="eastAsia"/>
                <w:color w:val="000000"/>
              </w:rPr>
              <w:t>1</w:t>
            </w:r>
          </w:p>
        </w:tc>
        <w:tc>
          <w:tcPr>
            <w:tcW w:w="2743" w:type="dxa"/>
            <w:tcBorders>
              <w:top w:val="single" w:sz="8" w:space="0" w:color="000000"/>
              <w:left w:val="single" w:sz="8" w:space="0" w:color="000000"/>
              <w:bottom w:val="single" w:sz="6" w:space="0" w:color="000000"/>
              <w:right w:val="single" w:sz="8" w:space="0" w:color="000000"/>
            </w:tcBorders>
            <w:vAlign w:val="center"/>
          </w:tcPr>
          <w:p w14:paraId="5CFE572A" w14:textId="77777777" w:rsidR="004C06C5" w:rsidRDefault="00ED474B">
            <w:pPr>
              <w:pStyle w:val="biaogecenter"/>
              <w:rPr>
                <w:rFonts w:hAnsi="Calibri"/>
                <w:color w:val="000000"/>
              </w:rPr>
            </w:pPr>
            <w:r>
              <w:rPr>
                <w:rFonts w:hAnsi="Calibri" w:hint="eastAsia"/>
                <w:color w:val="000000"/>
              </w:rPr>
              <w:t>权益投资</w:t>
            </w:r>
          </w:p>
        </w:tc>
        <w:tc>
          <w:tcPr>
            <w:tcW w:w="2414" w:type="dxa"/>
            <w:tcBorders>
              <w:top w:val="single" w:sz="8" w:space="0" w:color="000000"/>
              <w:left w:val="single" w:sz="8" w:space="0" w:color="000000"/>
              <w:bottom w:val="single" w:sz="6" w:space="0" w:color="000000"/>
              <w:right w:val="single" w:sz="8" w:space="0" w:color="000000"/>
            </w:tcBorders>
            <w:vAlign w:val="center"/>
          </w:tcPr>
          <w:p w14:paraId="2462D395" w14:textId="77777777"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7E5BAF20" w14:textId="77777777" w:rsidR="004C06C5" w:rsidRDefault="00ED474B">
            <w:pPr>
              <w:pStyle w:val="biaogecenter"/>
              <w:rPr>
                <w:rFonts w:hAnsi="Calibri"/>
                <w:color w:val="000000"/>
              </w:rPr>
            </w:pPr>
            <w:r>
              <w:rPr>
                <w:rFonts w:hAnsi="Calibri" w:hint="eastAsia"/>
                <w:color w:val="000000"/>
              </w:rPr>
              <w:t>-</w:t>
            </w:r>
          </w:p>
        </w:tc>
      </w:tr>
      <w:tr w:rsidR="004C06C5" w14:paraId="1F5E1DFC"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0C4AF8E3" w14:textId="77777777"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14:paraId="333ACDEB" w14:textId="77777777" w:rsidR="004C06C5" w:rsidRDefault="00ED474B">
            <w:pPr>
              <w:pStyle w:val="biaogecenter"/>
              <w:rPr>
                <w:rFonts w:hAnsi="Calibri"/>
                <w:color w:val="000000"/>
              </w:rPr>
            </w:pPr>
            <w:r>
              <w:rPr>
                <w:rFonts w:hAnsi="Calibri" w:hint="eastAsia"/>
                <w:color w:val="000000"/>
              </w:rPr>
              <w:t>其中：股票</w:t>
            </w:r>
          </w:p>
        </w:tc>
        <w:tc>
          <w:tcPr>
            <w:tcW w:w="2414" w:type="dxa"/>
            <w:tcBorders>
              <w:top w:val="single" w:sz="8" w:space="0" w:color="000000"/>
              <w:left w:val="single" w:sz="8" w:space="0" w:color="000000"/>
              <w:bottom w:val="single" w:sz="6" w:space="0" w:color="000000"/>
              <w:right w:val="single" w:sz="8" w:space="0" w:color="000000"/>
            </w:tcBorders>
            <w:vAlign w:val="center"/>
          </w:tcPr>
          <w:p w14:paraId="71FA85B6" w14:textId="77777777"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32E8930D" w14:textId="77777777" w:rsidR="004C06C5" w:rsidRDefault="00ED474B">
            <w:pPr>
              <w:pStyle w:val="biaogecenter"/>
              <w:rPr>
                <w:rFonts w:hAnsi="Calibri"/>
                <w:color w:val="000000"/>
              </w:rPr>
            </w:pPr>
            <w:r>
              <w:rPr>
                <w:rFonts w:hAnsi="Calibri" w:hint="eastAsia"/>
                <w:color w:val="000000"/>
              </w:rPr>
              <w:t>-</w:t>
            </w:r>
          </w:p>
        </w:tc>
      </w:tr>
      <w:tr w:rsidR="004C06C5" w14:paraId="2C8A9628"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78B1123A" w14:textId="77777777" w:rsidR="004C06C5" w:rsidRDefault="00ED474B">
            <w:pPr>
              <w:pStyle w:val="biaogecenter"/>
              <w:wordWrap w:val="0"/>
              <w:rPr>
                <w:rFonts w:hAnsi="Calibri"/>
                <w:color w:val="000000"/>
              </w:rPr>
            </w:pPr>
            <w:r>
              <w:rPr>
                <w:rFonts w:hAnsi="Calibri" w:hint="eastAsia"/>
                <w:color w:val="000000"/>
              </w:rPr>
              <w:t>2</w:t>
            </w:r>
          </w:p>
        </w:tc>
        <w:tc>
          <w:tcPr>
            <w:tcW w:w="2743" w:type="dxa"/>
            <w:tcBorders>
              <w:top w:val="single" w:sz="8" w:space="0" w:color="000000"/>
              <w:left w:val="single" w:sz="8" w:space="0" w:color="000000"/>
              <w:bottom w:val="single" w:sz="6" w:space="0" w:color="000000"/>
              <w:right w:val="single" w:sz="8" w:space="0" w:color="000000"/>
            </w:tcBorders>
            <w:vAlign w:val="center"/>
          </w:tcPr>
          <w:p w14:paraId="3C15386D" w14:textId="77777777" w:rsidR="004C06C5" w:rsidRDefault="00ED474B">
            <w:pPr>
              <w:pStyle w:val="biaogecenter"/>
              <w:rPr>
                <w:rFonts w:hAnsi="Calibri"/>
                <w:color w:val="000000"/>
              </w:rPr>
            </w:pPr>
            <w:r>
              <w:rPr>
                <w:rFonts w:hAnsi="Calibri" w:hint="eastAsia"/>
                <w:color w:val="000000"/>
              </w:rPr>
              <w:t>基金投资</w:t>
            </w:r>
          </w:p>
        </w:tc>
        <w:tc>
          <w:tcPr>
            <w:tcW w:w="2414" w:type="dxa"/>
            <w:tcBorders>
              <w:top w:val="single" w:sz="8" w:space="0" w:color="000000"/>
              <w:left w:val="single" w:sz="8" w:space="0" w:color="000000"/>
              <w:bottom w:val="single" w:sz="6" w:space="0" w:color="000000"/>
              <w:right w:val="single" w:sz="8" w:space="0" w:color="000000"/>
            </w:tcBorders>
            <w:vAlign w:val="center"/>
          </w:tcPr>
          <w:p w14:paraId="15228318" w14:textId="77777777"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680BECDC" w14:textId="77777777" w:rsidR="004C06C5" w:rsidRDefault="00ED474B">
            <w:pPr>
              <w:pStyle w:val="biaogecenter"/>
              <w:rPr>
                <w:rFonts w:hAnsi="Calibri"/>
                <w:color w:val="000000"/>
              </w:rPr>
            </w:pPr>
            <w:r>
              <w:rPr>
                <w:rFonts w:hAnsi="Calibri" w:hint="eastAsia"/>
                <w:color w:val="000000"/>
              </w:rPr>
              <w:t>-</w:t>
            </w:r>
          </w:p>
        </w:tc>
      </w:tr>
      <w:tr w:rsidR="004C06C5" w14:paraId="6403AC0D"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5BAF3507" w14:textId="77777777" w:rsidR="004C06C5" w:rsidRDefault="00ED474B">
            <w:pPr>
              <w:pStyle w:val="biaogecenter"/>
              <w:wordWrap w:val="0"/>
              <w:rPr>
                <w:rFonts w:hAnsi="Calibri"/>
                <w:color w:val="000000"/>
              </w:rPr>
            </w:pPr>
            <w:r>
              <w:rPr>
                <w:rFonts w:hAnsi="Calibri" w:hint="eastAsia"/>
                <w:color w:val="000000"/>
              </w:rPr>
              <w:t>3</w:t>
            </w:r>
          </w:p>
        </w:tc>
        <w:tc>
          <w:tcPr>
            <w:tcW w:w="2743" w:type="dxa"/>
            <w:tcBorders>
              <w:top w:val="single" w:sz="8" w:space="0" w:color="000000"/>
              <w:left w:val="single" w:sz="8" w:space="0" w:color="000000"/>
              <w:bottom w:val="single" w:sz="6" w:space="0" w:color="000000"/>
              <w:right w:val="single" w:sz="8" w:space="0" w:color="000000"/>
            </w:tcBorders>
            <w:vAlign w:val="center"/>
          </w:tcPr>
          <w:p w14:paraId="6B9225BB" w14:textId="77777777" w:rsidR="004C06C5" w:rsidRDefault="00ED474B">
            <w:pPr>
              <w:pStyle w:val="biaogecenter"/>
              <w:rPr>
                <w:rFonts w:hAnsi="Calibri"/>
                <w:color w:val="000000"/>
              </w:rPr>
            </w:pPr>
            <w:r>
              <w:rPr>
                <w:rFonts w:hAnsi="Calibri" w:hint="eastAsia"/>
                <w:color w:val="000000"/>
              </w:rPr>
              <w:t>固定收益投资</w:t>
            </w:r>
          </w:p>
        </w:tc>
        <w:tc>
          <w:tcPr>
            <w:tcW w:w="2414" w:type="dxa"/>
            <w:tcBorders>
              <w:top w:val="single" w:sz="8" w:space="0" w:color="000000"/>
              <w:left w:val="single" w:sz="8" w:space="0" w:color="000000"/>
              <w:bottom w:val="single" w:sz="6" w:space="0" w:color="000000"/>
              <w:right w:val="single" w:sz="8" w:space="0" w:color="000000"/>
            </w:tcBorders>
            <w:vAlign w:val="center"/>
          </w:tcPr>
          <w:p w14:paraId="60BE6F1E" w14:textId="77777777" w:rsidR="004C06C5" w:rsidRDefault="00ED474B">
            <w:pPr>
              <w:pStyle w:val="biaogecenter"/>
              <w:rPr>
                <w:rFonts w:hAnsi="Calibri"/>
                <w:color w:val="000000"/>
              </w:rPr>
            </w:pPr>
            <w:r>
              <w:rPr>
                <w:rFonts w:hAnsi="Calibri" w:hint="eastAsia"/>
                <w:color w:val="000000"/>
              </w:rPr>
              <w:t>2,609,537,882.30</w:t>
            </w:r>
          </w:p>
        </w:tc>
        <w:tc>
          <w:tcPr>
            <w:tcW w:w="2494" w:type="dxa"/>
            <w:tcBorders>
              <w:top w:val="single" w:sz="8" w:space="0" w:color="000000"/>
              <w:left w:val="single" w:sz="8" w:space="0" w:color="000000"/>
              <w:bottom w:val="single" w:sz="6" w:space="0" w:color="000000"/>
              <w:right w:val="single" w:sz="8" w:space="0" w:color="000000"/>
            </w:tcBorders>
            <w:vAlign w:val="center"/>
          </w:tcPr>
          <w:p w14:paraId="04B9B93A" w14:textId="77777777" w:rsidR="004C06C5" w:rsidRDefault="00ED474B">
            <w:pPr>
              <w:pStyle w:val="biaogecenter"/>
              <w:rPr>
                <w:rFonts w:hAnsi="Calibri"/>
                <w:color w:val="000000"/>
              </w:rPr>
            </w:pPr>
            <w:r>
              <w:rPr>
                <w:rFonts w:hAnsi="Calibri" w:hint="eastAsia"/>
                <w:color w:val="000000"/>
              </w:rPr>
              <w:t>84.89</w:t>
            </w:r>
          </w:p>
        </w:tc>
      </w:tr>
      <w:tr w:rsidR="004C06C5" w14:paraId="5D467981"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7BEC6196" w14:textId="77777777"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14:paraId="3668A2CA" w14:textId="77777777" w:rsidR="004C06C5" w:rsidRDefault="00ED474B">
            <w:pPr>
              <w:pStyle w:val="biaogecenter"/>
              <w:rPr>
                <w:rFonts w:hAnsi="Calibri"/>
                <w:color w:val="000000"/>
              </w:rPr>
            </w:pPr>
            <w:r>
              <w:rPr>
                <w:rFonts w:hAnsi="Calibri" w:hint="eastAsia"/>
                <w:color w:val="000000"/>
              </w:rPr>
              <w:t>其中：债券</w:t>
            </w:r>
          </w:p>
        </w:tc>
        <w:tc>
          <w:tcPr>
            <w:tcW w:w="2414" w:type="dxa"/>
            <w:tcBorders>
              <w:top w:val="single" w:sz="8" w:space="0" w:color="000000"/>
              <w:left w:val="single" w:sz="8" w:space="0" w:color="000000"/>
              <w:bottom w:val="single" w:sz="6" w:space="0" w:color="000000"/>
              <w:right w:val="single" w:sz="8" w:space="0" w:color="000000"/>
            </w:tcBorders>
            <w:vAlign w:val="center"/>
          </w:tcPr>
          <w:p w14:paraId="6739FD6A" w14:textId="77777777" w:rsidR="004C06C5" w:rsidRDefault="00ED474B">
            <w:pPr>
              <w:pStyle w:val="biaogecenter"/>
              <w:rPr>
                <w:rFonts w:hAnsi="Calibri"/>
                <w:color w:val="000000"/>
              </w:rPr>
            </w:pPr>
            <w:r>
              <w:rPr>
                <w:rFonts w:hAnsi="Calibri" w:hint="eastAsia"/>
                <w:color w:val="000000"/>
              </w:rPr>
              <w:t>2,609,537,882.30</w:t>
            </w:r>
          </w:p>
        </w:tc>
        <w:tc>
          <w:tcPr>
            <w:tcW w:w="2494" w:type="dxa"/>
            <w:tcBorders>
              <w:top w:val="single" w:sz="8" w:space="0" w:color="000000"/>
              <w:left w:val="single" w:sz="8" w:space="0" w:color="000000"/>
              <w:bottom w:val="single" w:sz="6" w:space="0" w:color="000000"/>
              <w:right w:val="single" w:sz="8" w:space="0" w:color="000000"/>
            </w:tcBorders>
            <w:vAlign w:val="center"/>
          </w:tcPr>
          <w:p w14:paraId="36BBCA23" w14:textId="77777777" w:rsidR="004C06C5" w:rsidRDefault="00ED474B">
            <w:pPr>
              <w:pStyle w:val="biaogecenter"/>
              <w:rPr>
                <w:rFonts w:hAnsi="Calibri"/>
                <w:color w:val="000000"/>
              </w:rPr>
            </w:pPr>
            <w:r>
              <w:rPr>
                <w:rFonts w:hAnsi="Calibri" w:hint="eastAsia"/>
                <w:color w:val="000000"/>
              </w:rPr>
              <w:t>84.89</w:t>
            </w:r>
          </w:p>
        </w:tc>
      </w:tr>
      <w:tr w:rsidR="004C06C5" w14:paraId="4CCE73AA"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73B02D11" w14:textId="77777777"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14:paraId="48BDD1E6" w14:textId="77777777" w:rsidR="004C06C5" w:rsidRDefault="00ED474B">
            <w:pPr>
              <w:pStyle w:val="biaogecenter"/>
              <w:rPr>
                <w:rFonts w:hAnsi="Calibri"/>
                <w:color w:val="000000"/>
              </w:rPr>
            </w:pPr>
            <w:r>
              <w:rPr>
                <w:rFonts w:hAnsi="Calibri" w:hint="eastAsia"/>
                <w:color w:val="000000"/>
              </w:rPr>
              <w:t>资产支持证券</w:t>
            </w:r>
          </w:p>
        </w:tc>
        <w:tc>
          <w:tcPr>
            <w:tcW w:w="2414" w:type="dxa"/>
            <w:tcBorders>
              <w:top w:val="single" w:sz="8" w:space="0" w:color="000000"/>
              <w:left w:val="single" w:sz="8" w:space="0" w:color="000000"/>
              <w:bottom w:val="single" w:sz="6" w:space="0" w:color="000000"/>
              <w:right w:val="single" w:sz="8" w:space="0" w:color="000000"/>
            </w:tcBorders>
            <w:vAlign w:val="center"/>
          </w:tcPr>
          <w:p w14:paraId="352A2D9C" w14:textId="77777777"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2E249755" w14:textId="77777777" w:rsidR="004C06C5" w:rsidRDefault="00ED474B">
            <w:pPr>
              <w:pStyle w:val="biaogecenter"/>
              <w:rPr>
                <w:rFonts w:hAnsi="Calibri"/>
                <w:color w:val="000000"/>
              </w:rPr>
            </w:pPr>
            <w:r>
              <w:rPr>
                <w:rFonts w:hAnsi="Calibri" w:hint="eastAsia"/>
                <w:color w:val="000000"/>
              </w:rPr>
              <w:t>-</w:t>
            </w:r>
          </w:p>
        </w:tc>
      </w:tr>
      <w:tr w:rsidR="004C06C5" w14:paraId="717127EA"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27382E28" w14:textId="77777777" w:rsidR="004C06C5" w:rsidRDefault="00ED474B">
            <w:pPr>
              <w:pStyle w:val="biaogecenter"/>
              <w:wordWrap w:val="0"/>
              <w:rPr>
                <w:rFonts w:hAnsi="Calibri"/>
                <w:color w:val="000000"/>
              </w:rPr>
            </w:pPr>
            <w:r>
              <w:rPr>
                <w:rFonts w:hAnsi="Calibri" w:hint="eastAsia"/>
                <w:color w:val="000000"/>
              </w:rPr>
              <w:t>4</w:t>
            </w:r>
          </w:p>
        </w:tc>
        <w:tc>
          <w:tcPr>
            <w:tcW w:w="2743" w:type="dxa"/>
            <w:tcBorders>
              <w:top w:val="single" w:sz="8" w:space="0" w:color="000000"/>
              <w:left w:val="single" w:sz="8" w:space="0" w:color="000000"/>
              <w:bottom w:val="single" w:sz="6" w:space="0" w:color="000000"/>
              <w:right w:val="single" w:sz="8" w:space="0" w:color="000000"/>
            </w:tcBorders>
            <w:vAlign w:val="center"/>
          </w:tcPr>
          <w:p w14:paraId="314F6F80" w14:textId="77777777" w:rsidR="004C06C5" w:rsidRDefault="00ED474B">
            <w:pPr>
              <w:pStyle w:val="biaogecenter"/>
              <w:rPr>
                <w:rFonts w:hAnsi="Calibri"/>
                <w:color w:val="000000"/>
              </w:rPr>
            </w:pPr>
            <w:r>
              <w:rPr>
                <w:rFonts w:hAnsi="Calibri" w:hint="eastAsia"/>
                <w:color w:val="000000"/>
              </w:rPr>
              <w:t>贵金属投资</w:t>
            </w:r>
          </w:p>
        </w:tc>
        <w:tc>
          <w:tcPr>
            <w:tcW w:w="2414" w:type="dxa"/>
            <w:tcBorders>
              <w:top w:val="single" w:sz="8" w:space="0" w:color="000000"/>
              <w:left w:val="single" w:sz="8" w:space="0" w:color="000000"/>
              <w:bottom w:val="single" w:sz="6" w:space="0" w:color="000000"/>
              <w:right w:val="single" w:sz="8" w:space="0" w:color="000000"/>
            </w:tcBorders>
            <w:vAlign w:val="center"/>
          </w:tcPr>
          <w:p w14:paraId="4F755977" w14:textId="77777777"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63F60D82" w14:textId="77777777" w:rsidR="004C06C5" w:rsidRDefault="00ED474B">
            <w:pPr>
              <w:pStyle w:val="biaogecenter"/>
              <w:rPr>
                <w:rFonts w:hAnsi="Calibri"/>
                <w:color w:val="000000"/>
              </w:rPr>
            </w:pPr>
            <w:r>
              <w:rPr>
                <w:rFonts w:hAnsi="Calibri" w:hint="eastAsia"/>
                <w:color w:val="000000"/>
              </w:rPr>
              <w:t>-</w:t>
            </w:r>
          </w:p>
        </w:tc>
      </w:tr>
      <w:tr w:rsidR="004C06C5" w14:paraId="5F04F1AB"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1D15273C" w14:textId="77777777" w:rsidR="004C06C5" w:rsidRDefault="00ED474B">
            <w:pPr>
              <w:pStyle w:val="biaogecenter"/>
              <w:wordWrap w:val="0"/>
              <w:rPr>
                <w:rFonts w:hAnsi="Calibri"/>
                <w:color w:val="000000"/>
              </w:rPr>
            </w:pPr>
            <w:r>
              <w:rPr>
                <w:rFonts w:hAnsi="Calibri" w:hint="eastAsia"/>
                <w:color w:val="000000"/>
              </w:rPr>
              <w:t>5</w:t>
            </w:r>
          </w:p>
        </w:tc>
        <w:tc>
          <w:tcPr>
            <w:tcW w:w="2743" w:type="dxa"/>
            <w:tcBorders>
              <w:top w:val="single" w:sz="8" w:space="0" w:color="000000"/>
              <w:left w:val="single" w:sz="8" w:space="0" w:color="000000"/>
              <w:bottom w:val="single" w:sz="6" w:space="0" w:color="000000"/>
              <w:right w:val="single" w:sz="8" w:space="0" w:color="000000"/>
            </w:tcBorders>
            <w:vAlign w:val="center"/>
          </w:tcPr>
          <w:p w14:paraId="4F8ED993" w14:textId="77777777" w:rsidR="004C06C5" w:rsidRDefault="00ED474B">
            <w:pPr>
              <w:pStyle w:val="biaogecenter"/>
              <w:rPr>
                <w:rFonts w:hAnsi="Calibri"/>
                <w:color w:val="000000"/>
              </w:rPr>
            </w:pPr>
            <w:r>
              <w:rPr>
                <w:rFonts w:hAnsi="Calibri" w:hint="eastAsia"/>
                <w:color w:val="000000"/>
              </w:rPr>
              <w:t>金融衍生</w:t>
            </w:r>
            <w:proofErr w:type="gramStart"/>
            <w:r>
              <w:rPr>
                <w:rFonts w:hAnsi="Calibri" w:hint="eastAsia"/>
                <w:color w:val="000000"/>
              </w:rPr>
              <w:t>品投资</w:t>
            </w:r>
            <w:proofErr w:type="gramEnd"/>
          </w:p>
        </w:tc>
        <w:tc>
          <w:tcPr>
            <w:tcW w:w="2414" w:type="dxa"/>
            <w:tcBorders>
              <w:top w:val="single" w:sz="8" w:space="0" w:color="000000"/>
              <w:left w:val="single" w:sz="8" w:space="0" w:color="000000"/>
              <w:bottom w:val="single" w:sz="6" w:space="0" w:color="000000"/>
              <w:right w:val="single" w:sz="8" w:space="0" w:color="000000"/>
            </w:tcBorders>
            <w:vAlign w:val="center"/>
          </w:tcPr>
          <w:p w14:paraId="363DBFC2" w14:textId="77777777"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79F249C5" w14:textId="77777777" w:rsidR="004C06C5" w:rsidRDefault="00ED474B">
            <w:pPr>
              <w:pStyle w:val="biaogecenter"/>
              <w:rPr>
                <w:rFonts w:hAnsi="Calibri"/>
                <w:color w:val="000000"/>
              </w:rPr>
            </w:pPr>
            <w:r>
              <w:rPr>
                <w:rFonts w:hAnsi="Calibri" w:hint="eastAsia"/>
                <w:color w:val="000000"/>
              </w:rPr>
              <w:t>-</w:t>
            </w:r>
          </w:p>
        </w:tc>
      </w:tr>
      <w:tr w:rsidR="004C06C5" w14:paraId="22040BBA"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5BB80490" w14:textId="77777777" w:rsidR="004C06C5" w:rsidRDefault="00ED474B">
            <w:pPr>
              <w:pStyle w:val="biaogecenter"/>
              <w:wordWrap w:val="0"/>
              <w:rPr>
                <w:rFonts w:hAnsi="Calibri"/>
                <w:color w:val="000000"/>
              </w:rPr>
            </w:pPr>
            <w:r>
              <w:rPr>
                <w:rFonts w:hAnsi="Calibri" w:hint="eastAsia"/>
                <w:color w:val="000000"/>
              </w:rPr>
              <w:t>6</w:t>
            </w:r>
          </w:p>
        </w:tc>
        <w:tc>
          <w:tcPr>
            <w:tcW w:w="2743" w:type="dxa"/>
            <w:tcBorders>
              <w:top w:val="single" w:sz="8" w:space="0" w:color="000000"/>
              <w:left w:val="single" w:sz="8" w:space="0" w:color="000000"/>
              <w:bottom w:val="single" w:sz="6" w:space="0" w:color="000000"/>
              <w:right w:val="single" w:sz="8" w:space="0" w:color="000000"/>
            </w:tcBorders>
            <w:vAlign w:val="center"/>
          </w:tcPr>
          <w:p w14:paraId="3D93E12E" w14:textId="77777777" w:rsidR="004C06C5" w:rsidRDefault="00ED474B">
            <w:pPr>
              <w:pStyle w:val="biaogecenter"/>
              <w:rPr>
                <w:rFonts w:hAnsi="Calibri"/>
                <w:color w:val="000000"/>
              </w:rPr>
            </w:pPr>
            <w:r>
              <w:rPr>
                <w:rFonts w:hAnsi="Calibri" w:hint="eastAsia"/>
                <w:color w:val="000000"/>
              </w:rPr>
              <w:t>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14:paraId="6D326585" w14:textId="77777777" w:rsidR="004C06C5" w:rsidRDefault="00ED474B">
            <w:pPr>
              <w:pStyle w:val="biaogecenter"/>
              <w:rPr>
                <w:rFonts w:hAnsi="Calibri"/>
                <w:color w:val="000000"/>
              </w:rPr>
            </w:pPr>
            <w:r>
              <w:rPr>
                <w:rFonts w:hAnsi="Calibri" w:hint="eastAsia"/>
                <w:color w:val="000000"/>
              </w:rPr>
              <w:t>404,202,690.82</w:t>
            </w:r>
          </w:p>
        </w:tc>
        <w:tc>
          <w:tcPr>
            <w:tcW w:w="2494" w:type="dxa"/>
            <w:tcBorders>
              <w:top w:val="single" w:sz="8" w:space="0" w:color="000000"/>
              <w:left w:val="single" w:sz="8" w:space="0" w:color="000000"/>
              <w:bottom w:val="single" w:sz="6" w:space="0" w:color="000000"/>
              <w:right w:val="single" w:sz="8" w:space="0" w:color="000000"/>
            </w:tcBorders>
            <w:vAlign w:val="center"/>
          </w:tcPr>
          <w:p w14:paraId="416D87EB" w14:textId="77777777" w:rsidR="004C06C5" w:rsidRDefault="00ED474B">
            <w:pPr>
              <w:pStyle w:val="biaogecenter"/>
              <w:rPr>
                <w:rFonts w:hAnsi="Calibri"/>
                <w:color w:val="000000"/>
              </w:rPr>
            </w:pPr>
            <w:r>
              <w:rPr>
                <w:rFonts w:hAnsi="Calibri" w:hint="eastAsia"/>
                <w:color w:val="000000"/>
              </w:rPr>
              <w:t>13.15</w:t>
            </w:r>
          </w:p>
        </w:tc>
      </w:tr>
      <w:tr w:rsidR="004C06C5" w14:paraId="0AB43B95"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1042B1BE" w14:textId="77777777"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14:paraId="69A99153" w14:textId="77777777" w:rsidR="004C06C5" w:rsidRDefault="00ED474B">
            <w:pPr>
              <w:pStyle w:val="biaogecenter"/>
              <w:rPr>
                <w:rFonts w:hAnsi="Calibri"/>
                <w:color w:val="000000"/>
              </w:rPr>
            </w:pPr>
            <w:r>
              <w:rPr>
                <w:rFonts w:hAnsi="Calibri" w:hint="eastAsia"/>
                <w:color w:val="000000"/>
              </w:rPr>
              <w:t>其中：买断式回购的买入返售金融资产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14:paraId="29390C0C" w14:textId="77777777"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0C8FFB9C" w14:textId="77777777" w:rsidR="004C06C5" w:rsidRDefault="00ED474B">
            <w:pPr>
              <w:pStyle w:val="biaogecenter"/>
              <w:rPr>
                <w:rFonts w:hAnsi="Calibri"/>
                <w:color w:val="000000"/>
              </w:rPr>
            </w:pPr>
            <w:r>
              <w:rPr>
                <w:rFonts w:hAnsi="Calibri" w:hint="eastAsia"/>
                <w:color w:val="000000"/>
              </w:rPr>
              <w:t>-</w:t>
            </w:r>
          </w:p>
        </w:tc>
      </w:tr>
      <w:tr w:rsidR="004C06C5" w14:paraId="6109A1A2"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3F5E878A" w14:textId="77777777" w:rsidR="004C06C5" w:rsidRDefault="00ED474B">
            <w:pPr>
              <w:pStyle w:val="biaogecenter"/>
              <w:wordWrap w:val="0"/>
              <w:rPr>
                <w:rFonts w:hAnsi="Calibri"/>
                <w:color w:val="000000"/>
              </w:rPr>
            </w:pPr>
            <w:r>
              <w:rPr>
                <w:rFonts w:hAnsi="Calibri" w:hint="eastAsia"/>
                <w:color w:val="000000"/>
              </w:rPr>
              <w:t>7</w:t>
            </w:r>
          </w:p>
        </w:tc>
        <w:tc>
          <w:tcPr>
            <w:tcW w:w="2743" w:type="dxa"/>
            <w:tcBorders>
              <w:top w:val="single" w:sz="8" w:space="0" w:color="000000"/>
              <w:left w:val="single" w:sz="8" w:space="0" w:color="000000"/>
              <w:bottom w:val="single" w:sz="6" w:space="0" w:color="000000"/>
              <w:right w:val="single" w:sz="8" w:space="0" w:color="000000"/>
            </w:tcBorders>
            <w:vAlign w:val="center"/>
          </w:tcPr>
          <w:p w14:paraId="28828CC1" w14:textId="77777777" w:rsidR="004C06C5" w:rsidRDefault="00ED474B">
            <w:pPr>
              <w:pStyle w:val="biaogecenter"/>
              <w:rPr>
                <w:rFonts w:hAnsi="Calibri"/>
                <w:color w:val="000000"/>
              </w:rPr>
            </w:pPr>
            <w:r>
              <w:rPr>
                <w:rFonts w:hAnsi="Calibri" w:hint="eastAsia"/>
                <w:color w:val="000000"/>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vAlign w:val="center"/>
          </w:tcPr>
          <w:p w14:paraId="335E96DD" w14:textId="77777777" w:rsidR="004C06C5" w:rsidRDefault="00ED474B">
            <w:pPr>
              <w:pStyle w:val="biaogecenter"/>
              <w:rPr>
                <w:rFonts w:hAnsi="Calibri"/>
                <w:color w:val="000000"/>
              </w:rPr>
            </w:pPr>
            <w:r>
              <w:rPr>
                <w:rFonts w:hAnsi="Calibri" w:hint="eastAsia"/>
                <w:color w:val="000000"/>
              </w:rPr>
              <w:t>4,225,796.90</w:t>
            </w:r>
          </w:p>
        </w:tc>
        <w:tc>
          <w:tcPr>
            <w:tcW w:w="2494" w:type="dxa"/>
            <w:tcBorders>
              <w:top w:val="single" w:sz="8" w:space="0" w:color="000000"/>
              <w:left w:val="single" w:sz="8" w:space="0" w:color="000000"/>
              <w:bottom w:val="single" w:sz="6" w:space="0" w:color="000000"/>
              <w:right w:val="single" w:sz="8" w:space="0" w:color="000000"/>
            </w:tcBorders>
            <w:vAlign w:val="center"/>
          </w:tcPr>
          <w:p w14:paraId="4ECE7274" w14:textId="77777777" w:rsidR="004C06C5" w:rsidRDefault="00ED474B">
            <w:pPr>
              <w:pStyle w:val="biaogecenter"/>
              <w:rPr>
                <w:rFonts w:hAnsi="Calibri"/>
                <w:color w:val="000000"/>
              </w:rPr>
            </w:pPr>
            <w:r>
              <w:rPr>
                <w:rFonts w:hAnsi="Calibri" w:hint="eastAsia"/>
                <w:color w:val="000000"/>
              </w:rPr>
              <w:t>0.14</w:t>
            </w:r>
          </w:p>
        </w:tc>
      </w:tr>
      <w:tr w:rsidR="004C06C5" w14:paraId="6D9DC9CD"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498AA75B" w14:textId="77777777" w:rsidR="004C06C5" w:rsidRDefault="00ED474B">
            <w:pPr>
              <w:pStyle w:val="biaogecenter"/>
              <w:wordWrap w:val="0"/>
              <w:rPr>
                <w:rFonts w:hAnsi="Calibri"/>
                <w:color w:val="000000"/>
              </w:rPr>
            </w:pPr>
            <w:r>
              <w:rPr>
                <w:rFonts w:hAnsi="Calibri" w:hint="eastAsia"/>
                <w:color w:val="000000"/>
              </w:rPr>
              <w:t>8</w:t>
            </w:r>
          </w:p>
        </w:tc>
        <w:tc>
          <w:tcPr>
            <w:tcW w:w="2743" w:type="dxa"/>
            <w:tcBorders>
              <w:top w:val="single" w:sz="8" w:space="0" w:color="000000"/>
              <w:left w:val="single" w:sz="8" w:space="0" w:color="000000"/>
              <w:bottom w:val="single" w:sz="6" w:space="0" w:color="000000"/>
              <w:right w:val="single" w:sz="8" w:space="0" w:color="000000"/>
            </w:tcBorders>
            <w:vAlign w:val="center"/>
          </w:tcPr>
          <w:p w14:paraId="6743304A" w14:textId="77777777" w:rsidR="004C06C5" w:rsidRDefault="00ED474B">
            <w:pPr>
              <w:pStyle w:val="biaogecenter"/>
              <w:rPr>
                <w:rFonts w:hAnsi="Calibri"/>
                <w:color w:val="000000"/>
              </w:rPr>
            </w:pPr>
            <w:r>
              <w:rPr>
                <w:rFonts w:hAnsi="Calibri" w:hint="eastAsia"/>
                <w:color w:val="000000"/>
              </w:rPr>
              <w:t>其他资产</w:t>
            </w:r>
          </w:p>
        </w:tc>
        <w:tc>
          <w:tcPr>
            <w:tcW w:w="2414" w:type="dxa"/>
            <w:tcBorders>
              <w:top w:val="single" w:sz="8" w:space="0" w:color="000000"/>
              <w:left w:val="single" w:sz="8" w:space="0" w:color="000000"/>
              <w:bottom w:val="single" w:sz="6" w:space="0" w:color="000000"/>
              <w:right w:val="single" w:sz="8" w:space="0" w:color="000000"/>
            </w:tcBorders>
            <w:vAlign w:val="center"/>
          </w:tcPr>
          <w:p w14:paraId="17A065BF" w14:textId="77777777" w:rsidR="004C06C5" w:rsidRDefault="00ED474B">
            <w:pPr>
              <w:pStyle w:val="biaogecenter"/>
              <w:rPr>
                <w:rFonts w:hAnsi="Calibri"/>
                <w:color w:val="000000"/>
              </w:rPr>
            </w:pPr>
            <w:r>
              <w:rPr>
                <w:rFonts w:hAnsi="Calibri" w:hint="eastAsia"/>
                <w:color w:val="000000"/>
              </w:rPr>
              <w:t>56,006,637.79</w:t>
            </w:r>
          </w:p>
        </w:tc>
        <w:tc>
          <w:tcPr>
            <w:tcW w:w="2494" w:type="dxa"/>
            <w:tcBorders>
              <w:top w:val="single" w:sz="8" w:space="0" w:color="000000"/>
              <w:left w:val="single" w:sz="8" w:space="0" w:color="000000"/>
              <w:bottom w:val="single" w:sz="6" w:space="0" w:color="000000"/>
              <w:right w:val="single" w:sz="8" w:space="0" w:color="000000"/>
            </w:tcBorders>
            <w:vAlign w:val="center"/>
          </w:tcPr>
          <w:p w14:paraId="7F6C0236" w14:textId="77777777" w:rsidR="004C06C5" w:rsidRDefault="00ED474B">
            <w:pPr>
              <w:pStyle w:val="biaogecenter"/>
              <w:rPr>
                <w:rFonts w:hAnsi="Calibri"/>
                <w:color w:val="000000"/>
              </w:rPr>
            </w:pPr>
            <w:r>
              <w:rPr>
                <w:rFonts w:hAnsi="Calibri" w:hint="eastAsia"/>
                <w:color w:val="000000"/>
              </w:rPr>
              <w:t>1.82</w:t>
            </w:r>
          </w:p>
        </w:tc>
      </w:tr>
      <w:tr w:rsidR="004C06C5" w14:paraId="6DDD855F" w14:textId="77777777">
        <w:tc>
          <w:tcPr>
            <w:tcW w:w="763" w:type="dxa"/>
            <w:tcBorders>
              <w:top w:val="single" w:sz="8" w:space="0" w:color="000000"/>
              <w:left w:val="single" w:sz="8" w:space="0" w:color="000000"/>
              <w:bottom w:val="single" w:sz="6" w:space="0" w:color="000000"/>
              <w:right w:val="single" w:sz="8" w:space="0" w:color="000000"/>
            </w:tcBorders>
            <w:vAlign w:val="center"/>
          </w:tcPr>
          <w:p w14:paraId="5953A4CC" w14:textId="77777777" w:rsidR="004C06C5" w:rsidRDefault="00ED474B">
            <w:pPr>
              <w:pStyle w:val="biaogecenter"/>
              <w:wordWrap w:val="0"/>
              <w:rPr>
                <w:rFonts w:hAnsi="Calibri"/>
                <w:color w:val="000000"/>
              </w:rPr>
            </w:pPr>
            <w:r>
              <w:rPr>
                <w:rFonts w:hAnsi="Calibri" w:hint="eastAsia"/>
                <w:color w:val="000000"/>
              </w:rPr>
              <w:t>9</w:t>
            </w:r>
          </w:p>
        </w:tc>
        <w:tc>
          <w:tcPr>
            <w:tcW w:w="2743" w:type="dxa"/>
            <w:tcBorders>
              <w:top w:val="single" w:sz="8" w:space="0" w:color="000000"/>
              <w:left w:val="single" w:sz="8" w:space="0" w:color="000000"/>
              <w:bottom w:val="single" w:sz="6" w:space="0" w:color="000000"/>
              <w:right w:val="single" w:sz="8" w:space="0" w:color="000000"/>
            </w:tcBorders>
            <w:vAlign w:val="center"/>
          </w:tcPr>
          <w:p w14:paraId="78E61287" w14:textId="77777777" w:rsidR="004C06C5" w:rsidRDefault="00ED474B">
            <w:pPr>
              <w:pStyle w:val="biaogecenter"/>
              <w:rPr>
                <w:rFonts w:hAnsi="Calibri"/>
                <w:color w:val="000000"/>
              </w:rPr>
            </w:pPr>
            <w:r>
              <w:rPr>
                <w:rFonts w:hAnsi="Calibri" w:hint="eastAsia"/>
                <w:color w:val="000000"/>
              </w:rPr>
              <w:t>合计</w:t>
            </w:r>
          </w:p>
        </w:tc>
        <w:tc>
          <w:tcPr>
            <w:tcW w:w="2414" w:type="dxa"/>
            <w:tcBorders>
              <w:top w:val="single" w:sz="8" w:space="0" w:color="000000"/>
              <w:left w:val="single" w:sz="8" w:space="0" w:color="000000"/>
              <w:bottom w:val="single" w:sz="6" w:space="0" w:color="000000"/>
              <w:right w:val="single" w:sz="8" w:space="0" w:color="000000"/>
            </w:tcBorders>
            <w:vAlign w:val="center"/>
          </w:tcPr>
          <w:p w14:paraId="2D61BEE1" w14:textId="77777777" w:rsidR="004C06C5" w:rsidRDefault="00ED474B">
            <w:pPr>
              <w:pStyle w:val="biaogecenter"/>
              <w:rPr>
                <w:rFonts w:hAnsi="Calibri"/>
                <w:color w:val="000000"/>
              </w:rPr>
            </w:pPr>
            <w:r>
              <w:rPr>
                <w:rFonts w:hAnsi="Calibri" w:hint="eastAsia"/>
                <w:color w:val="000000"/>
              </w:rPr>
              <w:t>3,073,973,007.81</w:t>
            </w:r>
          </w:p>
        </w:tc>
        <w:tc>
          <w:tcPr>
            <w:tcW w:w="2494" w:type="dxa"/>
            <w:tcBorders>
              <w:top w:val="single" w:sz="8" w:space="0" w:color="000000"/>
              <w:left w:val="single" w:sz="8" w:space="0" w:color="000000"/>
              <w:bottom w:val="single" w:sz="6" w:space="0" w:color="000000"/>
              <w:right w:val="single" w:sz="8" w:space="0" w:color="000000"/>
            </w:tcBorders>
            <w:vAlign w:val="center"/>
          </w:tcPr>
          <w:p w14:paraId="19E47EB4" w14:textId="77777777" w:rsidR="004C06C5" w:rsidRDefault="00ED474B">
            <w:pPr>
              <w:pStyle w:val="biaogecenter"/>
              <w:rPr>
                <w:rFonts w:hAnsi="Calibri"/>
                <w:color w:val="000000"/>
              </w:rPr>
            </w:pPr>
            <w:r>
              <w:rPr>
                <w:rFonts w:hAnsi="Calibri" w:hint="eastAsia"/>
                <w:color w:val="000000"/>
              </w:rPr>
              <w:t>100.00</w:t>
            </w:r>
          </w:p>
        </w:tc>
      </w:tr>
    </w:tbl>
    <w:p w14:paraId="66528060" w14:textId="77777777" w:rsidR="004C06C5" w:rsidRDefault="004C06C5">
      <w:pPr>
        <w:pStyle w:val="biaogeright"/>
        <w:spacing w:line="360" w:lineRule="auto"/>
        <w:ind w:left="0" w:right="540"/>
        <w:jc w:val="both"/>
        <w:rPr>
          <w:sz w:val="21"/>
          <w:szCs w:val="21"/>
        </w:rPr>
      </w:pPr>
    </w:p>
    <w:p w14:paraId="0613CE40" w14:textId="77777777" w:rsidR="004C06C5" w:rsidRDefault="00ED474B">
      <w:pPr>
        <w:pStyle w:val="zhangjiep2"/>
        <w:spacing w:line="360" w:lineRule="auto"/>
        <w:rPr>
          <w:bCs/>
          <w:sz w:val="21"/>
          <w:szCs w:val="21"/>
        </w:rPr>
      </w:pPr>
      <w:r>
        <w:rPr>
          <w:rFonts w:hint="eastAsia"/>
          <w:bCs/>
          <w:sz w:val="21"/>
          <w:szCs w:val="21"/>
        </w:rPr>
        <w:t>2、报告期末按行业分类的股票投资组合</w:t>
      </w:r>
    </w:p>
    <w:p w14:paraId="40DC2BE4" w14:textId="77777777" w:rsidR="004C06C5" w:rsidRDefault="00ED474B">
      <w:pPr>
        <w:pStyle w:val="zhangjiep2"/>
        <w:spacing w:line="360" w:lineRule="auto"/>
        <w:rPr>
          <w:sz w:val="21"/>
          <w:szCs w:val="21"/>
        </w:rPr>
      </w:pPr>
      <w:r>
        <w:rPr>
          <w:rFonts w:hint="eastAsia"/>
          <w:bCs/>
          <w:sz w:val="21"/>
          <w:szCs w:val="21"/>
        </w:rPr>
        <w:t>（1）报告期末按行业分类的境内股票投资组合</w:t>
      </w:r>
    </w:p>
    <w:p w14:paraId="598C9DF9" w14:textId="77777777" w:rsidR="004C06C5" w:rsidRDefault="00ED474B">
      <w:pPr>
        <w:pStyle w:val="neirong"/>
        <w:spacing w:line="360" w:lineRule="auto"/>
        <w:ind w:leftChars="7" w:firstLineChars="200" w:firstLine="420"/>
        <w:rPr>
          <w:sz w:val="21"/>
          <w:szCs w:val="21"/>
        </w:rPr>
      </w:pPr>
      <w:r>
        <w:rPr>
          <w:rFonts w:hint="eastAsia"/>
          <w:sz w:val="21"/>
          <w:szCs w:val="21"/>
        </w:rPr>
        <w:t>本基金本报告期末未持有股票。</w:t>
      </w:r>
    </w:p>
    <w:p w14:paraId="029532A0" w14:textId="77777777" w:rsidR="004C06C5" w:rsidRDefault="00ED474B">
      <w:pPr>
        <w:pStyle w:val="neirong"/>
        <w:spacing w:line="360" w:lineRule="auto"/>
        <w:ind w:leftChars="7"/>
        <w:rPr>
          <w:sz w:val="21"/>
          <w:szCs w:val="21"/>
        </w:rPr>
      </w:pPr>
      <w:r>
        <w:rPr>
          <w:rFonts w:hint="eastAsia"/>
          <w:sz w:val="21"/>
          <w:szCs w:val="21"/>
        </w:rPr>
        <w:lastRenderedPageBreak/>
        <w:t>（2）报告期末按行业分类的港股通投资股票投资组合</w:t>
      </w:r>
    </w:p>
    <w:p w14:paraId="30C3DD72" w14:textId="77777777" w:rsidR="004C06C5" w:rsidRDefault="00ED474B">
      <w:pPr>
        <w:pStyle w:val="neirong"/>
        <w:spacing w:line="360" w:lineRule="auto"/>
        <w:ind w:leftChars="7" w:firstLineChars="200" w:firstLine="420"/>
        <w:rPr>
          <w:sz w:val="21"/>
          <w:szCs w:val="21"/>
        </w:rPr>
      </w:pPr>
      <w:r>
        <w:rPr>
          <w:rFonts w:hint="eastAsia"/>
          <w:sz w:val="21"/>
          <w:szCs w:val="21"/>
        </w:rPr>
        <w:t>本基金报告期末未持有港股通股票。</w:t>
      </w:r>
    </w:p>
    <w:p w14:paraId="65133688" w14:textId="77777777" w:rsidR="004C06C5" w:rsidRDefault="00ED474B">
      <w:pPr>
        <w:pStyle w:val="zhangjiep2"/>
        <w:spacing w:line="360" w:lineRule="auto"/>
        <w:rPr>
          <w:bCs/>
          <w:sz w:val="21"/>
          <w:szCs w:val="21"/>
        </w:rPr>
      </w:pPr>
      <w:r>
        <w:rPr>
          <w:rFonts w:hint="eastAsia"/>
          <w:bCs/>
          <w:sz w:val="21"/>
          <w:szCs w:val="21"/>
        </w:rPr>
        <w:t>3、报告期末按公允价值占基金资产净值比例大小排序的前十名股票投资明细</w:t>
      </w:r>
    </w:p>
    <w:p w14:paraId="2D1FE144" w14:textId="77777777" w:rsidR="004C06C5" w:rsidRDefault="00ED474B">
      <w:pPr>
        <w:pStyle w:val="neirong"/>
        <w:spacing w:line="360" w:lineRule="auto"/>
        <w:ind w:leftChars="7" w:firstLineChars="200" w:firstLine="420"/>
        <w:rPr>
          <w:sz w:val="21"/>
          <w:szCs w:val="21"/>
        </w:rPr>
      </w:pPr>
      <w:r>
        <w:rPr>
          <w:rFonts w:hint="eastAsia"/>
          <w:sz w:val="21"/>
          <w:szCs w:val="21"/>
        </w:rPr>
        <w:t>本基金本报告期末未持有股票。</w:t>
      </w:r>
    </w:p>
    <w:p w14:paraId="3B11A9B9" w14:textId="77777777" w:rsidR="004C06C5" w:rsidRDefault="00ED474B">
      <w:pPr>
        <w:pStyle w:val="zhangjiep2"/>
        <w:spacing w:line="360" w:lineRule="auto"/>
        <w:rPr>
          <w:bCs/>
          <w:sz w:val="21"/>
          <w:szCs w:val="21"/>
        </w:rPr>
      </w:pPr>
      <w:r>
        <w:rPr>
          <w:rFonts w:hint="eastAsia"/>
          <w:bCs/>
          <w:sz w:val="21"/>
          <w:szCs w:val="21"/>
        </w:rPr>
        <w:t>4、报告期末按债券品种分类的债券投资组合</w:t>
      </w:r>
    </w:p>
    <w:tbl>
      <w:tblPr>
        <w:tblW w:w="8414" w:type="dxa"/>
        <w:tblInd w:w="108" w:type="dxa"/>
        <w:tblLayout w:type="fixed"/>
        <w:tblLook w:val="04A0" w:firstRow="1" w:lastRow="0" w:firstColumn="1" w:lastColumn="0" w:noHBand="0" w:noVBand="1"/>
      </w:tblPr>
      <w:tblGrid>
        <w:gridCol w:w="1183"/>
        <w:gridCol w:w="2790"/>
        <w:gridCol w:w="2199"/>
        <w:gridCol w:w="2242"/>
      </w:tblGrid>
      <w:tr w:rsidR="004C06C5" w14:paraId="77DF7FAA"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2FA8E4A4" w14:textId="77777777" w:rsidR="004C06C5" w:rsidRDefault="00ED474B">
            <w:pPr>
              <w:pStyle w:val="biaogecenter"/>
              <w:wordWrap w:val="0"/>
            </w:pPr>
            <w:r>
              <w:rPr>
                <w:rFonts w:hint="eastAsia"/>
              </w:rPr>
              <w:t>序号</w:t>
            </w:r>
          </w:p>
        </w:tc>
        <w:tc>
          <w:tcPr>
            <w:tcW w:w="2790" w:type="dxa"/>
            <w:tcBorders>
              <w:top w:val="single" w:sz="8" w:space="0" w:color="000000"/>
              <w:left w:val="single" w:sz="8" w:space="0" w:color="000000"/>
              <w:bottom w:val="single" w:sz="6" w:space="0" w:color="000000"/>
              <w:right w:val="single" w:sz="8" w:space="0" w:color="000000"/>
            </w:tcBorders>
            <w:vAlign w:val="center"/>
          </w:tcPr>
          <w:p w14:paraId="7D583786" w14:textId="77777777" w:rsidR="004C06C5" w:rsidRDefault="00ED474B">
            <w:pPr>
              <w:pStyle w:val="biaogecenter"/>
              <w:wordWrap w:val="0"/>
            </w:pPr>
            <w:r>
              <w:rPr>
                <w:rFonts w:hAnsi="Calibri" w:hint="eastAsia"/>
                <w:color w:val="000000"/>
              </w:rPr>
              <w:t>债券品种</w:t>
            </w:r>
          </w:p>
        </w:tc>
        <w:tc>
          <w:tcPr>
            <w:tcW w:w="2199" w:type="dxa"/>
            <w:tcBorders>
              <w:top w:val="single" w:sz="8" w:space="0" w:color="000000"/>
              <w:left w:val="single" w:sz="8" w:space="0" w:color="000000"/>
              <w:bottom w:val="single" w:sz="6" w:space="0" w:color="000000"/>
              <w:right w:val="single" w:sz="8" w:space="0" w:color="000000"/>
            </w:tcBorders>
            <w:vAlign w:val="center"/>
          </w:tcPr>
          <w:p w14:paraId="3C57089D" w14:textId="77777777" w:rsidR="004C06C5" w:rsidRDefault="00ED474B">
            <w:pPr>
              <w:pStyle w:val="biaogecenter"/>
              <w:wordWrap w:val="0"/>
            </w:pPr>
            <w:r>
              <w:rPr>
                <w:rFonts w:hAnsi="Calibri" w:hint="eastAsia"/>
                <w:color w:val="000000"/>
              </w:rPr>
              <w:t>公允价值(元)</w:t>
            </w:r>
          </w:p>
        </w:tc>
        <w:tc>
          <w:tcPr>
            <w:tcW w:w="2242" w:type="dxa"/>
            <w:tcBorders>
              <w:top w:val="single" w:sz="8" w:space="0" w:color="000000"/>
              <w:left w:val="single" w:sz="8" w:space="0" w:color="000000"/>
              <w:bottom w:val="single" w:sz="6" w:space="0" w:color="000000"/>
              <w:right w:val="single" w:sz="8" w:space="0" w:color="000000"/>
            </w:tcBorders>
            <w:vAlign w:val="center"/>
          </w:tcPr>
          <w:p w14:paraId="71F24F77" w14:textId="77777777" w:rsidR="004C06C5" w:rsidRDefault="00ED474B">
            <w:pPr>
              <w:pStyle w:val="biaogecenter"/>
              <w:wordWrap w:val="0"/>
            </w:pPr>
            <w:r>
              <w:rPr>
                <w:rFonts w:hAnsi="Calibri" w:hint="eastAsia"/>
                <w:color w:val="000000"/>
              </w:rPr>
              <w:t>占基金资产净值比例（％）</w:t>
            </w:r>
          </w:p>
        </w:tc>
      </w:tr>
      <w:tr w:rsidR="004C06C5" w14:paraId="63C232A7"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54318B47" w14:textId="77777777" w:rsidR="004C06C5" w:rsidRDefault="00ED474B">
            <w:pPr>
              <w:pStyle w:val="biaogecenter"/>
              <w:wordWrap w:val="0"/>
            </w:pPr>
            <w:r>
              <w:rPr>
                <w:rFonts w:hAnsi="Calibri" w:hint="eastAsia"/>
                <w:color w:val="000000"/>
              </w:rPr>
              <w:t>1</w:t>
            </w:r>
          </w:p>
        </w:tc>
        <w:tc>
          <w:tcPr>
            <w:tcW w:w="2790" w:type="dxa"/>
            <w:tcBorders>
              <w:top w:val="single" w:sz="8" w:space="0" w:color="000000"/>
              <w:left w:val="single" w:sz="8" w:space="0" w:color="000000"/>
              <w:bottom w:val="single" w:sz="6" w:space="0" w:color="000000"/>
              <w:right w:val="single" w:sz="8" w:space="0" w:color="000000"/>
            </w:tcBorders>
            <w:vAlign w:val="center"/>
          </w:tcPr>
          <w:p w14:paraId="0BB8F9A3" w14:textId="77777777" w:rsidR="004C06C5" w:rsidRDefault="00ED474B">
            <w:pPr>
              <w:pStyle w:val="biaogeleft"/>
              <w:wordWrap w:val="0"/>
            </w:pPr>
            <w:r>
              <w:rPr>
                <w:rFonts w:hint="eastAsia"/>
              </w:rPr>
              <w:t>国家债券</w:t>
            </w:r>
          </w:p>
        </w:tc>
        <w:tc>
          <w:tcPr>
            <w:tcW w:w="2199" w:type="dxa"/>
            <w:tcBorders>
              <w:top w:val="single" w:sz="8" w:space="0" w:color="000000"/>
              <w:left w:val="single" w:sz="8" w:space="0" w:color="000000"/>
              <w:bottom w:val="single" w:sz="6" w:space="0" w:color="000000"/>
              <w:right w:val="single" w:sz="8" w:space="0" w:color="000000"/>
            </w:tcBorders>
            <w:vAlign w:val="center"/>
          </w:tcPr>
          <w:p w14:paraId="524DA9B2" w14:textId="77777777" w:rsidR="004C06C5" w:rsidRDefault="00ED474B">
            <w:pPr>
              <w:pStyle w:val="biaogeright"/>
              <w:wordWrap w:val="0"/>
            </w:pPr>
            <w:r>
              <w:rPr>
                <w:rFonts w:hAnsi="Calibri" w:hint="eastAsia"/>
                <w:color w:val="000000"/>
              </w:rPr>
              <w:t>58,172,662.50</w:t>
            </w:r>
          </w:p>
        </w:tc>
        <w:tc>
          <w:tcPr>
            <w:tcW w:w="2242" w:type="dxa"/>
            <w:tcBorders>
              <w:top w:val="single" w:sz="8" w:space="0" w:color="000000"/>
              <w:left w:val="single" w:sz="8" w:space="0" w:color="000000"/>
              <w:bottom w:val="single" w:sz="6" w:space="0" w:color="000000"/>
              <w:right w:val="single" w:sz="8" w:space="0" w:color="000000"/>
            </w:tcBorders>
            <w:vAlign w:val="center"/>
          </w:tcPr>
          <w:p w14:paraId="0873F672" w14:textId="77777777" w:rsidR="004C06C5" w:rsidRDefault="00ED474B">
            <w:pPr>
              <w:pStyle w:val="biaogeright"/>
              <w:wordWrap w:val="0"/>
            </w:pPr>
            <w:r>
              <w:rPr>
                <w:rFonts w:hAnsi="Calibri" w:hint="eastAsia"/>
                <w:color w:val="000000"/>
              </w:rPr>
              <w:t>1.89</w:t>
            </w:r>
          </w:p>
        </w:tc>
      </w:tr>
      <w:tr w:rsidR="004C06C5" w14:paraId="06586E66"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2C1E1633" w14:textId="77777777" w:rsidR="004C06C5" w:rsidRDefault="00ED474B">
            <w:pPr>
              <w:pStyle w:val="biaogecenter"/>
              <w:wordWrap w:val="0"/>
            </w:pPr>
            <w:r>
              <w:rPr>
                <w:rFonts w:hAnsi="Calibri" w:hint="eastAsia"/>
                <w:color w:val="000000"/>
              </w:rPr>
              <w:t>2</w:t>
            </w:r>
          </w:p>
        </w:tc>
        <w:tc>
          <w:tcPr>
            <w:tcW w:w="2790" w:type="dxa"/>
            <w:tcBorders>
              <w:top w:val="single" w:sz="8" w:space="0" w:color="000000"/>
              <w:left w:val="single" w:sz="8" w:space="0" w:color="000000"/>
              <w:bottom w:val="single" w:sz="6" w:space="0" w:color="000000"/>
              <w:right w:val="single" w:sz="8" w:space="0" w:color="000000"/>
            </w:tcBorders>
            <w:vAlign w:val="center"/>
          </w:tcPr>
          <w:p w14:paraId="19465ABA" w14:textId="77777777" w:rsidR="004C06C5" w:rsidRDefault="00ED474B">
            <w:pPr>
              <w:pStyle w:val="biaogeleft"/>
              <w:wordWrap w:val="0"/>
            </w:pPr>
            <w:r>
              <w:rPr>
                <w:rFonts w:hint="eastAsia"/>
              </w:rPr>
              <w:t>央行票据</w:t>
            </w:r>
          </w:p>
        </w:tc>
        <w:tc>
          <w:tcPr>
            <w:tcW w:w="2199" w:type="dxa"/>
            <w:tcBorders>
              <w:top w:val="single" w:sz="8" w:space="0" w:color="000000"/>
              <w:left w:val="single" w:sz="8" w:space="0" w:color="000000"/>
              <w:bottom w:val="single" w:sz="6" w:space="0" w:color="000000"/>
              <w:right w:val="single" w:sz="8" w:space="0" w:color="000000"/>
            </w:tcBorders>
            <w:vAlign w:val="center"/>
          </w:tcPr>
          <w:p w14:paraId="3B134DE3" w14:textId="77777777" w:rsidR="004C06C5" w:rsidRDefault="00ED474B">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14:paraId="6E9FDFC5" w14:textId="77777777" w:rsidR="004C06C5" w:rsidRDefault="00ED474B">
            <w:pPr>
              <w:pStyle w:val="biaogeright"/>
              <w:wordWrap w:val="0"/>
            </w:pPr>
            <w:r>
              <w:rPr>
                <w:rFonts w:hAnsi="Calibri" w:hint="eastAsia"/>
                <w:color w:val="000000"/>
              </w:rPr>
              <w:t>-</w:t>
            </w:r>
          </w:p>
        </w:tc>
      </w:tr>
      <w:tr w:rsidR="004C06C5" w14:paraId="36B0F7A2"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098FECD7" w14:textId="77777777" w:rsidR="004C06C5" w:rsidRDefault="00ED474B">
            <w:pPr>
              <w:pStyle w:val="biaogecenter"/>
              <w:wordWrap w:val="0"/>
            </w:pPr>
            <w:r>
              <w:rPr>
                <w:rFonts w:hAnsi="Calibri" w:hint="eastAsia"/>
                <w:color w:val="000000"/>
              </w:rPr>
              <w:t>3</w:t>
            </w:r>
          </w:p>
        </w:tc>
        <w:tc>
          <w:tcPr>
            <w:tcW w:w="2790" w:type="dxa"/>
            <w:tcBorders>
              <w:top w:val="single" w:sz="8" w:space="0" w:color="000000"/>
              <w:left w:val="single" w:sz="8" w:space="0" w:color="000000"/>
              <w:bottom w:val="single" w:sz="6" w:space="0" w:color="000000"/>
              <w:right w:val="single" w:sz="8" w:space="0" w:color="000000"/>
            </w:tcBorders>
            <w:vAlign w:val="center"/>
          </w:tcPr>
          <w:p w14:paraId="717DA6E7" w14:textId="77777777" w:rsidR="004C06C5" w:rsidRDefault="00ED474B">
            <w:pPr>
              <w:pStyle w:val="biaogeleft"/>
              <w:wordWrap w:val="0"/>
            </w:pPr>
            <w:r>
              <w:rPr>
                <w:rFonts w:hint="eastAsia"/>
              </w:rPr>
              <w:t>金融债券</w:t>
            </w:r>
          </w:p>
        </w:tc>
        <w:tc>
          <w:tcPr>
            <w:tcW w:w="2199" w:type="dxa"/>
            <w:tcBorders>
              <w:top w:val="single" w:sz="8" w:space="0" w:color="000000"/>
              <w:left w:val="single" w:sz="8" w:space="0" w:color="000000"/>
              <w:bottom w:val="single" w:sz="6" w:space="0" w:color="000000"/>
              <w:right w:val="single" w:sz="8" w:space="0" w:color="000000"/>
            </w:tcBorders>
            <w:vAlign w:val="center"/>
          </w:tcPr>
          <w:p w14:paraId="7C78F1F6" w14:textId="77777777" w:rsidR="004C06C5" w:rsidRDefault="00ED474B">
            <w:pPr>
              <w:pStyle w:val="biaogeright"/>
              <w:wordWrap w:val="0"/>
            </w:pPr>
            <w:r>
              <w:rPr>
                <w:rFonts w:hAnsi="Calibri" w:hint="eastAsia"/>
                <w:color w:val="000000"/>
              </w:rPr>
              <w:t>1,188,319,000.00</w:t>
            </w:r>
          </w:p>
        </w:tc>
        <w:tc>
          <w:tcPr>
            <w:tcW w:w="2242" w:type="dxa"/>
            <w:tcBorders>
              <w:top w:val="single" w:sz="8" w:space="0" w:color="000000"/>
              <w:left w:val="single" w:sz="8" w:space="0" w:color="000000"/>
              <w:bottom w:val="single" w:sz="6" w:space="0" w:color="000000"/>
              <w:right w:val="single" w:sz="8" w:space="0" w:color="000000"/>
            </w:tcBorders>
            <w:vAlign w:val="center"/>
          </w:tcPr>
          <w:p w14:paraId="46E768EC" w14:textId="77777777" w:rsidR="004C06C5" w:rsidRDefault="00ED474B">
            <w:pPr>
              <w:pStyle w:val="biaogeright"/>
              <w:wordWrap w:val="0"/>
            </w:pPr>
            <w:r>
              <w:rPr>
                <w:rFonts w:hAnsi="Calibri" w:hint="eastAsia"/>
                <w:color w:val="000000"/>
              </w:rPr>
              <w:t>38.68</w:t>
            </w:r>
          </w:p>
        </w:tc>
      </w:tr>
      <w:tr w:rsidR="004C06C5" w14:paraId="097AD004"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3E18C9C8" w14:textId="77777777" w:rsidR="004C06C5" w:rsidRDefault="004C06C5">
            <w:pPr>
              <w:rPr>
                <w:rFonts w:ascii="宋体" w:hAnsi="宋体" w:cs="宋体"/>
                <w:kern w:val="0"/>
                <w:sz w:val="24"/>
              </w:rPr>
            </w:pPr>
          </w:p>
        </w:tc>
        <w:tc>
          <w:tcPr>
            <w:tcW w:w="2790" w:type="dxa"/>
            <w:tcBorders>
              <w:top w:val="single" w:sz="8" w:space="0" w:color="000000"/>
              <w:left w:val="single" w:sz="8" w:space="0" w:color="000000"/>
              <w:bottom w:val="single" w:sz="6" w:space="0" w:color="000000"/>
              <w:right w:val="single" w:sz="8" w:space="0" w:color="000000"/>
            </w:tcBorders>
            <w:vAlign w:val="center"/>
          </w:tcPr>
          <w:p w14:paraId="5801E5E1" w14:textId="77777777" w:rsidR="004C06C5" w:rsidRDefault="00ED474B">
            <w:pPr>
              <w:pStyle w:val="biaogeleft"/>
              <w:wordWrap w:val="0"/>
            </w:pPr>
            <w:r>
              <w:rPr>
                <w:rFonts w:hint="eastAsia"/>
              </w:rPr>
              <w:t>其中：政策性金融债</w:t>
            </w:r>
          </w:p>
        </w:tc>
        <w:tc>
          <w:tcPr>
            <w:tcW w:w="2199" w:type="dxa"/>
            <w:tcBorders>
              <w:top w:val="single" w:sz="8" w:space="0" w:color="000000"/>
              <w:left w:val="single" w:sz="8" w:space="0" w:color="000000"/>
              <w:bottom w:val="single" w:sz="6" w:space="0" w:color="000000"/>
              <w:right w:val="single" w:sz="8" w:space="0" w:color="000000"/>
            </w:tcBorders>
            <w:vAlign w:val="center"/>
          </w:tcPr>
          <w:p w14:paraId="5BDCDBFA" w14:textId="77777777" w:rsidR="004C06C5" w:rsidRDefault="00ED474B">
            <w:pPr>
              <w:pStyle w:val="biaogeright"/>
              <w:wordWrap w:val="0"/>
            </w:pPr>
            <w:r>
              <w:rPr>
                <w:rFonts w:hAnsi="Calibri" w:hint="eastAsia"/>
                <w:color w:val="000000"/>
              </w:rPr>
              <w:t>1,188,319,000.00</w:t>
            </w:r>
          </w:p>
        </w:tc>
        <w:tc>
          <w:tcPr>
            <w:tcW w:w="2242" w:type="dxa"/>
            <w:tcBorders>
              <w:top w:val="single" w:sz="8" w:space="0" w:color="000000"/>
              <w:left w:val="single" w:sz="8" w:space="0" w:color="000000"/>
              <w:bottom w:val="single" w:sz="6" w:space="0" w:color="000000"/>
              <w:right w:val="single" w:sz="8" w:space="0" w:color="000000"/>
            </w:tcBorders>
            <w:vAlign w:val="center"/>
          </w:tcPr>
          <w:p w14:paraId="42EFED99" w14:textId="77777777" w:rsidR="004C06C5" w:rsidRDefault="00ED474B">
            <w:pPr>
              <w:pStyle w:val="biaogeright"/>
              <w:wordWrap w:val="0"/>
            </w:pPr>
            <w:r>
              <w:rPr>
                <w:rFonts w:hAnsi="Calibri" w:hint="eastAsia"/>
                <w:color w:val="000000"/>
              </w:rPr>
              <w:t>38.68</w:t>
            </w:r>
          </w:p>
        </w:tc>
      </w:tr>
      <w:tr w:rsidR="004C06C5" w14:paraId="66D9CC7A"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478ADD3A" w14:textId="77777777" w:rsidR="004C06C5" w:rsidRDefault="00ED474B">
            <w:pPr>
              <w:pStyle w:val="biaogecenter"/>
              <w:wordWrap w:val="0"/>
            </w:pPr>
            <w:r>
              <w:rPr>
                <w:rFonts w:hint="eastAsia"/>
              </w:rPr>
              <w:t>4</w:t>
            </w:r>
          </w:p>
        </w:tc>
        <w:tc>
          <w:tcPr>
            <w:tcW w:w="2790" w:type="dxa"/>
            <w:tcBorders>
              <w:top w:val="single" w:sz="8" w:space="0" w:color="000000"/>
              <w:left w:val="single" w:sz="8" w:space="0" w:color="000000"/>
              <w:bottom w:val="single" w:sz="6" w:space="0" w:color="000000"/>
              <w:right w:val="single" w:sz="8" w:space="0" w:color="000000"/>
            </w:tcBorders>
            <w:vAlign w:val="center"/>
          </w:tcPr>
          <w:p w14:paraId="3555E79E" w14:textId="77777777" w:rsidR="004C06C5" w:rsidRDefault="00ED474B">
            <w:pPr>
              <w:pStyle w:val="biaogeleft"/>
              <w:wordWrap w:val="0"/>
            </w:pPr>
            <w:r>
              <w:rPr>
                <w:rFonts w:hint="eastAsia"/>
              </w:rPr>
              <w:t>企业债券</w:t>
            </w:r>
          </w:p>
        </w:tc>
        <w:tc>
          <w:tcPr>
            <w:tcW w:w="2199" w:type="dxa"/>
            <w:tcBorders>
              <w:top w:val="single" w:sz="8" w:space="0" w:color="000000"/>
              <w:left w:val="single" w:sz="8" w:space="0" w:color="000000"/>
              <w:bottom w:val="single" w:sz="6" w:space="0" w:color="000000"/>
              <w:right w:val="single" w:sz="8" w:space="0" w:color="000000"/>
            </w:tcBorders>
            <w:vAlign w:val="center"/>
          </w:tcPr>
          <w:p w14:paraId="3BA3614E" w14:textId="77777777" w:rsidR="004C06C5" w:rsidRDefault="00ED474B">
            <w:pPr>
              <w:pStyle w:val="biaogeright"/>
              <w:wordWrap w:val="0"/>
            </w:pPr>
            <w:r>
              <w:rPr>
                <w:rFonts w:hAnsi="Calibri" w:hint="eastAsia"/>
                <w:color w:val="000000"/>
              </w:rPr>
              <w:t>373,060,219.80</w:t>
            </w:r>
          </w:p>
        </w:tc>
        <w:tc>
          <w:tcPr>
            <w:tcW w:w="2242" w:type="dxa"/>
            <w:tcBorders>
              <w:top w:val="single" w:sz="8" w:space="0" w:color="000000"/>
              <w:left w:val="single" w:sz="8" w:space="0" w:color="000000"/>
              <w:bottom w:val="single" w:sz="6" w:space="0" w:color="000000"/>
              <w:right w:val="single" w:sz="8" w:space="0" w:color="000000"/>
            </w:tcBorders>
            <w:vAlign w:val="center"/>
          </w:tcPr>
          <w:p w14:paraId="05D8BD10" w14:textId="77777777" w:rsidR="004C06C5" w:rsidRDefault="00ED474B">
            <w:pPr>
              <w:pStyle w:val="biaogeright"/>
              <w:wordWrap w:val="0"/>
            </w:pPr>
            <w:r>
              <w:rPr>
                <w:rFonts w:hAnsi="Calibri" w:hint="eastAsia"/>
                <w:color w:val="000000"/>
              </w:rPr>
              <w:t>12.14</w:t>
            </w:r>
          </w:p>
        </w:tc>
      </w:tr>
      <w:tr w:rsidR="004C06C5" w14:paraId="4E42B6CA"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4C8650F7" w14:textId="77777777" w:rsidR="004C06C5" w:rsidRDefault="00ED474B">
            <w:pPr>
              <w:pStyle w:val="biaogecenter"/>
              <w:wordWrap w:val="0"/>
            </w:pPr>
            <w:r>
              <w:rPr>
                <w:rFonts w:hint="eastAsia"/>
              </w:rPr>
              <w:t>5</w:t>
            </w:r>
          </w:p>
        </w:tc>
        <w:tc>
          <w:tcPr>
            <w:tcW w:w="2790" w:type="dxa"/>
            <w:tcBorders>
              <w:top w:val="single" w:sz="8" w:space="0" w:color="000000"/>
              <w:left w:val="single" w:sz="8" w:space="0" w:color="000000"/>
              <w:bottom w:val="single" w:sz="6" w:space="0" w:color="000000"/>
              <w:right w:val="single" w:sz="8" w:space="0" w:color="000000"/>
            </w:tcBorders>
            <w:vAlign w:val="center"/>
          </w:tcPr>
          <w:p w14:paraId="57DCFC1B" w14:textId="77777777" w:rsidR="004C06C5" w:rsidRDefault="00ED474B">
            <w:pPr>
              <w:pStyle w:val="biaogeleft"/>
              <w:wordWrap w:val="0"/>
            </w:pPr>
            <w:r>
              <w:rPr>
                <w:rFonts w:hint="eastAsia"/>
              </w:rPr>
              <w:t>企业短期融资</w:t>
            </w:r>
            <w:proofErr w:type="gramStart"/>
            <w:r>
              <w:rPr>
                <w:rFonts w:hint="eastAsia"/>
              </w:rPr>
              <w:t>券</w:t>
            </w:r>
            <w:proofErr w:type="gramEnd"/>
          </w:p>
        </w:tc>
        <w:tc>
          <w:tcPr>
            <w:tcW w:w="2199" w:type="dxa"/>
            <w:tcBorders>
              <w:top w:val="single" w:sz="8" w:space="0" w:color="000000"/>
              <w:left w:val="single" w:sz="8" w:space="0" w:color="000000"/>
              <w:bottom w:val="single" w:sz="6" w:space="0" w:color="000000"/>
              <w:right w:val="single" w:sz="8" w:space="0" w:color="000000"/>
            </w:tcBorders>
            <w:vAlign w:val="center"/>
          </w:tcPr>
          <w:p w14:paraId="53C0729F" w14:textId="77777777" w:rsidR="004C06C5" w:rsidRDefault="00ED474B">
            <w:pPr>
              <w:pStyle w:val="biaogeright"/>
              <w:wordWrap w:val="0"/>
            </w:pPr>
            <w:r>
              <w:rPr>
                <w:rFonts w:hAnsi="Calibri" w:hint="eastAsia"/>
                <w:color w:val="000000"/>
              </w:rPr>
              <w:t>74,835,000.00</w:t>
            </w:r>
          </w:p>
        </w:tc>
        <w:tc>
          <w:tcPr>
            <w:tcW w:w="2242" w:type="dxa"/>
            <w:tcBorders>
              <w:top w:val="single" w:sz="8" w:space="0" w:color="000000"/>
              <w:left w:val="single" w:sz="8" w:space="0" w:color="000000"/>
              <w:bottom w:val="single" w:sz="6" w:space="0" w:color="000000"/>
              <w:right w:val="single" w:sz="8" w:space="0" w:color="000000"/>
            </w:tcBorders>
            <w:vAlign w:val="center"/>
          </w:tcPr>
          <w:p w14:paraId="18FA1D4C" w14:textId="77777777" w:rsidR="004C06C5" w:rsidRDefault="00ED474B">
            <w:pPr>
              <w:pStyle w:val="biaogeright"/>
              <w:wordWrap w:val="0"/>
            </w:pPr>
            <w:r>
              <w:rPr>
                <w:rFonts w:hAnsi="Calibri" w:hint="eastAsia"/>
                <w:color w:val="000000"/>
              </w:rPr>
              <w:t>2.44</w:t>
            </w:r>
          </w:p>
        </w:tc>
      </w:tr>
      <w:tr w:rsidR="004C06C5" w14:paraId="54978206"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706B367A" w14:textId="77777777" w:rsidR="004C06C5" w:rsidRDefault="00ED474B">
            <w:pPr>
              <w:pStyle w:val="biaogecenter"/>
              <w:wordWrap w:val="0"/>
            </w:pPr>
            <w:r>
              <w:rPr>
                <w:rFonts w:hAnsi="Calibri" w:hint="eastAsia"/>
                <w:color w:val="000000"/>
              </w:rPr>
              <w:t>6</w:t>
            </w:r>
          </w:p>
        </w:tc>
        <w:tc>
          <w:tcPr>
            <w:tcW w:w="2790" w:type="dxa"/>
            <w:tcBorders>
              <w:top w:val="single" w:sz="8" w:space="0" w:color="000000"/>
              <w:left w:val="single" w:sz="8" w:space="0" w:color="000000"/>
              <w:bottom w:val="single" w:sz="6" w:space="0" w:color="000000"/>
              <w:right w:val="single" w:sz="8" w:space="0" w:color="000000"/>
            </w:tcBorders>
            <w:vAlign w:val="center"/>
          </w:tcPr>
          <w:p w14:paraId="5C15D104" w14:textId="77777777" w:rsidR="004C06C5" w:rsidRDefault="00ED474B">
            <w:pPr>
              <w:pStyle w:val="biaogeleft"/>
              <w:wordWrap w:val="0"/>
            </w:pPr>
            <w:r>
              <w:rPr>
                <w:rFonts w:hint="eastAsia"/>
              </w:rPr>
              <w:t>中期票据</w:t>
            </w:r>
          </w:p>
        </w:tc>
        <w:tc>
          <w:tcPr>
            <w:tcW w:w="2199" w:type="dxa"/>
            <w:tcBorders>
              <w:top w:val="single" w:sz="8" w:space="0" w:color="000000"/>
              <w:left w:val="single" w:sz="8" w:space="0" w:color="000000"/>
              <w:bottom w:val="single" w:sz="6" w:space="0" w:color="000000"/>
              <w:right w:val="single" w:sz="8" w:space="0" w:color="000000"/>
            </w:tcBorders>
            <w:vAlign w:val="center"/>
          </w:tcPr>
          <w:p w14:paraId="4C007978" w14:textId="77777777" w:rsidR="004C06C5" w:rsidRDefault="00ED474B">
            <w:pPr>
              <w:pStyle w:val="biaogeright"/>
              <w:wordWrap w:val="0"/>
            </w:pPr>
            <w:r>
              <w:rPr>
                <w:rFonts w:hAnsi="Calibri" w:hint="eastAsia"/>
                <w:color w:val="000000"/>
              </w:rPr>
              <w:t>796,157,000.00</w:t>
            </w:r>
          </w:p>
        </w:tc>
        <w:tc>
          <w:tcPr>
            <w:tcW w:w="2242" w:type="dxa"/>
            <w:tcBorders>
              <w:top w:val="single" w:sz="8" w:space="0" w:color="000000"/>
              <w:left w:val="single" w:sz="8" w:space="0" w:color="000000"/>
              <w:bottom w:val="single" w:sz="6" w:space="0" w:color="000000"/>
              <w:right w:val="single" w:sz="8" w:space="0" w:color="000000"/>
            </w:tcBorders>
            <w:vAlign w:val="center"/>
          </w:tcPr>
          <w:p w14:paraId="4940C377" w14:textId="77777777" w:rsidR="004C06C5" w:rsidRDefault="00ED474B">
            <w:pPr>
              <w:pStyle w:val="biaogeright"/>
              <w:wordWrap w:val="0"/>
            </w:pPr>
            <w:r>
              <w:rPr>
                <w:rFonts w:hAnsi="Calibri" w:hint="eastAsia"/>
                <w:color w:val="000000"/>
              </w:rPr>
              <w:t>25.91</w:t>
            </w:r>
          </w:p>
        </w:tc>
      </w:tr>
      <w:tr w:rsidR="004C06C5" w14:paraId="60C22EB8"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5363F932" w14:textId="77777777" w:rsidR="004C06C5" w:rsidRDefault="00ED474B">
            <w:pPr>
              <w:pStyle w:val="biaogecenter"/>
              <w:wordWrap w:val="0"/>
            </w:pPr>
            <w:r>
              <w:rPr>
                <w:rFonts w:hAnsi="Calibri" w:hint="eastAsia"/>
                <w:color w:val="000000"/>
              </w:rPr>
              <w:t>7</w:t>
            </w:r>
          </w:p>
        </w:tc>
        <w:tc>
          <w:tcPr>
            <w:tcW w:w="2790" w:type="dxa"/>
            <w:tcBorders>
              <w:top w:val="single" w:sz="8" w:space="0" w:color="000000"/>
              <w:left w:val="single" w:sz="8" w:space="0" w:color="000000"/>
              <w:bottom w:val="single" w:sz="6" w:space="0" w:color="000000"/>
              <w:right w:val="single" w:sz="8" w:space="0" w:color="000000"/>
            </w:tcBorders>
            <w:vAlign w:val="center"/>
          </w:tcPr>
          <w:p w14:paraId="3D5BC4E9" w14:textId="77777777" w:rsidR="004C06C5" w:rsidRDefault="00ED474B">
            <w:pPr>
              <w:pStyle w:val="biaogeleft"/>
              <w:wordWrap w:val="0"/>
            </w:pPr>
            <w:r>
              <w:rPr>
                <w:rFonts w:hint="eastAsia"/>
              </w:rPr>
              <w:t>可转债（可交换债）</w:t>
            </w:r>
          </w:p>
        </w:tc>
        <w:tc>
          <w:tcPr>
            <w:tcW w:w="2199" w:type="dxa"/>
            <w:tcBorders>
              <w:top w:val="single" w:sz="8" w:space="0" w:color="000000"/>
              <w:left w:val="single" w:sz="8" w:space="0" w:color="000000"/>
              <w:bottom w:val="single" w:sz="6" w:space="0" w:color="000000"/>
              <w:right w:val="single" w:sz="8" w:space="0" w:color="000000"/>
            </w:tcBorders>
            <w:vAlign w:val="center"/>
          </w:tcPr>
          <w:p w14:paraId="049DFF02" w14:textId="77777777" w:rsidR="004C06C5" w:rsidRDefault="00ED474B">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14:paraId="3C4C9378" w14:textId="77777777" w:rsidR="004C06C5" w:rsidRDefault="00ED474B">
            <w:pPr>
              <w:pStyle w:val="biaogeright"/>
              <w:wordWrap w:val="0"/>
            </w:pPr>
            <w:r>
              <w:rPr>
                <w:rFonts w:hAnsi="Calibri" w:hint="eastAsia"/>
                <w:color w:val="000000"/>
              </w:rPr>
              <w:t>-</w:t>
            </w:r>
          </w:p>
        </w:tc>
      </w:tr>
      <w:tr w:rsidR="004C06C5" w14:paraId="16E797E4"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148737AA" w14:textId="77777777" w:rsidR="004C06C5" w:rsidRDefault="00ED474B">
            <w:pPr>
              <w:pStyle w:val="biaogecenter"/>
              <w:wordWrap w:val="0"/>
            </w:pPr>
            <w:r>
              <w:rPr>
                <w:rFonts w:hAnsi="Calibri" w:hint="eastAsia"/>
                <w:color w:val="000000"/>
              </w:rPr>
              <w:t>8</w:t>
            </w:r>
          </w:p>
        </w:tc>
        <w:tc>
          <w:tcPr>
            <w:tcW w:w="2790" w:type="dxa"/>
            <w:tcBorders>
              <w:top w:val="single" w:sz="8" w:space="0" w:color="000000"/>
              <w:left w:val="single" w:sz="8" w:space="0" w:color="000000"/>
              <w:bottom w:val="single" w:sz="6" w:space="0" w:color="000000"/>
              <w:right w:val="single" w:sz="8" w:space="0" w:color="000000"/>
            </w:tcBorders>
            <w:vAlign w:val="center"/>
          </w:tcPr>
          <w:p w14:paraId="226F4109" w14:textId="77777777" w:rsidR="004C06C5" w:rsidRDefault="00ED474B">
            <w:pPr>
              <w:pStyle w:val="biaogeleft"/>
              <w:wordWrap w:val="0"/>
            </w:pPr>
            <w:r>
              <w:rPr>
                <w:rFonts w:hint="eastAsia"/>
              </w:rPr>
              <w:t>同业存单</w:t>
            </w:r>
          </w:p>
        </w:tc>
        <w:tc>
          <w:tcPr>
            <w:tcW w:w="2199" w:type="dxa"/>
            <w:tcBorders>
              <w:top w:val="single" w:sz="8" w:space="0" w:color="000000"/>
              <w:left w:val="single" w:sz="8" w:space="0" w:color="000000"/>
              <w:bottom w:val="single" w:sz="6" w:space="0" w:color="000000"/>
              <w:right w:val="single" w:sz="8" w:space="0" w:color="000000"/>
            </w:tcBorders>
            <w:vAlign w:val="center"/>
          </w:tcPr>
          <w:p w14:paraId="211ECCAA" w14:textId="77777777" w:rsidR="004C06C5" w:rsidRDefault="00ED474B">
            <w:pPr>
              <w:pStyle w:val="biaogeright"/>
              <w:wordWrap w:val="0"/>
            </w:pPr>
            <w:r>
              <w:rPr>
                <w:rFonts w:hAnsi="Calibri" w:hint="eastAsia"/>
                <w:color w:val="000000"/>
              </w:rPr>
              <w:t>118,994,000.00</w:t>
            </w:r>
          </w:p>
        </w:tc>
        <w:tc>
          <w:tcPr>
            <w:tcW w:w="2242" w:type="dxa"/>
            <w:tcBorders>
              <w:top w:val="single" w:sz="8" w:space="0" w:color="000000"/>
              <w:left w:val="single" w:sz="8" w:space="0" w:color="000000"/>
              <w:bottom w:val="single" w:sz="6" w:space="0" w:color="000000"/>
              <w:right w:val="single" w:sz="8" w:space="0" w:color="000000"/>
            </w:tcBorders>
            <w:vAlign w:val="center"/>
          </w:tcPr>
          <w:p w14:paraId="359E59CB" w14:textId="77777777" w:rsidR="004C06C5" w:rsidRDefault="00ED474B">
            <w:pPr>
              <w:pStyle w:val="biaogeright"/>
              <w:wordWrap w:val="0"/>
            </w:pPr>
            <w:r>
              <w:rPr>
                <w:rFonts w:hAnsi="Calibri" w:hint="eastAsia"/>
                <w:color w:val="000000"/>
              </w:rPr>
              <w:t>3.87</w:t>
            </w:r>
          </w:p>
        </w:tc>
      </w:tr>
      <w:tr w:rsidR="004C06C5" w14:paraId="20DED13E"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4DBAC2D2" w14:textId="77777777" w:rsidR="004C06C5" w:rsidRDefault="00ED474B">
            <w:pPr>
              <w:pStyle w:val="biaogecenter"/>
              <w:wordWrap w:val="0"/>
            </w:pPr>
            <w:r>
              <w:rPr>
                <w:rFonts w:hint="eastAsia"/>
              </w:rPr>
              <w:t>9</w:t>
            </w:r>
          </w:p>
        </w:tc>
        <w:tc>
          <w:tcPr>
            <w:tcW w:w="2790" w:type="dxa"/>
            <w:tcBorders>
              <w:top w:val="single" w:sz="8" w:space="0" w:color="000000"/>
              <w:left w:val="single" w:sz="8" w:space="0" w:color="000000"/>
              <w:bottom w:val="single" w:sz="6" w:space="0" w:color="000000"/>
              <w:right w:val="single" w:sz="8" w:space="0" w:color="000000"/>
            </w:tcBorders>
            <w:vAlign w:val="center"/>
          </w:tcPr>
          <w:p w14:paraId="10D0C696" w14:textId="77777777" w:rsidR="004C06C5" w:rsidRDefault="00ED474B">
            <w:pPr>
              <w:pStyle w:val="biaogeleft"/>
              <w:wordWrap w:val="0"/>
            </w:pPr>
            <w:r>
              <w:rPr>
                <w:rFonts w:hint="eastAsia"/>
              </w:rPr>
              <w:t>其他</w:t>
            </w:r>
          </w:p>
        </w:tc>
        <w:tc>
          <w:tcPr>
            <w:tcW w:w="2199" w:type="dxa"/>
            <w:tcBorders>
              <w:top w:val="single" w:sz="8" w:space="0" w:color="000000"/>
              <w:left w:val="single" w:sz="8" w:space="0" w:color="000000"/>
              <w:bottom w:val="single" w:sz="6" w:space="0" w:color="000000"/>
              <w:right w:val="single" w:sz="8" w:space="0" w:color="000000"/>
            </w:tcBorders>
            <w:vAlign w:val="center"/>
          </w:tcPr>
          <w:p w14:paraId="345F293B" w14:textId="77777777" w:rsidR="004C06C5" w:rsidRDefault="00ED474B">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14:paraId="41BD93E0" w14:textId="77777777" w:rsidR="004C06C5" w:rsidRDefault="00ED474B">
            <w:pPr>
              <w:pStyle w:val="biaogeright"/>
              <w:wordWrap w:val="0"/>
            </w:pPr>
            <w:r>
              <w:rPr>
                <w:rFonts w:hAnsi="Calibri" w:hint="eastAsia"/>
                <w:color w:val="000000"/>
              </w:rPr>
              <w:t>-</w:t>
            </w:r>
          </w:p>
        </w:tc>
      </w:tr>
      <w:tr w:rsidR="004C06C5" w14:paraId="19387003" w14:textId="77777777">
        <w:tc>
          <w:tcPr>
            <w:tcW w:w="1183" w:type="dxa"/>
            <w:tcBorders>
              <w:top w:val="single" w:sz="8" w:space="0" w:color="000000"/>
              <w:left w:val="single" w:sz="8" w:space="0" w:color="000000"/>
              <w:bottom w:val="single" w:sz="6" w:space="0" w:color="000000"/>
              <w:right w:val="single" w:sz="8" w:space="0" w:color="000000"/>
            </w:tcBorders>
            <w:vAlign w:val="center"/>
          </w:tcPr>
          <w:p w14:paraId="1F0DFB56" w14:textId="77777777" w:rsidR="004C06C5" w:rsidRDefault="00ED474B">
            <w:pPr>
              <w:pStyle w:val="biaogecenter"/>
              <w:wordWrap w:val="0"/>
            </w:pPr>
            <w:r>
              <w:rPr>
                <w:rFonts w:hAnsi="Calibri" w:hint="eastAsia"/>
                <w:color w:val="000000"/>
              </w:rPr>
              <w:t>10</w:t>
            </w:r>
          </w:p>
        </w:tc>
        <w:tc>
          <w:tcPr>
            <w:tcW w:w="2790" w:type="dxa"/>
            <w:tcBorders>
              <w:top w:val="single" w:sz="8" w:space="0" w:color="000000"/>
              <w:left w:val="single" w:sz="8" w:space="0" w:color="000000"/>
              <w:bottom w:val="single" w:sz="6" w:space="0" w:color="000000"/>
              <w:right w:val="single" w:sz="8" w:space="0" w:color="000000"/>
            </w:tcBorders>
            <w:vAlign w:val="center"/>
          </w:tcPr>
          <w:p w14:paraId="766FD47A" w14:textId="77777777" w:rsidR="004C06C5" w:rsidRDefault="00ED474B">
            <w:pPr>
              <w:pStyle w:val="biaogeleft"/>
              <w:wordWrap w:val="0"/>
            </w:pPr>
            <w:r>
              <w:rPr>
                <w:rFonts w:hint="eastAsia"/>
              </w:rPr>
              <w:t>合计</w:t>
            </w:r>
          </w:p>
        </w:tc>
        <w:tc>
          <w:tcPr>
            <w:tcW w:w="2199" w:type="dxa"/>
            <w:tcBorders>
              <w:top w:val="single" w:sz="8" w:space="0" w:color="000000"/>
              <w:left w:val="single" w:sz="8" w:space="0" w:color="000000"/>
              <w:bottom w:val="single" w:sz="6" w:space="0" w:color="000000"/>
              <w:right w:val="single" w:sz="8" w:space="0" w:color="000000"/>
            </w:tcBorders>
            <w:vAlign w:val="center"/>
          </w:tcPr>
          <w:p w14:paraId="3B373C0A" w14:textId="77777777" w:rsidR="004C06C5" w:rsidRDefault="00ED474B">
            <w:pPr>
              <w:pStyle w:val="biaogeright"/>
              <w:wordWrap w:val="0"/>
            </w:pPr>
            <w:r>
              <w:rPr>
                <w:rFonts w:hAnsi="Calibri" w:hint="eastAsia"/>
                <w:color w:val="000000"/>
              </w:rPr>
              <w:t>2,609,537,882.30</w:t>
            </w:r>
          </w:p>
        </w:tc>
        <w:tc>
          <w:tcPr>
            <w:tcW w:w="2242" w:type="dxa"/>
            <w:tcBorders>
              <w:top w:val="single" w:sz="8" w:space="0" w:color="000000"/>
              <w:left w:val="single" w:sz="8" w:space="0" w:color="000000"/>
              <w:bottom w:val="single" w:sz="6" w:space="0" w:color="000000"/>
              <w:right w:val="single" w:sz="8" w:space="0" w:color="000000"/>
            </w:tcBorders>
            <w:vAlign w:val="center"/>
          </w:tcPr>
          <w:p w14:paraId="51071EE1" w14:textId="77777777" w:rsidR="004C06C5" w:rsidRDefault="00ED474B">
            <w:pPr>
              <w:pStyle w:val="biaogeright"/>
              <w:wordWrap w:val="0"/>
            </w:pPr>
            <w:r>
              <w:rPr>
                <w:rFonts w:hAnsi="Calibri" w:hint="eastAsia"/>
                <w:color w:val="000000"/>
              </w:rPr>
              <w:t>84.94</w:t>
            </w:r>
          </w:p>
        </w:tc>
      </w:tr>
    </w:tbl>
    <w:p w14:paraId="252DE780" w14:textId="77777777" w:rsidR="004C06C5" w:rsidRDefault="004C06C5">
      <w:pPr>
        <w:pStyle w:val="zhangjiep2"/>
        <w:spacing w:line="360" w:lineRule="auto"/>
        <w:rPr>
          <w:bCs/>
          <w:sz w:val="21"/>
          <w:szCs w:val="21"/>
        </w:rPr>
      </w:pPr>
    </w:p>
    <w:p w14:paraId="6D16ED1E" w14:textId="77777777" w:rsidR="004C06C5" w:rsidRDefault="00ED474B">
      <w:pPr>
        <w:pStyle w:val="zhangjiep2"/>
        <w:spacing w:line="360" w:lineRule="auto"/>
        <w:rPr>
          <w:bCs/>
          <w:sz w:val="21"/>
          <w:szCs w:val="21"/>
        </w:rPr>
      </w:pPr>
      <w:r>
        <w:rPr>
          <w:rFonts w:hint="eastAsia"/>
          <w:bCs/>
          <w:sz w:val="21"/>
          <w:szCs w:val="21"/>
        </w:rPr>
        <w:t>5、报告期末按公允价值占基金资产净值比例大小排序的前五名债券投资明细</w:t>
      </w:r>
    </w:p>
    <w:tbl>
      <w:tblPr>
        <w:tblW w:w="8886" w:type="dxa"/>
        <w:tblInd w:w="108" w:type="dxa"/>
        <w:tblLayout w:type="fixed"/>
        <w:tblLook w:val="04A0" w:firstRow="1" w:lastRow="0" w:firstColumn="1" w:lastColumn="0" w:noHBand="0" w:noVBand="1"/>
      </w:tblPr>
      <w:tblGrid>
        <w:gridCol w:w="709"/>
        <w:gridCol w:w="1418"/>
        <w:gridCol w:w="1331"/>
        <w:gridCol w:w="1347"/>
        <w:gridCol w:w="2080"/>
        <w:gridCol w:w="2001"/>
      </w:tblGrid>
      <w:tr w:rsidR="004C06C5" w14:paraId="639D18FF" w14:textId="77777777">
        <w:tc>
          <w:tcPr>
            <w:tcW w:w="709" w:type="dxa"/>
            <w:tcBorders>
              <w:top w:val="single" w:sz="8" w:space="0" w:color="000000"/>
              <w:left w:val="single" w:sz="8" w:space="0" w:color="000000"/>
              <w:bottom w:val="single" w:sz="6" w:space="0" w:color="000000"/>
              <w:right w:val="single" w:sz="8" w:space="0" w:color="000000"/>
            </w:tcBorders>
            <w:vAlign w:val="center"/>
          </w:tcPr>
          <w:p w14:paraId="23938D03" w14:textId="77777777" w:rsidR="004C06C5" w:rsidRDefault="00ED474B">
            <w:pPr>
              <w:pStyle w:val="biaogecenter"/>
              <w:wordWrap w:val="0"/>
              <w:rPr>
                <w:rFonts w:hAnsi="Calibri"/>
                <w:color w:val="000000"/>
              </w:rPr>
            </w:pPr>
            <w:r>
              <w:rPr>
                <w:rFonts w:hAnsi="Calibri" w:hint="eastAsia"/>
                <w:color w:val="000000"/>
              </w:rPr>
              <w:t>序号</w:t>
            </w:r>
          </w:p>
        </w:tc>
        <w:tc>
          <w:tcPr>
            <w:tcW w:w="1418" w:type="dxa"/>
            <w:tcBorders>
              <w:top w:val="single" w:sz="8" w:space="0" w:color="000000"/>
              <w:left w:val="single" w:sz="8" w:space="0" w:color="000000"/>
              <w:bottom w:val="single" w:sz="6" w:space="0" w:color="000000"/>
              <w:right w:val="single" w:sz="8" w:space="0" w:color="000000"/>
            </w:tcBorders>
            <w:vAlign w:val="center"/>
          </w:tcPr>
          <w:p w14:paraId="6E958254" w14:textId="77777777" w:rsidR="004C06C5" w:rsidRDefault="00ED474B">
            <w:pPr>
              <w:pStyle w:val="biaogecenter"/>
              <w:wordWrap w:val="0"/>
              <w:rPr>
                <w:rFonts w:hAnsi="Calibri"/>
                <w:color w:val="000000"/>
              </w:rPr>
            </w:pPr>
            <w:r>
              <w:rPr>
                <w:rFonts w:hAnsi="Calibri" w:hint="eastAsia"/>
                <w:color w:val="000000"/>
              </w:rPr>
              <w:t>债券代码</w:t>
            </w:r>
          </w:p>
        </w:tc>
        <w:tc>
          <w:tcPr>
            <w:tcW w:w="1331" w:type="dxa"/>
            <w:tcBorders>
              <w:top w:val="single" w:sz="8" w:space="0" w:color="000000"/>
              <w:left w:val="single" w:sz="8" w:space="0" w:color="000000"/>
              <w:bottom w:val="single" w:sz="6" w:space="0" w:color="000000"/>
              <w:right w:val="single" w:sz="8" w:space="0" w:color="000000"/>
            </w:tcBorders>
            <w:vAlign w:val="center"/>
          </w:tcPr>
          <w:p w14:paraId="78B5D356" w14:textId="77777777" w:rsidR="004C06C5" w:rsidRDefault="00ED474B">
            <w:pPr>
              <w:pStyle w:val="biaogecenter"/>
              <w:wordWrap w:val="0"/>
              <w:rPr>
                <w:rFonts w:hAnsi="Calibri"/>
                <w:color w:val="000000"/>
              </w:rPr>
            </w:pPr>
            <w:r>
              <w:rPr>
                <w:rFonts w:hAnsi="Calibri" w:hint="eastAsia"/>
                <w:color w:val="000000"/>
              </w:rPr>
              <w:t>债券名称</w:t>
            </w:r>
          </w:p>
        </w:tc>
        <w:tc>
          <w:tcPr>
            <w:tcW w:w="1347" w:type="dxa"/>
            <w:tcBorders>
              <w:top w:val="single" w:sz="8" w:space="0" w:color="000000"/>
              <w:left w:val="single" w:sz="8" w:space="0" w:color="000000"/>
              <w:bottom w:val="single" w:sz="6" w:space="0" w:color="000000"/>
              <w:right w:val="single" w:sz="8" w:space="0" w:color="000000"/>
            </w:tcBorders>
            <w:vAlign w:val="center"/>
          </w:tcPr>
          <w:p w14:paraId="72799023" w14:textId="77777777" w:rsidR="004C06C5" w:rsidRDefault="00ED474B">
            <w:pPr>
              <w:pStyle w:val="biaogecenter"/>
              <w:wordWrap w:val="0"/>
              <w:rPr>
                <w:rFonts w:hAnsi="Calibri"/>
                <w:color w:val="000000"/>
              </w:rPr>
            </w:pPr>
            <w:r>
              <w:rPr>
                <w:rFonts w:hAnsi="Calibri" w:hint="eastAsia"/>
                <w:color w:val="000000"/>
              </w:rPr>
              <w:t>数量（张）</w:t>
            </w:r>
          </w:p>
        </w:tc>
        <w:tc>
          <w:tcPr>
            <w:tcW w:w="2080" w:type="dxa"/>
            <w:tcBorders>
              <w:top w:val="single" w:sz="8" w:space="0" w:color="000000"/>
              <w:left w:val="single" w:sz="8" w:space="0" w:color="000000"/>
              <w:bottom w:val="single" w:sz="6" w:space="0" w:color="000000"/>
              <w:right w:val="single" w:sz="8" w:space="0" w:color="000000"/>
            </w:tcBorders>
            <w:vAlign w:val="center"/>
          </w:tcPr>
          <w:p w14:paraId="3C9B7F55" w14:textId="77777777" w:rsidR="004C06C5" w:rsidRDefault="00ED474B">
            <w:pPr>
              <w:pStyle w:val="biaogecenter"/>
              <w:wordWrap w:val="0"/>
              <w:rPr>
                <w:rFonts w:hAnsi="Calibri"/>
                <w:color w:val="000000"/>
              </w:rPr>
            </w:pPr>
            <w:r>
              <w:rPr>
                <w:rFonts w:hAnsi="Calibri" w:hint="eastAsia"/>
                <w:color w:val="000000"/>
              </w:rPr>
              <w:t>公允价值(元)</w:t>
            </w:r>
          </w:p>
        </w:tc>
        <w:tc>
          <w:tcPr>
            <w:tcW w:w="2001" w:type="dxa"/>
            <w:tcBorders>
              <w:top w:val="single" w:sz="8" w:space="0" w:color="000000"/>
              <w:left w:val="single" w:sz="8" w:space="0" w:color="000000"/>
              <w:bottom w:val="single" w:sz="6" w:space="0" w:color="000000"/>
              <w:right w:val="single" w:sz="8" w:space="0" w:color="000000"/>
            </w:tcBorders>
            <w:vAlign w:val="center"/>
          </w:tcPr>
          <w:p w14:paraId="3470BA05" w14:textId="77777777" w:rsidR="004C06C5" w:rsidRDefault="00ED474B">
            <w:pPr>
              <w:pStyle w:val="biaogecenter"/>
              <w:wordWrap w:val="0"/>
              <w:rPr>
                <w:rFonts w:hAnsi="Calibri"/>
                <w:color w:val="000000"/>
              </w:rPr>
            </w:pPr>
            <w:r>
              <w:rPr>
                <w:rFonts w:hAnsi="Calibri" w:hint="eastAsia"/>
                <w:color w:val="000000"/>
              </w:rPr>
              <w:t>占基金资产净值比例（％）</w:t>
            </w:r>
          </w:p>
        </w:tc>
      </w:tr>
      <w:tr w:rsidR="004C06C5" w14:paraId="400E6856" w14:textId="77777777">
        <w:tc>
          <w:tcPr>
            <w:tcW w:w="709" w:type="dxa"/>
            <w:tcBorders>
              <w:top w:val="single" w:sz="8" w:space="0" w:color="000000"/>
              <w:left w:val="single" w:sz="8" w:space="0" w:color="000000"/>
              <w:bottom w:val="single" w:sz="6" w:space="0" w:color="000000"/>
              <w:right w:val="single" w:sz="8" w:space="0" w:color="000000"/>
            </w:tcBorders>
            <w:vAlign w:val="center"/>
          </w:tcPr>
          <w:p w14:paraId="1CD4DDE8" w14:textId="77777777" w:rsidR="004C06C5" w:rsidRDefault="00ED474B">
            <w:pPr>
              <w:pStyle w:val="biaogecenter"/>
              <w:wordWrap w:val="0"/>
              <w:rPr>
                <w:rFonts w:hAnsi="Calibri"/>
                <w:color w:val="000000"/>
              </w:rPr>
            </w:pPr>
            <w:r>
              <w:rPr>
                <w:rFonts w:hAnsi="Calibri" w:hint="eastAsia"/>
                <w:color w:val="000000"/>
              </w:rPr>
              <w:t>1</w:t>
            </w:r>
          </w:p>
        </w:tc>
        <w:tc>
          <w:tcPr>
            <w:tcW w:w="1418" w:type="dxa"/>
            <w:tcBorders>
              <w:top w:val="single" w:sz="8" w:space="0" w:color="000000"/>
              <w:left w:val="single" w:sz="8" w:space="0" w:color="000000"/>
              <w:bottom w:val="single" w:sz="6" w:space="0" w:color="000000"/>
              <w:right w:val="single" w:sz="8" w:space="0" w:color="000000"/>
            </w:tcBorders>
            <w:vAlign w:val="center"/>
          </w:tcPr>
          <w:p w14:paraId="2D51DD02" w14:textId="77777777" w:rsidR="004C06C5" w:rsidRDefault="00ED474B">
            <w:pPr>
              <w:pStyle w:val="biaogecenter"/>
              <w:rPr>
                <w:rFonts w:hAnsi="Calibri"/>
                <w:color w:val="000000"/>
              </w:rPr>
            </w:pPr>
            <w:r>
              <w:rPr>
                <w:rFonts w:hAnsi="Calibri" w:hint="eastAsia"/>
                <w:color w:val="000000"/>
              </w:rPr>
              <w:t>190403</w:t>
            </w:r>
          </w:p>
        </w:tc>
        <w:tc>
          <w:tcPr>
            <w:tcW w:w="1331" w:type="dxa"/>
            <w:tcBorders>
              <w:top w:val="single" w:sz="8" w:space="0" w:color="000000"/>
              <w:left w:val="single" w:sz="8" w:space="0" w:color="000000"/>
              <w:bottom w:val="single" w:sz="6" w:space="0" w:color="000000"/>
              <w:right w:val="single" w:sz="8" w:space="0" w:color="000000"/>
            </w:tcBorders>
            <w:vAlign w:val="center"/>
          </w:tcPr>
          <w:p w14:paraId="38985365" w14:textId="77777777" w:rsidR="004C06C5" w:rsidRDefault="00ED474B">
            <w:pPr>
              <w:pStyle w:val="biaogecenter"/>
              <w:rPr>
                <w:rFonts w:hAnsi="Calibri"/>
                <w:color w:val="000000"/>
              </w:rPr>
            </w:pPr>
            <w:r>
              <w:rPr>
                <w:rFonts w:hAnsi="Calibri" w:hint="eastAsia"/>
                <w:color w:val="000000"/>
              </w:rPr>
              <w:t>19农发03</w:t>
            </w:r>
          </w:p>
        </w:tc>
        <w:tc>
          <w:tcPr>
            <w:tcW w:w="1347" w:type="dxa"/>
            <w:tcBorders>
              <w:top w:val="single" w:sz="8" w:space="0" w:color="000000"/>
              <w:left w:val="single" w:sz="8" w:space="0" w:color="000000"/>
              <w:bottom w:val="single" w:sz="6" w:space="0" w:color="000000"/>
              <w:right w:val="single" w:sz="8" w:space="0" w:color="000000"/>
            </w:tcBorders>
            <w:vAlign w:val="center"/>
          </w:tcPr>
          <w:p w14:paraId="46C40FF9" w14:textId="77777777" w:rsidR="004C06C5" w:rsidRDefault="00ED474B">
            <w:pPr>
              <w:pStyle w:val="biaogecenter"/>
              <w:rPr>
                <w:rFonts w:hAnsi="Calibri"/>
                <w:color w:val="000000"/>
              </w:rPr>
            </w:pPr>
            <w:r>
              <w:rPr>
                <w:rFonts w:hAnsi="Calibri" w:hint="eastAsia"/>
                <w:color w:val="000000"/>
              </w:rPr>
              <w:t>1,800,000</w:t>
            </w:r>
          </w:p>
        </w:tc>
        <w:tc>
          <w:tcPr>
            <w:tcW w:w="2080" w:type="dxa"/>
            <w:tcBorders>
              <w:top w:val="single" w:sz="8" w:space="0" w:color="000000"/>
              <w:left w:val="single" w:sz="8" w:space="0" w:color="000000"/>
              <w:bottom w:val="single" w:sz="6" w:space="0" w:color="000000"/>
              <w:right w:val="single" w:sz="8" w:space="0" w:color="000000"/>
            </w:tcBorders>
            <w:vAlign w:val="center"/>
          </w:tcPr>
          <w:p w14:paraId="6AA5ABD4" w14:textId="77777777" w:rsidR="004C06C5" w:rsidRDefault="00ED474B">
            <w:pPr>
              <w:pStyle w:val="biaogecenter"/>
              <w:rPr>
                <w:rFonts w:hAnsi="Calibri"/>
                <w:color w:val="000000"/>
              </w:rPr>
            </w:pPr>
            <w:r>
              <w:rPr>
                <w:rFonts w:hAnsi="Calibri" w:hint="eastAsia"/>
                <w:color w:val="000000"/>
              </w:rPr>
              <w:t>181,296,000.00</w:t>
            </w:r>
          </w:p>
        </w:tc>
        <w:tc>
          <w:tcPr>
            <w:tcW w:w="2001" w:type="dxa"/>
            <w:tcBorders>
              <w:top w:val="single" w:sz="8" w:space="0" w:color="000000"/>
              <w:left w:val="single" w:sz="8" w:space="0" w:color="000000"/>
              <w:bottom w:val="single" w:sz="6" w:space="0" w:color="000000"/>
              <w:right w:val="single" w:sz="8" w:space="0" w:color="000000"/>
            </w:tcBorders>
            <w:vAlign w:val="center"/>
          </w:tcPr>
          <w:p w14:paraId="70BDE530" w14:textId="77777777" w:rsidR="004C06C5" w:rsidRDefault="00ED474B">
            <w:pPr>
              <w:pStyle w:val="biaogecenter"/>
              <w:rPr>
                <w:rFonts w:hAnsi="Calibri"/>
                <w:color w:val="000000"/>
              </w:rPr>
            </w:pPr>
            <w:r>
              <w:rPr>
                <w:rFonts w:hAnsi="Calibri" w:hint="eastAsia"/>
                <w:color w:val="000000"/>
              </w:rPr>
              <w:t>5.90</w:t>
            </w:r>
          </w:p>
        </w:tc>
      </w:tr>
      <w:tr w:rsidR="004C06C5" w14:paraId="654AF751" w14:textId="77777777">
        <w:tc>
          <w:tcPr>
            <w:tcW w:w="709" w:type="dxa"/>
            <w:tcBorders>
              <w:top w:val="single" w:sz="8" w:space="0" w:color="000000"/>
              <w:left w:val="single" w:sz="8" w:space="0" w:color="000000"/>
              <w:bottom w:val="single" w:sz="6" w:space="0" w:color="000000"/>
              <w:right w:val="single" w:sz="8" w:space="0" w:color="000000"/>
            </w:tcBorders>
            <w:vAlign w:val="center"/>
          </w:tcPr>
          <w:p w14:paraId="03C57580" w14:textId="77777777" w:rsidR="004C06C5" w:rsidRDefault="00ED474B">
            <w:pPr>
              <w:pStyle w:val="biaogecenter"/>
              <w:wordWrap w:val="0"/>
              <w:rPr>
                <w:rFonts w:hAnsi="Calibri"/>
                <w:color w:val="000000"/>
              </w:rPr>
            </w:pPr>
            <w:r>
              <w:rPr>
                <w:rFonts w:hAnsi="Calibri" w:hint="eastAsia"/>
                <w:color w:val="000000"/>
              </w:rPr>
              <w:t>2</w:t>
            </w:r>
          </w:p>
        </w:tc>
        <w:tc>
          <w:tcPr>
            <w:tcW w:w="1418" w:type="dxa"/>
            <w:tcBorders>
              <w:top w:val="single" w:sz="8" w:space="0" w:color="000000"/>
              <w:left w:val="single" w:sz="8" w:space="0" w:color="000000"/>
              <w:bottom w:val="single" w:sz="6" w:space="0" w:color="000000"/>
              <w:right w:val="single" w:sz="8" w:space="0" w:color="000000"/>
            </w:tcBorders>
            <w:vAlign w:val="center"/>
          </w:tcPr>
          <w:p w14:paraId="49396333" w14:textId="77777777" w:rsidR="004C06C5" w:rsidRDefault="00ED474B">
            <w:pPr>
              <w:pStyle w:val="biaogecenter"/>
              <w:rPr>
                <w:rFonts w:hAnsi="Calibri"/>
                <w:color w:val="000000"/>
              </w:rPr>
            </w:pPr>
            <w:r>
              <w:rPr>
                <w:rFonts w:hAnsi="Calibri" w:hint="eastAsia"/>
                <w:color w:val="000000"/>
              </w:rPr>
              <w:t>190207</w:t>
            </w:r>
          </w:p>
        </w:tc>
        <w:tc>
          <w:tcPr>
            <w:tcW w:w="1331" w:type="dxa"/>
            <w:tcBorders>
              <w:top w:val="single" w:sz="8" w:space="0" w:color="000000"/>
              <w:left w:val="single" w:sz="8" w:space="0" w:color="000000"/>
              <w:bottom w:val="single" w:sz="6" w:space="0" w:color="000000"/>
              <w:right w:val="single" w:sz="8" w:space="0" w:color="000000"/>
            </w:tcBorders>
            <w:vAlign w:val="center"/>
          </w:tcPr>
          <w:p w14:paraId="399F821B" w14:textId="77777777" w:rsidR="004C06C5" w:rsidRDefault="00ED474B">
            <w:pPr>
              <w:pStyle w:val="biaogecenter"/>
              <w:rPr>
                <w:rFonts w:hAnsi="Calibri"/>
                <w:color w:val="000000"/>
              </w:rPr>
            </w:pPr>
            <w:r>
              <w:rPr>
                <w:rFonts w:hAnsi="Calibri" w:hint="eastAsia"/>
                <w:color w:val="000000"/>
              </w:rPr>
              <w:t>19国开07</w:t>
            </w:r>
          </w:p>
        </w:tc>
        <w:tc>
          <w:tcPr>
            <w:tcW w:w="1347" w:type="dxa"/>
            <w:tcBorders>
              <w:top w:val="single" w:sz="8" w:space="0" w:color="000000"/>
              <w:left w:val="single" w:sz="8" w:space="0" w:color="000000"/>
              <w:bottom w:val="single" w:sz="6" w:space="0" w:color="000000"/>
              <w:right w:val="single" w:sz="8" w:space="0" w:color="000000"/>
            </w:tcBorders>
            <w:vAlign w:val="center"/>
          </w:tcPr>
          <w:p w14:paraId="374F12D6" w14:textId="77777777" w:rsidR="004C06C5" w:rsidRDefault="00ED474B">
            <w:pPr>
              <w:pStyle w:val="biaogecenter"/>
              <w:rPr>
                <w:rFonts w:hAnsi="Calibri"/>
                <w:color w:val="000000"/>
              </w:rPr>
            </w:pPr>
            <w:r>
              <w:rPr>
                <w:rFonts w:hAnsi="Calibri" w:hint="eastAsia"/>
                <w:color w:val="000000"/>
              </w:rPr>
              <w:t>1,500,000</w:t>
            </w:r>
          </w:p>
        </w:tc>
        <w:tc>
          <w:tcPr>
            <w:tcW w:w="2080" w:type="dxa"/>
            <w:tcBorders>
              <w:top w:val="single" w:sz="8" w:space="0" w:color="000000"/>
              <w:left w:val="single" w:sz="8" w:space="0" w:color="000000"/>
              <w:bottom w:val="single" w:sz="6" w:space="0" w:color="000000"/>
              <w:right w:val="single" w:sz="8" w:space="0" w:color="000000"/>
            </w:tcBorders>
            <w:vAlign w:val="center"/>
          </w:tcPr>
          <w:p w14:paraId="6F926B17" w14:textId="77777777" w:rsidR="004C06C5" w:rsidRDefault="00ED474B">
            <w:pPr>
              <w:pStyle w:val="biaogecenter"/>
              <w:rPr>
                <w:rFonts w:hAnsi="Calibri"/>
                <w:color w:val="000000"/>
              </w:rPr>
            </w:pPr>
            <w:r>
              <w:rPr>
                <w:rFonts w:hAnsi="Calibri" w:hint="eastAsia"/>
                <w:color w:val="000000"/>
              </w:rPr>
              <w:t>151,110,000.00</w:t>
            </w:r>
          </w:p>
        </w:tc>
        <w:tc>
          <w:tcPr>
            <w:tcW w:w="2001" w:type="dxa"/>
            <w:tcBorders>
              <w:top w:val="single" w:sz="8" w:space="0" w:color="000000"/>
              <w:left w:val="single" w:sz="8" w:space="0" w:color="000000"/>
              <w:bottom w:val="single" w:sz="6" w:space="0" w:color="000000"/>
              <w:right w:val="single" w:sz="8" w:space="0" w:color="000000"/>
            </w:tcBorders>
            <w:vAlign w:val="center"/>
          </w:tcPr>
          <w:p w14:paraId="5F2338E8" w14:textId="77777777" w:rsidR="004C06C5" w:rsidRDefault="00ED474B">
            <w:pPr>
              <w:pStyle w:val="biaogecenter"/>
              <w:rPr>
                <w:rFonts w:hAnsi="Calibri"/>
                <w:color w:val="000000"/>
              </w:rPr>
            </w:pPr>
            <w:r>
              <w:rPr>
                <w:rFonts w:hAnsi="Calibri" w:hint="eastAsia"/>
                <w:color w:val="000000"/>
              </w:rPr>
              <w:t>4.92</w:t>
            </w:r>
          </w:p>
        </w:tc>
      </w:tr>
      <w:tr w:rsidR="004C06C5" w14:paraId="0284BDB9" w14:textId="77777777">
        <w:tc>
          <w:tcPr>
            <w:tcW w:w="709" w:type="dxa"/>
            <w:tcBorders>
              <w:top w:val="single" w:sz="8" w:space="0" w:color="000000"/>
              <w:left w:val="single" w:sz="8" w:space="0" w:color="000000"/>
              <w:bottom w:val="single" w:sz="6" w:space="0" w:color="000000"/>
              <w:right w:val="single" w:sz="8" w:space="0" w:color="000000"/>
            </w:tcBorders>
            <w:vAlign w:val="center"/>
          </w:tcPr>
          <w:p w14:paraId="07FED2DE" w14:textId="77777777" w:rsidR="004C06C5" w:rsidRDefault="00ED474B">
            <w:pPr>
              <w:pStyle w:val="biaogecenter"/>
              <w:wordWrap w:val="0"/>
              <w:rPr>
                <w:rFonts w:hAnsi="Calibri"/>
                <w:color w:val="000000"/>
              </w:rPr>
            </w:pPr>
            <w:r>
              <w:rPr>
                <w:rFonts w:hAnsi="Calibri" w:hint="eastAsia"/>
                <w:color w:val="000000"/>
              </w:rPr>
              <w:t>3</w:t>
            </w:r>
          </w:p>
        </w:tc>
        <w:tc>
          <w:tcPr>
            <w:tcW w:w="1418" w:type="dxa"/>
            <w:tcBorders>
              <w:top w:val="single" w:sz="8" w:space="0" w:color="000000"/>
              <w:left w:val="single" w:sz="8" w:space="0" w:color="000000"/>
              <w:bottom w:val="single" w:sz="6" w:space="0" w:color="000000"/>
              <w:right w:val="single" w:sz="8" w:space="0" w:color="000000"/>
            </w:tcBorders>
            <w:vAlign w:val="center"/>
          </w:tcPr>
          <w:p w14:paraId="55EC4C77" w14:textId="77777777" w:rsidR="004C06C5" w:rsidRDefault="00ED474B">
            <w:pPr>
              <w:pStyle w:val="biaogecenter"/>
              <w:rPr>
                <w:rFonts w:hAnsi="Calibri"/>
                <w:color w:val="000000"/>
              </w:rPr>
            </w:pPr>
            <w:r>
              <w:rPr>
                <w:rFonts w:hAnsi="Calibri" w:hint="eastAsia"/>
                <w:color w:val="000000"/>
              </w:rPr>
              <w:t>180212</w:t>
            </w:r>
          </w:p>
        </w:tc>
        <w:tc>
          <w:tcPr>
            <w:tcW w:w="1331" w:type="dxa"/>
            <w:tcBorders>
              <w:top w:val="single" w:sz="8" w:space="0" w:color="000000"/>
              <w:left w:val="single" w:sz="8" w:space="0" w:color="000000"/>
              <w:bottom w:val="single" w:sz="6" w:space="0" w:color="000000"/>
              <w:right w:val="single" w:sz="8" w:space="0" w:color="000000"/>
            </w:tcBorders>
            <w:vAlign w:val="center"/>
          </w:tcPr>
          <w:p w14:paraId="653E4573" w14:textId="77777777" w:rsidR="004C06C5" w:rsidRDefault="00ED474B">
            <w:pPr>
              <w:pStyle w:val="biaogecenter"/>
              <w:rPr>
                <w:rFonts w:hAnsi="Calibri"/>
                <w:color w:val="000000"/>
              </w:rPr>
            </w:pPr>
            <w:r>
              <w:rPr>
                <w:rFonts w:hAnsi="Calibri" w:hint="eastAsia"/>
                <w:color w:val="000000"/>
              </w:rPr>
              <w:t>18国开12</w:t>
            </w:r>
          </w:p>
        </w:tc>
        <w:tc>
          <w:tcPr>
            <w:tcW w:w="1347" w:type="dxa"/>
            <w:tcBorders>
              <w:top w:val="single" w:sz="8" w:space="0" w:color="000000"/>
              <w:left w:val="single" w:sz="8" w:space="0" w:color="000000"/>
              <w:bottom w:val="single" w:sz="6" w:space="0" w:color="000000"/>
              <w:right w:val="single" w:sz="8" w:space="0" w:color="000000"/>
            </w:tcBorders>
            <w:vAlign w:val="center"/>
          </w:tcPr>
          <w:p w14:paraId="20FB2CEA" w14:textId="77777777" w:rsidR="004C06C5" w:rsidRDefault="00ED474B">
            <w:pPr>
              <w:pStyle w:val="biaogecenter"/>
              <w:rPr>
                <w:rFonts w:hAnsi="Calibri"/>
                <w:color w:val="000000"/>
              </w:rPr>
            </w:pPr>
            <w:r>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tcPr>
          <w:p w14:paraId="5EF6C235" w14:textId="77777777" w:rsidR="004C06C5" w:rsidRDefault="00ED474B">
            <w:pPr>
              <w:pStyle w:val="biaogecenter"/>
              <w:rPr>
                <w:rFonts w:hAnsi="Calibri"/>
                <w:color w:val="000000"/>
              </w:rPr>
            </w:pPr>
            <w:r>
              <w:rPr>
                <w:rFonts w:hAnsi="Calibri" w:hint="eastAsia"/>
                <w:color w:val="000000"/>
              </w:rPr>
              <w:t>131,989,000.00</w:t>
            </w:r>
          </w:p>
        </w:tc>
        <w:tc>
          <w:tcPr>
            <w:tcW w:w="2001" w:type="dxa"/>
            <w:tcBorders>
              <w:top w:val="single" w:sz="8" w:space="0" w:color="000000"/>
              <w:left w:val="single" w:sz="8" w:space="0" w:color="000000"/>
              <w:bottom w:val="single" w:sz="6" w:space="0" w:color="000000"/>
              <w:right w:val="single" w:sz="8" w:space="0" w:color="000000"/>
            </w:tcBorders>
            <w:vAlign w:val="center"/>
          </w:tcPr>
          <w:p w14:paraId="3B8543BF" w14:textId="77777777" w:rsidR="004C06C5" w:rsidRDefault="00ED474B">
            <w:pPr>
              <w:pStyle w:val="biaogecenter"/>
              <w:rPr>
                <w:rFonts w:hAnsi="Calibri"/>
                <w:color w:val="000000"/>
              </w:rPr>
            </w:pPr>
            <w:r>
              <w:rPr>
                <w:rFonts w:hAnsi="Calibri" w:hint="eastAsia"/>
                <w:color w:val="000000"/>
              </w:rPr>
              <w:t>4.30</w:t>
            </w:r>
          </w:p>
        </w:tc>
      </w:tr>
      <w:tr w:rsidR="004C06C5" w14:paraId="78D99670" w14:textId="77777777">
        <w:tc>
          <w:tcPr>
            <w:tcW w:w="709" w:type="dxa"/>
            <w:tcBorders>
              <w:top w:val="single" w:sz="8" w:space="0" w:color="000000"/>
              <w:left w:val="single" w:sz="8" w:space="0" w:color="000000"/>
              <w:bottom w:val="single" w:sz="6" w:space="0" w:color="000000"/>
              <w:right w:val="single" w:sz="8" w:space="0" w:color="000000"/>
            </w:tcBorders>
            <w:vAlign w:val="center"/>
          </w:tcPr>
          <w:p w14:paraId="396F12B0" w14:textId="77777777" w:rsidR="004C06C5" w:rsidRDefault="00ED474B">
            <w:pPr>
              <w:pStyle w:val="biaogecenter"/>
              <w:wordWrap w:val="0"/>
              <w:rPr>
                <w:rFonts w:hAnsi="Calibri"/>
                <w:color w:val="000000"/>
              </w:rPr>
            </w:pPr>
            <w:r>
              <w:rPr>
                <w:rFonts w:hAnsi="Calibri" w:hint="eastAsia"/>
                <w:color w:val="000000"/>
              </w:rPr>
              <w:t>4</w:t>
            </w:r>
          </w:p>
        </w:tc>
        <w:tc>
          <w:tcPr>
            <w:tcW w:w="1418" w:type="dxa"/>
            <w:tcBorders>
              <w:top w:val="single" w:sz="8" w:space="0" w:color="000000"/>
              <w:left w:val="single" w:sz="8" w:space="0" w:color="000000"/>
              <w:bottom w:val="single" w:sz="6" w:space="0" w:color="000000"/>
              <w:right w:val="single" w:sz="8" w:space="0" w:color="000000"/>
            </w:tcBorders>
            <w:vAlign w:val="center"/>
          </w:tcPr>
          <w:p w14:paraId="752CB16B" w14:textId="77777777" w:rsidR="004C06C5" w:rsidRDefault="00ED474B">
            <w:pPr>
              <w:pStyle w:val="biaogecenter"/>
              <w:rPr>
                <w:rFonts w:hAnsi="Calibri"/>
                <w:color w:val="000000"/>
              </w:rPr>
            </w:pPr>
            <w:r>
              <w:rPr>
                <w:rFonts w:hAnsi="Calibri" w:hint="eastAsia"/>
                <w:color w:val="000000"/>
              </w:rPr>
              <w:t>190306</w:t>
            </w:r>
          </w:p>
        </w:tc>
        <w:tc>
          <w:tcPr>
            <w:tcW w:w="1331" w:type="dxa"/>
            <w:tcBorders>
              <w:top w:val="single" w:sz="8" w:space="0" w:color="000000"/>
              <w:left w:val="single" w:sz="8" w:space="0" w:color="000000"/>
              <w:bottom w:val="single" w:sz="6" w:space="0" w:color="000000"/>
              <w:right w:val="single" w:sz="8" w:space="0" w:color="000000"/>
            </w:tcBorders>
            <w:vAlign w:val="center"/>
          </w:tcPr>
          <w:p w14:paraId="4E9F51A7" w14:textId="77777777" w:rsidR="004C06C5" w:rsidRDefault="00ED474B">
            <w:pPr>
              <w:pStyle w:val="biaogecenter"/>
              <w:rPr>
                <w:rFonts w:hAnsi="Calibri"/>
                <w:color w:val="000000"/>
              </w:rPr>
            </w:pPr>
            <w:r>
              <w:rPr>
                <w:rFonts w:hAnsi="Calibri" w:hint="eastAsia"/>
                <w:color w:val="000000"/>
              </w:rPr>
              <w:t>19进出06</w:t>
            </w:r>
          </w:p>
        </w:tc>
        <w:tc>
          <w:tcPr>
            <w:tcW w:w="1347" w:type="dxa"/>
            <w:tcBorders>
              <w:top w:val="single" w:sz="8" w:space="0" w:color="000000"/>
              <w:left w:val="single" w:sz="8" w:space="0" w:color="000000"/>
              <w:bottom w:val="single" w:sz="6" w:space="0" w:color="000000"/>
              <w:right w:val="single" w:sz="8" w:space="0" w:color="000000"/>
            </w:tcBorders>
            <w:vAlign w:val="center"/>
          </w:tcPr>
          <w:p w14:paraId="510C5034" w14:textId="77777777" w:rsidR="004C06C5" w:rsidRDefault="00ED474B">
            <w:pPr>
              <w:pStyle w:val="biaogecenter"/>
              <w:rPr>
                <w:rFonts w:hAnsi="Calibri"/>
                <w:color w:val="000000"/>
              </w:rPr>
            </w:pPr>
            <w:r>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tcPr>
          <w:p w14:paraId="606DC13E" w14:textId="77777777" w:rsidR="004C06C5" w:rsidRDefault="00ED474B">
            <w:pPr>
              <w:pStyle w:val="biaogecenter"/>
              <w:rPr>
                <w:rFonts w:hAnsi="Calibri"/>
                <w:color w:val="000000"/>
              </w:rPr>
            </w:pPr>
            <w:r>
              <w:rPr>
                <w:rFonts w:hAnsi="Calibri" w:hint="eastAsia"/>
                <w:color w:val="000000"/>
              </w:rPr>
              <w:t>131,521,000.00</w:t>
            </w:r>
          </w:p>
        </w:tc>
        <w:tc>
          <w:tcPr>
            <w:tcW w:w="2001" w:type="dxa"/>
            <w:tcBorders>
              <w:top w:val="single" w:sz="8" w:space="0" w:color="000000"/>
              <w:left w:val="single" w:sz="8" w:space="0" w:color="000000"/>
              <w:bottom w:val="single" w:sz="6" w:space="0" w:color="000000"/>
              <w:right w:val="single" w:sz="8" w:space="0" w:color="000000"/>
            </w:tcBorders>
            <w:vAlign w:val="center"/>
          </w:tcPr>
          <w:p w14:paraId="6D9B4601" w14:textId="77777777" w:rsidR="004C06C5" w:rsidRDefault="00ED474B">
            <w:pPr>
              <w:pStyle w:val="biaogecenter"/>
              <w:rPr>
                <w:rFonts w:hAnsi="Calibri"/>
                <w:color w:val="000000"/>
              </w:rPr>
            </w:pPr>
            <w:r>
              <w:rPr>
                <w:rFonts w:hAnsi="Calibri" w:hint="eastAsia"/>
                <w:color w:val="000000"/>
              </w:rPr>
              <w:t>4.28</w:t>
            </w:r>
          </w:p>
        </w:tc>
      </w:tr>
      <w:tr w:rsidR="004C06C5" w14:paraId="0710424A" w14:textId="77777777">
        <w:tc>
          <w:tcPr>
            <w:tcW w:w="709" w:type="dxa"/>
            <w:tcBorders>
              <w:top w:val="single" w:sz="8" w:space="0" w:color="000000"/>
              <w:left w:val="single" w:sz="8" w:space="0" w:color="000000"/>
              <w:bottom w:val="single" w:sz="6" w:space="0" w:color="000000"/>
              <w:right w:val="single" w:sz="8" w:space="0" w:color="000000"/>
            </w:tcBorders>
            <w:vAlign w:val="center"/>
          </w:tcPr>
          <w:p w14:paraId="4E6D2D1D" w14:textId="77777777" w:rsidR="004C06C5" w:rsidRDefault="00ED474B">
            <w:pPr>
              <w:pStyle w:val="biaogecenter"/>
              <w:wordWrap w:val="0"/>
              <w:rPr>
                <w:rFonts w:hAnsi="Calibri"/>
                <w:color w:val="000000"/>
              </w:rPr>
            </w:pPr>
            <w:r>
              <w:rPr>
                <w:rFonts w:hAnsi="Calibri" w:hint="eastAsia"/>
                <w:color w:val="000000"/>
              </w:rPr>
              <w:t>5</w:t>
            </w:r>
          </w:p>
        </w:tc>
        <w:tc>
          <w:tcPr>
            <w:tcW w:w="1418" w:type="dxa"/>
            <w:tcBorders>
              <w:top w:val="single" w:sz="8" w:space="0" w:color="000000"/>
              <w:left w:val="single" w:sz="8" w:space="0" w:color="000000"/>
              <w:bottom w:val="single" w:sz="6" w:space="0" w:color="000000"/>
              <w:right w:val="single" w:sz="8" w:space="0" w:color="000000"/>
            </w:tcBorders>
            <w:vAlign w:val="center"/>
          </w:tcPr>
          <w:p w14:paraId="4D689710" w14:textId="77777777" w:rsidR="004C06C5" w:rsidRDefault="00ED474B">
            <w:pPr>
              <w:pStyle w:val="biaogecenter"/>
              <w:rPr>
                <w:rFonts w:hAnsi="Calibri"/>
                <w:color w:val="000000"/>
              </w:rPr>
            </w:pPr>
            <w:r>
              <w:rPr>
                <w:rFonts w:hAnsi="Calibri" w:hint="eastAsia"/>
                <w:color w:val="000000"/>
              </w:rPr>
              <w:t>190304</w:t>
            </w:r>
          </w:p>
        </w:tc>
        <w:tc>
          <w:tcPr>
            <w:tcW w:w="1331" w:type="dxa"/>
            <w:tcBorders>
              <w:top w:val="single" w:sz="8" w:space="0" w:color="000000"/>
              <w:left w:val="single" w:sz="8" w:space="0" w:color="000000"/>
              <w:bottom w:val="single" w:sz="6" w:space="0" w:color="000000"/>
              <w:right w:val="single" w:sz="8" w:space="0" w:color="000000"/>
            </w:tcBorders>
            <w:vAlign w:val="center"/>
          </w:tcPr>
          <w:p w14:paraId="40781F5F" w14:textId="77777777" w:rsidR="004C06C5" w:rsidRDefault="00ED474B">
            <w:pPr>
              <w:pStyle w:val="biaogecenter"/>
              <w:rPr>
                <w:rFonts w:hAnsi="Calibri"/>
                <w:color w:val="000000"/>
              </w:rPr>
            </w:pPr>
            <w:r>
              <w:rPr>
                <w:rFonts w:hAnsi="Calibri" w:hint="eastAsia"/>
                <w:color w:val="000000"/>
              </w:rPr>
              <w:t>19进出04</w:t>
            </w:r>
          </w:p>
        </w:tc>
        <w:tc>
          <w:tcPr>
            <w:tcW w:w="1347" w:type="dxa"/>
            <w:tcBorders>
              <w:top w:val="single" w:sz="8" w:space="0" w:color="000000"/>
              <w:left w:val="single" w:sz="8" w:space="0" w:color="000000"/>
              <w:bottom w:val="single" w:sz="6" w:space="0" w:color="000000"/>
              <w:right w:val="single" w:sz="8" w:space="0" w:color="000000"/>
            </w:tcBorders>
            <w:vAlign w:val="center"/>
          </w:tcPr>
          <w:p w14:paraId="5B586231" w14:textId="77777777" w:rsidR="004C06C5" w:rsidRDefault="00ED474B">
            <w:pPr>
              <w:pStyle w:val="biaogecenter"/>
              <w:rPr>
                <w:rFonts w:hAnsi="Calibri"/>
                <w:color w:val="000000"/>
              </w:rPr>
            </w:pPr>
            <w:r>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tcPr>
          <w:p w14:paraId="68BBD41B" w14:textId="77777777" w:rsidR="004C06C5" w:rsidRDefault="00ED474B">
            <w:pPr>
              <w:pStyle w:val="biaogecenter"/>
              <w:rPr>
                <w:rFonts w:hAnsi="Calibri"/>
                <w:color w:val="000000"/>
              </w:rPr>
            </w:pPr>
            <w:r>
              <w:rPr>
                <w:rFonts w:hAnsi="Calibri" w:hint="eastAsia"/>
                <w:color w:val="000000"/>
              </w:rPr>
              <w:t>130,221,000.00</w:t>
            </w:r>
          </w:p>
        </w:tc>
        <w:tc>
          <w:tcPr>
            <w:tcW w:w="2001" w:type="dxa"/>
            <w:tcBorders>
              <w:top w:val="single" w:sz="8" w:space="0" w:color="000000"/>
              <w:left w:val="single" w:sz="8" w:space="0" w:color="000000"/>
              <w:bottom w:val="single" w:sz="6" w:space="0" w:color="000000"/>
              <w:right w:val="single" w:sz="8" w:space="0" w:color="000000"/>
            </w:tcBorders>
            <w:vAlign w:val="center"/>
          </w:tcPr>
          <w:p w14:paraId="08C4F5A4" w14:textId="77777777" w:rsidR="004C06C5" w:rsidRDefault="00ED474B">
            <w:pPr>
              <w:pStyle w:val="biaogecenter"/>
              <w:rPr>
                <w:rFonts w:hAnsi="Calibri"/>
                <w:color w:val="000000"/>
              </w:rPr>
            </w:pPr>
            <w:r>
              <w:rPr>
                <w:rFonts w:hAnsi="Calibri" w:hint="eastAsia"/>
                <w:color w:val="000000"/>
              </w:rPr>
              <w:t>4.24</w:t>
            </w:r>
          </w:p>
        </w:tc>
      </w:tr>
    </w:tbl>
    <w:p w14:paraId="15CBBCB8" w14:textId="77777777" w:rsidR="004C06C5" w:rsidRDefault="004C06C5">
      <w:pPr>
        <w:pStyle w:val="zhangjiep2"/>
        <w:spacing w:line="360" w:lineRule="auto"/>
        <w:rPr>
          <w:bCs/>
          <w:sz w:val="21"/>
          <w:szCs w:val="21"/>
        </w:rPr>
      </w:pPr>
    </w:p>
    <w:p w14:paraId="44139C49" w14:textId="77777777" w:rsidR="004C06C5" w:rsidRDefault="00ED474B">
      <w:pPr>
        <w:pStyle w:val="zhangjiep2"/>
        <w:spacing w:line="360" w:lineRule="auto"/>
        <w:rPr>
          <w:bCs/>
          <w:sz w:val="21"/>
          <w:szCs w:val="21"/>
        </w:rPr>
      </w:pPr>
      <w:r>
        <w:rPr>
          <w:rFonts w:hint="eastAsia"/>
          <w:bCs/>
          <w:sz w:val="21"/>
          <w:szCs w:val="21"/>
        </w:rPr>
        <w:t>6、报告期末按公允价值占基金资产净值比例大小排序的前十名资产支持证券投资明细</w:t>
      </w:r>
    </w:p>
    <w:p w14:paraId="3F5F7443" w14:textId="77777777" w:rsidR="004C06C5" w:rsidRDefault="00ED474B">
      <w:pPr>
        <w:pStyle w:val="zhangjiep2"/>
        <w:spacing w:line="360" w:lineRule="auto"/>
        <w:ind w:firstLineChars="200" w:firstLine="480"/>
        <w:rPr>
          <w:bCs/>
          <w:sz w:val="21"/>
          <w:szCs w:val="21"/>
        </w:rPr>
      </w:pPr>
      <w:r>
        <w:rPr>
          <w:rFonts w:hint="eastAsia"/>
        </w:rPr>
        <w:t>本基金本报告期末未持有资产支持证券。</w:t>
      </w:r>
    </w:p>
    <w:p w14:paraId="4BFBFCB7" w14:textId="77777777" w:rsidR="004C06C5" w:rsidRDefault="00ED474B">
      <w:pPr>
        <w:pStyle w:val="zhangjiep2"/>
        <w:spacing w:line="360" w:lineRule="auto"/>
        <w:rPr>
          <w:bCs/>
          <w:sz w:val="21"/>
          <w:szCs w:val="21"/>
        </w:rPr>
      </w:pPr>
      <w:r>
        <w:rPr>
          <w:rFonts w:hint="eastAsia"/>
          <w:bCs/>
          <w:sz w:val="21"/>
          <w:szCs w:val="21"/>
        </w:rPr>
        <w:t>7、报告期末按公允价值占基金资产净值比例大小排序的前五名贵金属投资明细</w:t>
      </w:r>
    </w:p>
    <w:tbl>
      <w:tblPr>
        <w:tblW w:w="236" w:type="dxa"/>
        <w:tblInd w:w="108" w:type="dxa"/>
        <w:tblLayout w:type="fixed"/>
        <w:tblLook w:val="04A0" w:firstRow="1" w:lastRow="0" w:firstColumn="1" w:lastColumn="0" w:noHBand="0" w:noVBand="1"/>
      </w:tblPr>
      <w:tblGrid>
        <w:gridCol w:w="236"/>
      </w:tblGrid>
      <w:tr w:rsidR="004C06C5" w14:paraId="28FDA5B9" w14:textId="77777777">
        <w:tc>
          <w:tcPr>
            <w:tcW w:w="236" w:type="dxa"/>
            <w:vAlign w:val="center"/>
          </w:tcPr>
          <w:p w14:paraId="1D1AD22C" w14:textId="77777777" w:rsidR="004C06C5" w:rsidRDefault="004C06C5">
            <w:pPr>
              <w:pStyle w:val="zhangjiep2"/>
              <w:spacing w:line="360" w:lineRule="auto"/>
              <w:rPr>
                <w:bCs/>
                <w:sz w:val="21"/>
                <w:szCs w:val="21"/>
              </w:rPr>
            </w:pPr>
          </w:p>
        </w:tc>
      </w:tr>
    </w:tbl>
    <w:p w14:paraId="25CB657A" w14:textId="77777777" w:rsidR="004C06C5" w:rsidRDefault="00ED474B">
      <w:pPr>
        <w:pStyle w:val="zhangjiep2"/>
        <w:spacing w:line="360" w:lineRule="auto"/>
        <w:ind w:firstLineChars="200" w:firstLine="420"/>
        <w:rPr>
          <w:bCs/>
          <w:sz w:val="21"/>
          <w:szCs w:val="21"/>
        </w:rPr>
      </w:pPr>
      <w:r>
        <w:rPr>
          <w:rFonts w:hint="eastAsia"/>
          <w:bCs/>
          <w:sz w:val="21"/>
          <w:szCs w:val="21"/>
        </w:rPr>
        <w:lastRenderedPageBreak/>
        <w:t>本基金本报告期末未持有贵金属。</w:t>
      </w:r>
    </w:p>
    <w:p w14:paraId="0700C6CD" w14:textId="77777777" w:rsidR="004C06C5" w:rsidRDefault="00ED474B">
      <w:pPr>
        <w:pStyle w:val="zhangjiep2"/>
        <w:spacing w:line="360" w:lineRule="auto"/>
        <w:rPr>
          <w:bCs/>
          <w:sz w:val="21"/>
          <w:szCs w:val="21"/>
        </w:rPr>
      </w:pPr>
      <w:r>
        <w:rPr>
          <w:rFonts w:hint="eastAsia"/>
          <w:bCs/>
          <w:sz w:val="21"/>
          <w:szCs w:val="21"/>
        </w:rPr>
        <w:t>8、报告期末按公允价值占基金资产净值比例大小排序的前五名权证投资明细</w:t>
      </w:r>
    </w:p>
    <w:p w14:paraId="43D752E8" w14:textId="77777777" w:rsidR="004C06C5" w:rsidRDefault="00ED474B">
      <w:pPr>
        <w:pStyle w:val="zhangjiep2"/>
        <w:spacing w:line="360" w:lineRule="auto"/>
        <w:ind w:firstLineChars="200" w:firstLine="420"/>
        <w:rPr>
          <w:bCs/>
          <w:sz w:val="21"/>
          <w:szCs w:val="21"/>
        </w:rPr>
      </w:pPr>
      <w:r>
        <w:rPr>
          <w:rFonts w:hint="eastAsia"/>
          <w:bCs/>
          <w:sz w:val="21"/>
          <w:szCs w:val="21"/>
        </w:rPr>
        <w:t>本基金本报告期末未持有权证。</w:t>
      </w:r>
    </w:p>
    <w:p w14:paraId="36945D1B" w14:textId="77777777" w:rsidR="004C06C5" w:rsidRDefault="00ED474B">
      <w:pPr>
        <w:pStyle w:val="zhangjiep2"/>
        <w:spacing w:line="360" w:lineRule="auto"/>
        <w:rPr>
          <w:bCs/>
          <w:sz w:val="21"/>
          <w:szCs w:val="21"/>
        </w:rPr>
      </w:pPr>
      <w:r>
        <w:rPr>
          <w:rFonts w:hint="eastAsia"/>
          <w:bCs/>
          <w:sz w:val="21"/>
          <w:szCs w:val="21"/>
        </w:rPr>
        <w:t>9、报告期末本基金投资的股指期货交易情况说明</w:t>
      </w:r>
    </w:p>
    <w:p w14:paraId="74C4B1F1" w14:textId="77777777" w:rsidR="004C06C5" w:rsidRDefault="00ED474B">
      <w:pPr>
        <w:pStyle w:val="zhangjiep2"/>
        <w:spacing w:line="360" w:lineRule="auto"/>
        <w:rPr>
          <w:bCs/>
          <w:sz w:val="21"/>
          <w:szCs w:val="21"/>
        </w:rPr>
      </w:pPr>
      <w:r>
        <w:rPr>
          <w:rFonts w:hint="eastAsia"/>
          <w:bCs/>
          <w:sz w:val="21"/>
          <w:szCs w:val="21"/>
        </w:rPr>
        <w:t>（1）报告期末本基金投资的股指期货持仓和损益明细</w:t>
      </w:r>
    </w:p>
    <w:p w14:paraId="38EB6249" w14:textId="77777777" w:rsidR="004C06C5" w:rsidRDefault="00ED474B">
      <w:pPr>
        <w:pStyle w:val="zhangjiep2"/>
        <w:spacing w:line="360" w:lineRule="auto"/>
        <w:ind w:firstLineChars="200" w:firstLine="420"/>
        <w:rPr>
          <w:bCs/>
          <w:sz w:val="21"/>
          <w:szCs w:val="21"/>
        </w:rPr>
      </w:pPr>
      <w:r>
        <w:rPr>
          <w:rFonts w:hint="eastAsia"/>
          <w:bCs/>
          <w:sz w:val="21"/>
          <w:szCs w:val="21"/>
        </w:rPr>
        <w:t>本基金报告期末未投资股指期货。</w:t>
      </w:r>
    </w:p>
    <w:p w14:paraId="39266E8D" w14:textId="77777777" w:rsidR="004C06C5" w:rsidRDefault="00ED474B">
      <w:pPr>
        <w:pStyle w:val="zhangjiep2"/>
        <w:spacing w:line="360" w:lineRule="auto"/>
        <w:rPr>
          <w:bCs/>
          <w:sz w:val="21"/>
          <w:szCs w:val="21"/>
        </w:rPr>
      </w:pPr>
      <w:r>
        <w:rPr>
          <w:rFonts w:hint="eastAsia"/>
          <w:bCs/>
          <w:sz w:val="21"/>
          <w:szCs w:val="21"/>
        </w:rPr>
        <w:t>（2）本基金投资股指期货的投资政策</w:t>
      </w:r>
    </w:p>
    <w:p w14:paraId="126BDD82" w14:textId="77777777" w:rsidR="004C06C5" w:rsidRDefault="00ED474B">
      <w:pPr>
        <w:pStyle w:val="zhangjiep2"/>
        <w:spacing w:line="360" w:lineRule="auto"/>
        <w:ind w:firstLineChars="200" w:firstLine="420"/>
        <w:rPr>
          <w:bCs/>
          <w:sz w:val="21"/>
          <w:szCs w:val="21"/>
        </w:rPr>
      </w:pPr>
      <w:r>
        <w:rPr>
          <w:rFonts w:hint="eastAsia"/>
          <w:bCs/>
          <w:sz w:val="21"/>
          <w:szCs w:val="21"/>
        </w:rPr>
        <w:t>本基金报告期末未投资股指期货。</w:t>
      </w:r>
    </w:p>
    <w:p w14:paraId="4F1D863D" w14:textId="77777777" w:rsidR="004C06C5" w:rsidRDefault="00ED474B">
      <w:pPr>
        <w:pStyle w:val="zhangjiep2"/>
        <w:spacing w:line="360" w:lineRule="auto"/>
        <w:rPr>
          <w:bCs/>
          <w:sz w:val="21"/>
          <w:szCs w:val="21"/>
        </w:rPr>
      </w:pPr>
      <w:r>
        <w:rPr>
          <w:rFonts w:hint="eastAsia"/>
          <w:bCs/>
          <w:sz w:val="21"/>
          <w:szCs w:val="21"/>
        </w:rPr>
        <w:t>10、报告期末本基金投资的国债期货交易情况说明</w:t>
      </w:r>
    </w:p>
    <w:p w14:paraId="3AB3ACF9" w14:textId="77777777" w:rsidR="004C06C5" w:rsidRDefault="00ED474B">
      <w:pPr>
        <w:pStyle w:val="zhangjiep2"/>
        <w:spacing w:line="360" w:lineRule="auto"/>
        <w:rPr>
          <w:bCs/>
          <w:sz w:val="21"/>
          <w:szCs w:val="21"/>
        </w:rPr>
      </w:pPr>
      <w:r>
        <w:rPr>
          <w:rFonts w:hint="eastAsia"/>
          <w:bCs/>
          <w:sz w:val="21"/>
          <w:szCs w:val="21"/>
        </w:rPr>
        <w:t>（1）本期国债期货投资政策</w:t>
      </w:r>
    </w:p>
    <w:p w14:paraId="19FFABFE" w14:textId="77777777" w:rsidR="004C06C5" w:rsidRDefault="00ED474B">
      <w:pPr>
        <w:pStyle w:val="zhangjiep2"/>
        <w:spacing w:line="360" w:lineRule="auto"/>
        <w:ind w:firstLineChars="200" w:firstLine="420"/>
        <w:rPr>
          <w:bCs/>
          <w:sz w:val="21"/>
          <w:szCs w:val="21"/>
        </w:rPr>
      </w:pPr>
      <w:r>
        <w:rPr>
          <w:rFonts w:hint="eastAsia"/>
          <w:bCs/>
          <w:sz w:val="21"/>
          <w:szCs w:val="21"/>
        </w:rPr>
        <w:t>本基金报告期末未投资国债期货。</w:t>
      </w:r>
    </w:p>
    <w:p w14:paraId="0075F975" w14:textId="77777777" w:rsidR="004C06C5" w:rsidRDefault="00ED474B">
      <w:pPr>
        <w:pStyle w:val="zhangjiep2"/>
        <w:spacing w:line="360" w:lineRule="auto"/>
        <w:rPr>
          <w:bCs/>
          <w:sz w:val="21"/>
          <w:szCs w:val="21"/>
        </w:rPr>
      </w:pPr>
      <w:r>
        <w:rPr>
          <w:rFonts w:hint="eastAsia"/>
          <w:bCs/>
          <w:sz w:val="21"/>
          <w:szCs w:val="21"/>
        </w:rPr>
        <w:t>（2）报告期末本基金投资的国债期货持仓和损益明细</w:t>
      </w:r>
    </w:p>
    <w:p w14:paraId="48EFAA3C" w14:textId="77777777" w:rsidR="004C06C5" w:rsidRDefault="00ED474B">
      <w:pPr>
        <w:pStyle w:val="zhangjiep2"/>
        <w:spacing w:line="360" w:lineRule="auto"/>
        <w:ind w:firstLineChars="200" w:firstLine="420"/>
        <w:rPr>
          <w:bCs/>
          <w:sz w:val="21"/>
          <w:szCs w:val="21"/>
        </w:rPr>
      </w:pPr>
      <w:r>
        <w:rPr>
          <w:rFonts w:hint="eastAsia"/>
          <w:bCs/>
          <w:sz w:val="21"/>
          <w:szCs w:val="21"/>
        </w:rPr>
        <w:t>本期报告期末未投资国债期货。</w:t>
      </w:r>
    </w:p>
    <w:p w14:paraId="2D62AA7F" w14:textId="77777777" w:rsidR="004C06C5" w:rsidRDefault="00ED474B">
      <w:pPr>
        <w:pStyle w:val="zhangjiep2"/>
        <w:spacing w:line="360" w:lineRule="auto"/>
        <w:rPr>
          <w:bCs/>
          <w:sz w:val="21"/>
          <w:szCs w:val="21"/>
        </w:rPr>
      </w:pPr>
      <w:r>
        <w:rPr>
          <w:rFonts w:hint="eastAsia"/>
          <w:bCs/>
          <w:sz w:val="21"/>
          <w:szCs w:val="21"/>
        </w:rPr>
        <w:t>（3）本期国债期货投资评价</w:t>
      </w:r>
    </w:p>
    <w:p w14:paraId="3D33A241" w14:textId="77777777" w:rsidR="004C06C5" w:rsidRDefault="00ED474B">
      <w:pPr>
        <w:pStyle w:val="zhangjiep2"/>
        <w:spacing w:line="360" w:lineRule="auto"/>
        <w:ind w:firstLineChars="200" w:firstLine="420"/>
        <w:rPr>
          <w:bCs/>
          <w:sz w:val="21"/>
          <w:szCs w:val="21"/>
        </w:rPr>
      </w:pPr>
      <w:r>
        <w:rPr>
          <w:rFonts w:hint="eastAsia"/>
          <w:bCs/>
          <w:sz w:val="21"/>
          <w:szCs w:val="21"/>
        </w:rPr>
        <w:t>本基金报告期末未投资国债期货。</w:t>
      </w:r>
    </w:p>
    <w:p w14:paraId="00E46279" w14:textId="77777777" w:rsidR="004C06C5" w:rsidRDefault="00ED474B">
      <w:pPr>
        <w:pStyle w:val="zhangjiep2"/>
        <w:spacing w:line="360" w:lineRule="auto"/>
        <w:rPr>
          <w:bCs/>
          <w:sz w:val="21"/>
          <w:szCs w:val="21"/>
        </w:rPr>
      </w:pPr>
      <w:r>
        <w:rPr>
          <w:rFonts w:hint="eastAsia"/>
          <w:bCs/>
          <w:sz w:val="21"/>
          <w:szCs w:val="21"/>
        </w:rPr>
        <w:t xml:space="preserve">11、 投资组合报告附注 </w:t>
      </w:r>
    </w:p>
    <w:p w14:paraId="54A25AAD" w14:textId="77777777" w:rsidR="004C06C5" w:rsidRDefault="00ED474B">
      <w:pPr>
        <w:pStyle w:val="zhangjiep2"/>
        <w:spacing w:line="360" w:lineRule="auto"/>
        <w:rPr>
          <w:bCs/>
          <w:sz w:val="21"/>
          <w:szCs w:val="21"/>
        </w:rPr>
      </w:pPr>
      <w:r>
        <w:rPr>
          <w:rFonts w:hint="eastAsia"/>
          <w:bCs/>
          <w:sz w:val="21"/>
          <w:szCs w:val="21"/>
        </w:rPr>
        <w:t>（1）本基金本报告期投资的前十名证券的发行主体，本报告期没有出现被监管部门立案调查的情形，也没有出现在报告编制日前一年内受到公开谴责、处罚的情形。</w:t>
      </w:r>
    </w:p>
    <w:p w14:paraId="737D8AD1" w14:textId="77777777" w:rsidR="004C06C5" w:rsidRDefault="00ED474B">
      <w:pPr>
        <w:pStyle w:val="zhangjiep2"/>
        <w:spacing w:line="360" w:lineRule="auto"/>
        <w:rPr>
          <w:bCs/>
          <w:sz w:val="21"/>
          <w:szCs w:val="21"/>
        </w:rPr>
      </w:pPr>
      <w:r>
        <w:rPr>
          <w:rFonts w:hint="eastAsia"/>
          <w:bCs/>
          <w:sz w:val="21"/>
          <w:szCs w:val="21"/>
        </w:rPr>
        <w:t>（2）本基金本报告期未投资股票。</w:t>
      </w:r>
    </w:p>
    <w:p w14:paraId="324375C7" w14:textId="77777777" w:rsidR="004C06C5" w:rsidRDefault="00ED474B">
      <w:pPr>
        <w:pStyle w:val="zhangjiep2"/>
        <w:spacing w:line="360" w:lineRule="auto"/>
        <w:rPr>
          <w:bCs/>
          <w:sz w:val="21"/>
          <w:szCs w:val="21"/>
        </w:rPr>
      </w:pPr>
      <w:r>
        <w:rPr>
          <w:rFonts w:hint="eastAsia"/>
          <w:bCs/>
          <w:sz w:val="21"/>
          <w:szCs w:val="21"/>
        </w:rPr>
        <w:t>（3）其他资产构成</w:t>
      </w:r>
    </w:p>
    <w:tbl>
      <w:tblPr>
        <w:tblW w:w="8414" w:type="dxa"/>
        <w:tblInd w:w="108" w:type="dxa"/>
        <w:tblLayout w:type="fixed"/>
        <w:tblLook w:val="04A0" w:firstRow="1" w:lastRow="0" w:firstColumn="1" w:lastColumn="0" w:noHBand="0" w:noVBand="1"/>
      </w:tblPr>
      <w:tblGrid>
        <w:gridCol w:w="1207"/>
        <w:gridCol w:w="3433"/>
        <w:gridCol w:w="3774"/>
      </w:tblGrid>
      <w:tr w:rsidR="004C06C5" w14:paraId="0EDE36F7"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610A24E3" w14:textId="77777777" w:rsidR="004C06C5" w:rsidRDefault="00ED474B">
            <w:pPr>
              <w:pStyle w:val="biaogecenter"/>
              <w:wordWrap w:val="0"/>
              <w:rPr>
                <w:rFonts w:hAnsi="Calibri"/>
                <w:color w:val="000000"/>
              </w:rPr>
            </w:pPr>
            <w:r>
              <w:rPr>
                <w:rFonts w:hAnsi="Calibri" w:hint="eastAsia"/>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tcPr>
          <w:p w14:paraId="5D36113F" w14:textId="77777777" w:rsidR="004C06C5" w:rsidRDefault="00ED474B">
            <w:pPr>
              <w:pStyle w:val="biaogecenter"/>
              <w:wordWrap w:val="0"/>
            </w:pPr>
            <w:r>
              <w:rPr>
                <w:rFonts w:hint="eastAsia"/>
              </w:rPr>
              <w:t>名称</w:t>
            </w:r>
          </w:p>
        </w:tc>
        <w:tc>
          <w:tcPr>
            <w:tcW w:w="3774" w:type="dxa"/>
            <w:tcBorders>
              <w:top w:val="single" w:sz="8" w:space="0" w:color="000000"/>
              <w:left w:val="single" w:sz="8" w:space="0" w:color="000000"/>
              <w:bottom w:val="single" w:sz="6" w:space="0" w:color="000000"/>
              <w:right w:val="single" w:sz="8" w:space="0" w:color="000000"/>
            </w:tcBorders>
            <w:vAlign w:val="center"/>
          </w:tcPr>
          <w:p w14:paraId="7E409698" w14:textId="77777777" w:rsidR="004C06C5" w:rsidRDefault="00ED474B">
            <w:pPr>
              <w:pStyle w:val="biaogecenter"/>
              <w:wordWrap w:val="0"/>
            </w:pPr>
            <w:r>
              <w:rPr>
                <w:rFonts w:hint="eastAsia"/>
              </w:rPr>
              <w:t>金额(元)</w:t>
            </w:r>
          </w:p>
        </w:tc>
      </w:tr>
      <w:tr w:rsidR="004C06C5" w14:paraId="3C9571CD"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7DEF4B03" w14:textId="77777777" w:rsidR="004C06C5" w:rsidRDefault="00ED474B">
            <w:pPr>
              <w:pStyle w:val="biaogecenter"/>
              <w:wordWrap w:val="0"/>
              <w:rPr>
                <w:rFonts w:hAnsi="Calibri"/>
                <w:color w:val="000000"/>
              </w:rPr>
            </w:pPr>
            <w:r>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tcPr>
          <w:p w14:paraId="601DB583" w14:textId="77777777" w:rsidR="004C06C5" w:rsidRDefault="00ED474B">
            <w:pPr>
              <w:pStyle w:val="biaogecenter"/>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tcPr>
          <w:p w14:paraId="6EC95381" w14:textId="77777777" w:rsidR="004C06C5" w:rsidRDefault="00ED474B">
            <w:pPr>
              <w:pStyle w:val="biaogecenter"/>
              <w:ind w:left="0"/>
              <w:jc w:val="right"/>
            </w:pPr>
            <w:r>
              <w:rPr>
                <w:rFonts w:hint="eastAsia"/>
              </w:rPr>
              <w:t>-</w:t>
            </w:r>
          </w:p>
        </w:tc>
      </w:tr>
      <w:tr w:rsidR="004C06C5" w14:paraId="586ECE6E"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4C3B9BB7" w14:textId="77777777" w:rsidR="004C06C5" w:rsidRDefault="00ED474B">
            <w:pPr>
              <w:pStyle w:val="biaogecenter"/>
              <w:wordWrap w:val="0"/>
              <w:rPr>
                <w:rFonts w:hAnsi="Calibri"/>
                <w:color w:val="000000"/>
              </w:rPr>
            </w:pPr>
            <w:r>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tcPr>
          <w:p w14:paraId="25D197F2" w14:textId="77777777" w:rsidR="004C06C5" w:rsidRDefault="00ED474B">
            <w:pPr>
              <w:pStyle w:val="biaogecenter"/>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tcPr>
          <w:p w14:paraId="74BED7EE" w14:textId="77777777" w:rsidR="004C06C5" w:rsidRDefault="00ED474B">
            <w:pPr>
              <w:pStyle w:val="biaogecenter"/>
              <w:ind w:left="0"/>
              <w:jc w:val="right"/>
            </w:pPr>
            <w:r>
              <w:rPr>
                <w:rFonts w:hint="eastAsia"/>
              </w:rPr>
              <w:t>-</w:t>
            </w:r>
          </w:p>
        </w:tc>
      </w:tr>
      <w:tr w:rsidR="004C06C5" w14:paraId="660D82A8"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2DF22D4D" w14:textId="77777777" w:rsidR="004C06C5" w:rsidRDefault="00ED474B">
            <w:pPr>
              <w:pStyle w:val="biaogecenter"/>
              <w:wordWrap w:val="0"/>
              <w:rPr>
                <w:rFonts w:hAnsi="Calibri"/>
                <w:color w:val="000000"/>
              </w:rPr>
            </w:pPr>
            <w:r>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tcPr>
          <w:p w14:paraId="3EC0A68F" w14:textId="77777777" w:rsidR="004C06C5" w:rsidRDefault="00ED474B">
            <w:pPr>
              <w:pStyle w:val="biaogecenter"/>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tcPr>
          <w:p w14:paraId="7FC28FA4" w14:textId="77777777" w:rsidR="004C06C5" w:rsidRDefault="00ED474B">
            <w:pPr>
              <w:pStyle w:val="biaogecenter"/>
              <w:ind w:left="0"/>
              <w:jc w:val="right"/>
            </w:pPr>
            <w:r>
              <w:rPr>
                <w:rFonts w:hint="eastAsia"/>
              </w:rPr>
              <w:t>-</w:t>
            </w:r>
          </w:p>
        </w:tc>
      </w:tr>
      <w:tr w:rsidR="004C06C5" w14:paraId="730B8AAE"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2F5A5F71" w14:textId="77777777" w:rsidR="004C06C5" w:rsidRDefault="00ED474B">
            <w:pPr>
              <w:pStyle w:val="biaogecenter"/>
              <w:wordWrap w:val="0"/>
              <w:rPr>
                <w:rFonts w:hAnsi="Calibri"/>
                <w:color w:val="000000"/>
              </w:rPr>
            </w:pPr>
            <w:r>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tcPr>
          <w:p w14:paraId="390C47EB" w14:textId="77777777" w:rsidR="004C06C5" w:rsidRDefault="00ED474B">
            <w:pPr>
              <w:pStyle w:val="biaogecenter"/>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tcPr>
          <w:p w14:paraId="272FE25B" w14:textId="77777777" w:rsidR="004C06C5" w:rsidRDefault="00ED474B">
            <w:pPr>
              <w:pStyle w:val="biaogecenter"/>
              <w:ind w:left="0"/>
              <w:jc w:val="right"/>
            </w:pPr>
            <w:r>
              <w:rPr>
                <w:rFonts w:hint="eastAsia"/>
              </w:rPr>
              <w:t>56,006,637.79</w:t>
            </w:r>
          </w:p>
        </w:tc>
      </w:tr>
      <w:tr w:rsidR="004C06C5" w14:paraId="4C1E5337"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1CD43C4F" w14:textId="77777777" w:rsidR="004C06C5" w:rsidRDefault="00ED474B">
            <w:pPr>
              <w:pStyle w:val="biaogecenter"/>
              <w:wordWrap w:val="0"/>
              <w:rPr>
                <w:rFonts w:hAnsi="Calibri"/>
                <w:color w:val="000000"/>
              </w:rPr>
            </w:pPr>
            <w:r>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tcPr>
          <w:p w14:paraId="151A695C" w14:textId="77777777" w:rsidR="004C06C5" w:rsidRDefault="00ED474B">
            <w:pPr>
              <w:pStyle w:val="biaogecenter"/>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tcPr>
          <w:p w14:paraId="3148ACEA" w14:textId="77777777" w:rsidR="004C06C5" w:rsidRDefault="00ED474B">
            <w:pPr>
              <w:pStyle w:val="biaogecenter"/>
              <w:ind w:left="0"/>
              <w:jc w:val="right"/>
            </w:pPr>
            <w:r>
              <w:rPr>
                <w:rFonts w:hint="eastAsia"/>
              </w:rPr>
              <w:t>-</w:t>
            </w:r>
          </w:p>
        </w:tc>
      </w:tr>
      <w:tr w:rsidR="004C06C5" w14:paraId="578B2A2E"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426B4663" w14:textId="77777777" w:rsidR="004C06C5" w:rsidRDefault="00ED474B">
            <w:pPr>
              <w:pStyle w:val="biaogecenter"/>
              <w:wordWrap w:val="0"/>
              <w:rPr>
                <w:rFonts w:hAnsi="Calibri"/>
                <w:color w:val="000000"/>
              </w:rPr>
            </w:pPr>
            <w:r>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tcPr>
          <w:p w14:paraId="287822E7" w14:textId="77777777" w:rsidR="004C06C5" w:rsidRDefault="00ED474B">
            <w:pPr>
              <w:pStyle w:val="biaogecenter"/>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tcPr>
          <w:p w14:paraId="23DFB0B7" w14:textId="77777777" w:rsidR="004C06C5" w:rsidRDefault="00ED474B">
            <w:pPr>
              <w:pStyle w:val="biaogecenter"/>
              <w:ind w:left="0"/>
              <w:jc w:val="right"/>
            </w:pPr>
            <w:r>
              <w:rPr>
                <w:rFonts w:hint="eastAsia"/>
              </w:rPr>
              <w:t>-</w:t>
            </w:r>
          </w:p>
        </w:tc>
      </w:tr>
      <w:tr w:rsidR="004C06C5" w14:paraId="0D4E5BDF"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10DE0E6A" w14:textId="77777777" w:rsidR="004C06C5" w:rsidRDefault="00ED474B">
            <w:pPr>
              <w:pStyle w:val="biaogecenter"/>
              <w:wordWrap w:val="0"/>
              <w:rPr>
                <w:rFonts w:hAnsi="Calibri"/>
                <w:color w:val="000000"/>
              </w:rPr>
            </w:pPr>
            <w:r>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tcPr>
          <w:p w14:paraId="31DBBAF8" w14:textId="77777777" w:rsidR="004C06C5" w:rsidRDefault="00ED474B">
            <w:pPr>
              <w:pStyle w:val="biaogecenter"/>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tcPr>
          <w:p w14:paraId="55A09A5A" w14:textId="77777777" w:rsidR="004C06C5" w:rsidRDefault="00ED474B">
            <w:pPr>
              <w:pStyle w:val="biaogecenter"/>
              <w:ind w:left="0"/>
              <w:jc w:val="right"/>
            </w:pPr>
            <w:r>
              <w:rPr>
                <w:rFonts w:hint="eastAsia"/>
              </w:rPr>
              <w:t>-</w:t>
            </w:r>
          </w:p>
        </w:tc>
      </w:tr>
      <w:tr w:rsidR="004C06C5" w14:paraId="5825B2BF"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12272014" w14:textId="77777777" w:rsidR="004C06C5" w:rsidRDefault="00ED474B">
            <w:pPr>
              <w:pStyle w:val="biaogecenter"/>
              <w:wordWrap w:val="0"/>
              <w:rPr>
                <w:rFonts w:hAnsi="Calibri"/>
                <w:color w:val="000000"/>
              </w:rPr>
            </w:pPr>
            <w:r>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tcPr>
          <w:p w14:paraId="02065D3C" w14:textId="77777777" w:rsidR="004C06C5" w:rsidRDefault="00ED474B">
            <w:pPr>
              <w:pStyle w:val="biaogecenter"/>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tcPr>
          <w:p w14:paraId="49338297" w14:textId="77777777" w:rsidR="004C06C5" w:rsidRDefault="00ED474B">
            <w:pPr>
              <w:pStyle w:val="biaogecenter"/>
              <w:ind w:left="0"/>
              <w:jc w:val="right"/>
            </w:pPr>
            <w:r>
              <w:rPr>
                <w:rFonts w:hint="eastAsia"/>
              </w:rPr>
              <w:t>56,006,637.79</w:t>
            </w:r>
          </w:p>
        </w:tc>
      </w:tr>
    </w:tbl>
    <w:p w14:paraId="39473CB4" w14:textId="77777777" w:rsidR="004C06C5" w:rsidRDefault="004C06C5">
      <w:pPr>
        <w:widowControl/>
        <w:spacing w:line="360" w:lineRule="auto"/>
        <w:jc w:val="left"/>
        <w:rPr>
          <w:rFonts w:ascii="宋体" w:hAnsi="宋体" w:cs="宋体"/>
          <w:kern w:val="0"/>
          <w:szCs w:val="21"/>
        </w:rPr>
      </w:pPr>
    </w:p>
    <w:p w14:paraId="7CF08DC5" w14:textId="77777777" w:rsidR="004C06C5" w:rsidRDefault="00ED474B">
      <w:pPr>
        <w:pStyle w:val="zhangjiep2"/>
        <w:spacing w:line="360" w:lineRule="auto"/>
        <w:rPr>
          <w:sz w:val="21"/>
          <w:szCs w:val="21"/>
        </w:rPr>
      </w:pPr>
      <w:r>
        <w:rPr>
          <w:rFonts w:hint="eastAsia"/>
          <w:bCs/>
          <w:sz w:val="21"/>
          <w:szCs w:val="21"/>
        </w:rPr>
        <w:t>（4）报告期末持有的处于转股期的可转换债券明细</w:t>
      </w:r>
    </w:p>
    <w:p w14:paraId="337BAA3D" w14:textId="77777777" w:rsidR="004C06C5" w:rsidRDefault="00ED474B">
      <w:pPr>
        <w:pStyle w:val="zhangjiep2"/>
        <w:spacing w:line="360" w:lineRule="auto"/>
        <w:ind w:firstLineChars="200" w:firstLine="420"/>
        <w:rPr>
          <w:sz w:val="21"/>
          <w:szCs w:val="21"/>
        </w:rPr>
      </w:pPr>
      <w:r>
        <w:rPr>
          <w:rFonts w:hint="eastAsia"/>
          <w:sz w:val="21"/>
          <w:szCs w:val="21"/>
        </w:rPr>
        <w:t>本基金本报告期末未持有处于转股期的可转换债券。</w:t>
      </w:r>
    </w:p>
    <w:p w14:paraId="2A3EC0C0" w14:textId="77777777" w:rsidR="004C06C5" w:rsidRDefault="00ED474B">
      <w:pPr>
        <w:pStyle w:val="zhangjiep2"/>
        <w:spacing w:line="360" w:lineRule="auto"/>
        <w:rPr>
          <w:sz w:val="21"/>
          <w:szCs w:val="21"/>
        </w:rPr>
      </w:pPr>
      <w:r>
        <w:rPr>
          <w:rFonts w:hint="eastAsia"/>
          <w:bCs/>
          <w:sz w:val="21"/>
          <w:szCs w:val="21"/>
        </w:rPr>
        <w:lastRenderedPageBreak/>
        <w:t>（5）报告</w:t>
      </w:r>
      <w:proofErr w:type="gramStart"/>
      <w:r>
        <w:rPr>
          <w:rFonts w:hint="eastAsia"/>
          <w:bCs/>
          <w:sz w:val="21"/>
          <w:szCs w:val="21"/>
        </w:rPr>
        <w:t>期末前</w:t>
      </w:r>
      <w:proofErr w:type="gramEnd"/>
      <w:r>
        <w:rPr>
          <w:rFonts w:hint="eastAsia"/>
          <w:bCs/>
          <w:sz w:val="21"/>
          <w:szCs w:val="21"/>
        </w:rPr>
        <w:t>十名股票中存在流通受限情况的说明</w:t>
      </w:r>
    </w:p>
    <w:p w14:paraId="44755061" w14:textId="77777777" w:rsidR="004C06C5" w:rsidRDefault="00ED474B">
      <w:pPr>
        <w:pStyle w:val="zhangjiep2"/>
        <w:spacing w:line="360" w:lineRule="auto"/>
        <w:ind w:firstLineChars="200" w:firstLine="420"/>
        <w:rPr>
          <w:sz w:val="21"/>
          <w:szCs w:val="21"/>
        </w:rPr>
      </w:pPr>
      <w:r>
        <w:rPr>
          <w:rFonts w:hint="eastAsia"/>
          <w:sz w:val="21"/>
          <w:szCs w:val="21"/>
        </w:rPr>
        <w:t>本基金本报告期末未持有股票。</w:t>
      </w:r>
    </w:p>
    <w:p w14:paraId="63996FC7" w14:textId="77777777" w:rsidR="004C06C5" w:rsidRDefault="00ED474B">
      <w:pPr>
        <w:pStyle w:val="zhangjiep2"/>
        <w:spacing w:line="360" w:lineRule="auto"/>
        <w:rPr>
          <w:sz w:val="21"/>
          <w:szCs w:val="21"/>
        </w:rPr>
      </w:pPr>
      <w:r>
        <w:rPr>
          <w:rFonts w:hint="eastAsia"/>
          <w:bCs/>
          <w:sz w:val="21"/>
          <w:szCs w:val="21"/>
        </w:rPr>
        <w:t>（6）投资组合报告附注的其他文字描述部分</w:t>
      </w:r>
    </w:p>
    <w:p w14:paraId="10621DA2" w14:textId="77777777" w:rsidR="004C06C5" w:rsidRDefault="00ED474B">
      <w:pPr>
        <w:pStyle w:val="biaogeleft"/>
        <w:spacing w:line="360" w:lineRule="auto"/>
        <w:ind w:firstLine="480"/>
        <w:rPr>
          <w:sz w:val="21"/>
          <w:szCs w:val="21"/>
        </w:rPr>
      </w:pPr>
      <w:r>
        <w:rPr>
          <w:rFonts w:hint="eastAsia"/>
          <w:sz w:val="21"/>
          <w:szCs w:val="21"/>
        </w:rPr>
        <w:t>由于四舍五入原因，分项之和与合计可能有尾差。</w:t>
      </w:r>
    </w:p>
    <w:p w14:paraId="1F177864" w14:textId="77777777" w:rsidR="004C06C5" w:rsidRDefault="00ED474B">
      <w:pPr>
        <w:pStyle w:val="biaogeleft"/>
        <w:spacing w:line="360" w:lineRule="auto"/>
        <w:rPr>
          <w:sz w:val="21"/>
          <w:szCs w:val="21"/>
        </w:rPr>
      </w:pPr>
      <w:r>
        <w:rPr>
          <w:rFonts w:cs="Arial" w:hint="eastAsia"/>
          <w:b/>
          <w:bCs/>
          <w:szCs w:val="21"/>
        </w:rPr>
        <w:t>九、</w:t>
      </w:r>
      <w:r>
        <w:rPr>
          <w:rFonts w:cs="Arial" w:hint="eastAsia"/>
          <w:b/>
          <w:bCs/>
          <w:sz w:val="21"/>
          <w:szCs w:val="21"/>
        </w:rPr>
        <w:t>基金净值表现</w:t>
      </w:r>
    </w:p>
    <w:p w14:paraId="62725211" w14:textId="77777777" w:rsidR="004C06C5" w:rsidRDefault="00ED474B">
      <w:pPr>
        <w:pStyle w:val="zhangjiep2"/>
        <w:spacing w:line="360" w:lineRule="auto"/>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56C349CA" w14:textId="77777777" w:rsidR="004C06C5" w:rsidRDefault="00ED474B">
      <w:pPr>
        <w:spacing w:line="360" w:lineRule="auto"/>
        <w:rPr>
          <w:rFonts w:ascii="宋体" w:hAnsi="宋体"/>
          <w:bCs/>
          <w:szCs w:val="21"/>
        </w:rPr>
      </w:pPr>
      <w:r>
        <w:rPr>
          <w:rFonts w:ascii="宋体" w:hAnsi="宋体" w:hint="eastAsia"/>
          <w:bCs/>
          <w:szCs w:val="21"/>
        </w:rPr>
        <w:t>（1）</w:t>
      </w:r>
      <w:proofErr w:type="gramStart"/>
      <w:r>
        <w:rPr>
          <w:rFonts w:ascii="宋体" w:hAnsi="宋体" w:hint="eastAsia"/>
          <w:bCs/>
          <w:szCs w:val="21"/>
        </w:rPr>
        <w:t>富荣富乾</w:t>
      </w:r>
      <w:proofErr w:type="gramEnd"/>
      <w:r>
        <w:rPr>
          <w:rFonts w:ascii="宋体" w:hAnsi="宋体" w:hint="eastAsia"/>
          <w:bCs/>
          <w:szCs w:val="21"/>
        </w:rPr>
        <w:t>A（</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4792</w:t>
      </w:r>
      <w:r>
        <w:rPr>
          <w:rFonts w:ascii="宋体" w:hAnsi="宋体" w:hint="eastAsia"/>
          <w:bCs/>
          <w:szCs w:val="21"/>
        </w:rPr>
        <w:t>）</w:t>
      </w:r>
    </w:p>
    <w:p w14:paraId="1CF2AEA4" w14:textId="77777777" w:rsidR="004C06C5" w:rsidRDefault="004C06C5">
      <w:pPr>
        <w:spacing w:line="360" w:lineRule="auto"/>
        <w:rPr>
          <w:rFonts w:ascii="宋体" w:hAnsi="宋体"/>
          <w:bCs/>
          <w:szCs w:val="21"/>
        </w:rPr>
      </w:pPr>
    </w:p>
    <w:tbl>
      <w:tblPr>
        <w:tblW w:w="8692" w:type="dxa"/>
        <w:jc w:val="center"/>
        <w:tblLayout w:type="fixed"/>
        <w:tblLook w:val="04A0" w:firstRow="1" w:lastRow="0" w:firstColumn="1" w:lastColumn="0" w:noHBand="0" w:noVBand="1"/>
      </w:tblPr>
      <w:tblGrid>
        <w:gridCol w:w="1462"/>
        <w:gridCol w:w="1095"/>
        <w:gridCol w:w="1126"/>
        <w:gridCol w:w="1345"/>
        <w:gridCol w:w="1224"/>
        <w:gridCol w:w="1345"/>
        <w:gridCol w:w="1095"/>
      </w:tblGrid>
      <w:tr w:rsidR="004C06C5" w14:paraId="04BC5411" w14:textId="77777777">
        <w:trPr>
          <w:trHeight w:val="1292"/>
          <w:jc w:val="center"/>
        </w:trPr>
        <w:tc>
          <w:tcPr>
            <w:tcW w:w="1462" w:type="dxa"/>
            <w:tcBorders>
              <w:top w:val="single" w:sz="8" w:space="0" w:color="000000"/>
              <w:left w:val="single" w:sz="8" w:space="0" w:color="000000"/>
              <w:bottom w:val="single" w:sz="6" w:space="0" w:color="000000"/>
              <w:right w:val="single" w:sz="8" w:space="0" w:color="000000"/>
            </w:tcBorders>
            <w:vAlign w:val="center"/>
          </w:tcPr>
          <w:p w14:paraId="25227E68" w14:textId="77777777" w:rsidR="004C06C5" w:rsidRDefault="00ED474B">
            <w:pPr>
              <w:pStyle w:val="biaogeleft"/>
              <w:wordWrap w:val="0"/>
              <w:spacing w:line="360" w:lineRule="auto"/>
              <w:rPr>
                <w:sz w:val="21"/>
                <w:szCs w:val="21"/>
              </w:rPr>
            </w:pPr>
            <w:r>
              <w:rPr>
                <w:rFonts w:hint="eastAsia"/>
                <w:sz w:val="21"/>
                <w:szCs w:val="21"/>
              </w:rPr>
              <w:t>阶段</w:t>
            </w:r>
          </w:p>
        </w:tc>
        <w:tc>
          <w:tcPr>
            <w:tcW w:w="1095" w:type="dxa"/>
            <w:tcBorders>
              <w:top w:val="single" w:sz="8" w:space="0" w:color="000000"/>
              <w:left w:val="single" w:sz="8" w:space="0" w:color="000000"/>
              <w:bottom w:val="single" w:sz="6" w:space="0" w:color="000000"/>
              <w:right w:val="single" w:sz="8" w:space="0" w:color="000000"/>
            </w:tcBorders>
            <w:vAlign w:val="center"/>
          </w:tcPr>
          <w:p w14:paraId="3758116E" w14:textId="77777777" w:rsidR="004C06C5" w:rsidRDefault="00ED474B">
            <w:pPr>
              <w:pStyle w:val="biaogecenter"/>
              <w:wordWrap w:val="0"/>
              <w:spacing w:line="360" w:lineRule="auto"/>
              <w:rPr>
                <w:sz w:val="21"/>
                <w:szCs w:val="21"/>
              </w:rPr>
            </w:pPr>
            <w:r>
              <w:rPr>
                <w:rFonts w:hint="eastAsia"/>
                <w:sz w:val="21"/>
                <w:szCs w:val="21"/>
              </w:rPr>
              <w:t>净值增长率①</w:t>
            </w:r>
          </w:p>
        </w:tc>
        <w:tc>
          <w:tcPr>
            <w:tcW w:w="1126" w:type="dxa"/>
            <w:tcBorders>
              <w:top w:val="single" w:sz="8" w:space="0" w:color="000000"/>
              <w:left w:val="single" w:sz="8" w:space="0" w:color="000000"/>
              <w:bottom w:val="single" w:sz="6" w:space="0" w:color="000000"/>
              <w:right w:val="single" w:sz="8" w:space="0" w:color="000000"/>
            </w:tcBorders>
            <w:vAlign w:val="center"/>
          </w:tcPr>
          <w:p w14:paraId="48A184E6" w14:textId="77777777" w:rsidR="004C06C5" w:rsidRDefault="00ED474B">
            <w:pPr>
              <w:pStyle w:val="biaogecenter"/>
              <w:wordWrap w:val="0"/>
              <w:spacing w:line="360" w:lineRule="auto"/>
              <w:rPr>
                <w:sz w:val="21"/>
                <w:szCs w:val="21"/>
              </w:rPr>
            </w:pPr>
            <w:r>
              <w:rPr>
                <w:rFonts w:hint="eastAsia"/>
                <w:sz w:val="21"/>
                <w:szCs w:val="21"/>
              </w:rPr>
              <w:t>净值增长率标准差②</w:t>
            </w:r>
          </w:p>
        </w:tc>
        <w:tc>
          <w:tcPr>
            <w:tcW w:w="1345" w:type="dxa"/>
            <w:tcBorders>
              <w:top w:val="single" w:sz="8" w:space="0" w:color="000000"/>
              <w:left w:val="single" w:sz="8" w:space="0" w:color="000000"/>
              <w:bottom w:val="single" w:sz="6" w:space="0" w:color="000000"/>
              <w:right w:val="single" w:sz="8" w:space="0" w:color="000000"/>
            </w:tcBorders>
            <w:vAlign w:val="center"/>
          </w:tcPr>
          <w:p w14:paraId="77744085" w14:textId="77777777" w:rsidR="004C06C5" w:rsidRDefault="00ED474B">
            <w:pPr>
              <w:pStyle w:val="biaogecenter"/>
              <w:wordWrap w:val="0"/>
              <w:spacing w:line="360" w:lineRule="auto"/>
              <w:rPr>
                <w:sz w:val="21"/>
                <w:szCs w:val="21"/>
              </w:rPr>
            </w:pPr>
            <w:r>
              <w:rPr>
                <w:rFonts w:hint="eastAsia"/>
                <w:sz w:val="21"/>
                <w:szCs w:val="21"/>
              </w:rPr>
              <w:t>业绩比较基准收益率③</w:t>
            </w:r>
          </w:p>
        </w:tc>
        <w:tc>
          <w:tcPr>
            <w:tcW w:w="1224" w:type="dxa"/>
            <w:tcBorders>
              <w:top w:val="single" w:sz="8" w:space="0" w:color="000000"/>
              <w:left w:val="single" w:sz="8" w:space="0" w:color="000000"/>
              <w:bottom w:val="single" w:sz="6" w:space="0" w:color="000000"/>
              <w:right w:val="single" w:sz="8" w:space="0" w:color="000000"/>
            </w:tcBorders>
            <w:vAlign w:val="center"/>
          </w:tcPr>
          <w:p w14:paraId="41DC2DC5" w14:textId="77777777" w:rsidR="004C06C5" w:rsidRDefault="00ED474B">
            <w:pPr>
              <w:pStyle w:val="biaogecenter"/>
              <w:wordWrap w:val="0"/>
              <w:spacing w:line="360" w:lineRule="auto"/>
              <w:rPr>
                <w:sz w:val="21"/>
                <w:szCs w:val="21"/>
              </w:rPr>
            </w:pPr>
            <w:r>
              <w:rPr>
                <w:rFonts w:hint="eastAsia"/>
                <w:sz w:val="21"/>
                <w:szCs w:val="21"/>
              </w:rPr>
              <w:t>业绩比较基准收益率标准差④</w:t>
            </w:r>
          </w:p>
        </w:tc>
        <w:tc>
          <w:tcPr>
            <w:tcW w:w="1345" w:type="dxa"/>
            <w:tcBorders>
              <w:top w:val="single" w:sz="8" w:space="0" w:color="000000"/>
              <w:left w:val="single" w:sz="8" w:space="0" w:color="000000"/>
              <w:bottom w:val="single" w:sz="6" w:space="0" w:color="000000"/>
              <w:right w:val="single" w:sz="8" w:space="0" w:color="000000"/>
            </w:tcBorders>
            <w:vAlign w:val="center"/>
          </w:tcPr>
          <w:p w14:paraId="36D4B75B" w14:textId="77777777" w:rsidR="004C06C5" w:rsidRDefault="00ED474B">
            <w:pPr>
              <w:pStyle w:val="biaogecenter"/>
              <w:wordWrap w:val="0"/>
              <w:spacing w:line="360" w:lineRule="auto"/>
              <w:rPr>
                <w:sz w:val="21"/>
                <w:szCs w:val="21"/>
              </w:rPr>
            </w:pPr>
            <w:r>
              <w:rPr>
                <w:rFonts w:hint="eastAsia"/>
                <w:sz w:val="21"/>
                <w:szCs w:val="21"/>
              </w:rPr>
              <w:t>①-③</w:t>
            </w:r>
          </w:p>
        </w:tc>
        <w:tc>
          <w:tcPr>
            <w:tcW w:w="1095" w:type="dxa"/>
            <w:tcBorders>
              <w:top w:val="single" w:sz="8" w:space="0" w:color="000000"/>
              <w:left w:val="single" w:sz="8" w:space="0" w:color="000000"/>
              <w:bottom w:val="single" w:sz="6" w:space="0" w:color="000000"/>
              <w:right w:val="single" w:sz="8" w:space="0" w:color="000000"/>
            </w:tcBorders>
            <w:vAlign w:val="center"/>
          </w:tcPr>
          <w:p w14:paraId="198B0144" w14:textId="77777777" w:rsidR="004C06C5" w:rsidRDefault="00ED474B">
            <w:pPr>
              <w:pStyle w:val="biaogecenter"/>
              <w:wordWrap w:val="0"/>
              <w:spacing w:line="360" w:lineRule="auto"/>
              <w:rPr>
                <w:sz w:val="21"/>
                <w:szCs w:val="21"/>
              </w:rPr>
            </w:pPr>
            <w:r>
              <w:rPr>
                <w:rFonts w:hint="eastAsia"/>
                <w:sz w:val="21"/>
                <w:szCs w:val="21"/>
              </w:rPr>
              <w:t>②-④</w:t>
            </w:r>
          </w:p>
        </w:tc>
      </w:tr>
      <w:tr w:rsidR="004C06C5" w14:paraId="75DEC767" w14:textId="77777777">
        <w:trPr>
          <w:trHeight w:val="862"/>
          <w:jc w:val="center"/>
        </w:trPr>
        <w:tc>
          <w:tcPr>
            <w:tcW w:w="1462" w:type="dxa"/>
            <w:tcBorders>
              <w:top w:val="single" w:sz="8" w:space="0" w:color="000000"/>
              <w:left w:val="single" w:sz="8" w:space="0" w:color="000000"/>
              <w:bottom w:val="single" w:sz="8" w:space="0" w:color="000000"/>
              <w:right w:val="single" w:sz="8" w:space="0" w:color="000000"/>
            </w:tcBorders>
            <w:vAlign w:val="center"/>
          </w:tcPr>
          <w:p w14:paraId="47F1B2CB" w14:textId="77777777" w:rsidR="004C06C5" w:rsidRDefault="00ED474B">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02</w:t>
            </w:r>
            <w:r>
              <w:rPr>
                <w:color w:val="000000"/>
                <w:sz w:val="21"/>
                <w:szCs w:val="21"/>
              </w:rPr>
              <w:t>.</w:t>
            </w:r>
            <w:r>
              <w:rPr>
                <w:rFonts w:hint="eastAsia"/>
                <w:color w:val="000000"/>
                <w:sz w:val="21"/>
                <w:szCs w:val="21"/>
              </w:rPr>
              <w:t>07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5" w:type="dxa"/>
            <w:tcBorders>
              <w:top w:val="single" w:sz="8" w:space="0" w:color="000000"/>
              <w:left w:val="single" w:sz="8" w:space="0" w:color="000000"/>
              <w:bottom w:val="single" w:sz="8" w:space="0" w:color="000000"/>
              <w:right w:val="single" w:sz="8" w:space="0" w:color="000000"/>
            </w:tcBorders>
            <w:vAlign w:val="center"/>
          </w:tcPr>
          <w:p w14:paraId="1E64EC71" w14:textId="77777777" w:rsidR="004C06C5" w:rsidRDefault="00ED474B">
            <w:pPr>
              <w:pStyle w:val="biaogecenter"/>
              <w:wordWrap w:val="0"/>
              <w:spacing w:line="360" w:lineRule="auto"/>
              <w:rPr>
                <w:sz w:val="21"/>
                <w:szCs w:val="21"/>
              </w:rPr>
            </w:pPr>
            <w:r>
              <w:rPr>
                <w:rFonts w:hint="eastAsia"/>
                <w:sz w:val="21"/>
                <w:szCs w:val="21"/>
              </w:rPr>
              <w:t>7.06%</w:t>
            </w:r>
          </w:p>
        </w:tc>
        <w:tc>
          <w:tcPr>
            <w:tcW w:w="1126" w:type="dxa"/>
            <w:tcBorders>
              <w:top w:val="single" w:sz="8" w:space="0" w:color="000000"/>
              <w:left w:val="single" w:sz="8" w:space="0" w:color="000000"/>
              <w:bottom w:val="single" w:sz="8" w:space="0" w:color="000000"/>
              <w:right w:val="single" w:sz="8" w:space="0" w:color="000000"/>
            </w:tcBorders>
            <w:vAlign w:val="center"/>
          </w:tcPr>
          <w:p w14:paraId="20CF6499" w14:textId="77777777" w:rsidR="004C06C5" w:rsidRDefault="00ED474B">
            <w:pPr>
              <w:pStyle w:val="biaogecenter"/>
              <w:wordWrap w:val="0"/>
              <w:spacing w:line="360" w:lineRule="auto"/>
              <w:rPr>
                <w:sz w:val="21"/>
                <w:szCs w:val="21"/>
              </w:rPr>
            </w:pPr>
            <w:r>
              <w:rPr>
                <w:rFonts w:hint="eastAsia"/>
                <w:sz w:val="21"/>
                <w:szCs w:val="21"/>
              </w:rPr>
              <w:t>0.28%</w:t>
            </w:r>
          </w:p>
        </w:tc>
        <w:tc>
          <w:tcPr>
            <w:tcW w:w="1345" w:type="dxa"/>
            <w:tcBorders>
              <w:top w:val="single" w:sz="8" w:space="0" w:color="000000"/>
              <w:left w:val="single" w:sz="8" w:space="0" w:color="000000"/>
              <w:bottom w:val="single" w:sz="8" w:space="0" w:color="000000"/>
              <w:right w:val="single" w:sz="8" w:space="0" w:color="000000"/>
            </w:tcBorders>
            <w:vAlign w:val="center"/>
          </w:tcPr>
          <w:p w14:paraId="4F53083D" w14:textId="77777777" w:rsidR="004C06C5" w:rsidRDefault="00ED474B">
            <w:pPr>
              <w:pStyle w:val="biaogecenter"/>
              <w:wordWrap w:val="0"/>
              <w:spacing w:line="360" w:lineRule="auto"/>
              <w:rPr>
                <w:sz w:val="21"/>
                <w:szCs w:val="21"/>
              </w:rPr>
            </w:pPr>
            <w:r>
              <w:rPr>
                <w:rFonts w:hint="eastAsia"/>
                <w:sz w:val="21"/>
                <w:szCs w:val="21"/>
              </w:rPr>
              <w:t>7.01%</w:t>
            </w:r>
          </w:p>
        </w:tc>
        <w:tc>
          <w:tcPr>
            <w:tcW w:w="1224" w:type="dxa"/>
            <w:tcBorders>
              <w:top w:val="single" w:sz="8" w:space="0" w:color="000000"/>
              <w:left w:val="single" w:sz="8" w:space="0" w:color="000000"/>
              <w:bottom w:val="single" w:sz="8" w:space="0" w:color="000000"/>
              <w:right w:val="single" w:sz="8" w:space="0" w:color="000000"/>
            </w:tcBorders>
            <w:vAlign w:val="center"/>
          </w:tcPr>
          <w:p w14:paraId="3F6FF104" w14:textId="77777777" w:rsidR="004C06C5" w:rsidRDefault="00ED474B">
            <w:pPr>
              <w:pStyle w:val="biaogecenter"/>
              <w:wordWrap w:val="0"/>
              <w:spacing w:line="360" w:lineRule="auto"/>
              <w:rPr>
                <w:sz w:val="21"/>
                <w:szCs w:val="21"/>
              </w:rPr>
            </w:pPr>
            <w:r>
              <w:rPr>
                <w:rFonts w:hint="eastAsia"/>
                <w:sz w:val="21"/>
                <w:szCs w:val="21"/>
              </w:rPr>
              <w:t>0.06%</w:t>
            </w:r>
          </w:p>
        </w:tc>
        <w:tc>
          <w:tcPr>
            <w:tcW w:w="1345" w:type="dxa"/>
            <w:tcBorders>
              <w:top w:val="single" w:sz="8" w:space="0" w:color="000000"/>
              <w:left w:val="single" w:sz="8" w:space="0" w:color="000000"/>
              <w:bottom w:val="single" w:sz="8" w:space="0" w:color="000000"/>
              <w:right w:val="single" w:sz="8" w:space="0" w:color="000000"/>
            </w:tcBorders>
            <w:vAlign w:val="center"/>
          </w:tcPr>
          <w:p w14:paraId="447DECA9" w14:textId="77777777" w:rsidR="004C06C5" w:rsidRDefault="00ED474B">
            <w:pPr>
              <w:pStyle w:val="biaogecenter"/>
              <w:wordWrap w:val="0"/>
              <w:spacing w:line="360" w:lineRule="auto"/>
              <w:rPr>
                <w:sz w:val="21"/>
                <w:szCs w:val="21"/>
              </w:rPr>
            </w:pPr>
            <w:r>
              <w:rPr>
                <w:rFonts w:hint="eastAsia"/>
                <w:sz w:val="21"/>
                <w:szCs w:val="21"/>
              </w:rPr>
              <w:t>0.05%</w:t>
            </w:r>
          </w:p>
        </w:tc>
        <w:tc>
          <w:tcPr>
            <w:tcW w:w="1095" w:type="dxa"/>
            <w:tcBorders>
              <w:top w:val="single" w:sz="8" w:space="0" w:color="000000"/>
              <w:left w:val="single" w:sz="8" w:space="0" w:color="000000"/>
              <w:bottom w:val="single" w:sz="8" w:space="0" w:color="000000"/>
              <w:right w:val="single" w:sz="8" w:space="0" w:color="000000"/>
            </w:tcBorders>
            <w:vAlign w:val="center"/>
          </w:tcPr>
          <w:p w14:paraId="2DECF0CE" w14:textId="77777777" w:rsidR="004C06C5" w:rsidRDefault="00ED474B">
            <w:pPr>
              <w:pStyle w:val="biaogecenter"/>
              <w:wordWrap w:val="0"/>
              <w:spacing w:line="360" w:lineRule="auto"/>
              <w:rPr>
                <w:sz w:val="21"/>
                <w:szCs w:val="21"/>
              </w:rPr>
            </w:pPr>
            <w:r>
              <w:rPr>
                <w:rFonts w:hint="eastAsia"/>
                <w:sz w:val="21"/>
                <w:szCs w:val="21"/>
              </w:rPr>
              <w:t>0.22%</w:t>
            </w:r>
          </w:p>
        </w:tc>
      </w:tr>
      <w:tr w:rsidR="004C06C5" w14:paraId="7EBBE69B" w14:textId="77777777">
        <w:trPr>
          <w:trHeight w:val="862"/>
          <w:jc w:val="center"/>
        </w:trPr>
        <w:tc>
          <w:tcPr>
            <w:tcW w:w="1462" w:type="dxa"/>
            <w:tcBorders>
              <w:top w:val="single" w:sz="8" w:space="0" w:color="000000"/>
              <w:left w:val="single" w:sz="8" w:space="0" w:color="000000"/>
              <w:bottom w:val="single" w:sz="8" w:space="0" w:color="000000"/>
              <w:right w:val="single" w:sz="8" w:space="0" w:color="000000"/>
            </w:tcBorders>
            <w:vAlign w:val="center"/>
          </w:tcPr>
          <w:p w14:paraId="7E94BFF0" w14:textId="77777777" w:rsidR="004C06C5" w:rsidRDefault="00ED474B">
            <w:pPr>
              <w:pStyle w:val="biaogeleft"/>
              <w:wordWrap w:val="0"/>
              <w:spacing w:line="360" w:lineRule="auto"/>
              <w:rPr>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5" w:type="dxa"/>
            <w:tcBorders>
              <w:top w:val="single" w:sz="8" w:space="0" w:color="000000"/>
              <w:left w:val="single" w:sz="8" w:space="0" w:color="000000"/>
              <w:bottom w:val="single" w:sz="8" w:space="0" w:color="000000"/>
              <w:right w:val="single" w:sz="8" w:space="0" w:color="000000"/>
            </w:tcBorders>
            <w:vAlign w:val="center"/>
          </w:tcPr>
          <w:p w14:paraId="2B944E67" w14:textId="77777777" w:rsidR="004C06C5" w:rsidRDefault="00ED474B">
            <w:pPr>
              <w:pStyle w:val="biaogecenter"/>
              <w:wordWrap w:val="0"/>
              <w:spacing w:line="360" w:lineRule="auto"/>
              <w:rPr>
                <w:sz w:val="21"/>
                <w:szCs w:val="21"/>
              </w:rPr>
            </w:pPr>
            <w:r>
              <w:rPr>
                <w:sz w:val="21"/>
                <w:szCs w:val="21"/>
              </w:rPr>
              <w:t>-0.92%</w:t>
            </w:r>
          </w:p>
        </w:tc>
        <w:tc>
          <w:tcPr>
            <w:tcW w:w="1126" w:type="dxa"/>
            <w:tcBorders>
              <w:top w:val="single" w:sz="8" w:space="0" w:color="000000"/>
              <w:left w:val="single" w:sz="8" w:space="0" w:color="000000"/>
              <w:bottom w:val="single" w:sz="8" w:space="0" w:color="000000"/>
              <w:right w:val="single" w:sz="8" w:space="0" w:color="000000"/>
            </w:tcBorders>
            <w:vAlign w:val="center"/>
          </w:tcPr>
          <w:p w14:paraId="739094C4" w14:textId="77777777" w:rsidR="004C06C5" w:rsidRDefault="00ED474B">
            <w:pPr>
              <w:pStyle w:val="biaogecenter"/>
              <w:wordWrap w:val="0"/>
              <w:spacing w:line="360" w:lineRule="auto"/>
              <w:rPr>
                <w:sz w:val="21"/>
                <w:szCs w:val="21"/>
              </w:rPr>
            </w:pPr>
            <w:r>
              <w:rPr>
                <w:sz w:val="21"/>
                <w:szCs w:val="21"/>
              </w:rPr>
              <w:t>0.14%</w:t>
            </w:r>
          </w:p>
        </w:tc>
        <w:tc>
          <w:tcPr>
            <w:tcW w:w="1345" w:type="dxa"/>
            <w:tcBorders>
              <w:top w:val="single" w:sz="8" w:space="0" w:color="000000"/>
              <w:left w:val="single" w:sz="8" w:space="0" w:color="000000"/>
              <w:bottom w:val="single" w:sz="8" w:space="0" w:color="000000"/>
              <w:right w:val="single" w:sz="8" w:space="0" w:color="000000"/>
            </w:tcBorders>
            <w:vAlign w:val="center"/>
          </w:tcPr>
          <w:p w14:paraId="0CA80AC2" w14:textId="77777777" w:rsidR="004C06C5" w:rsidRDefault="00ED474B">
            <w:pPr>
              <w:pStyle w:val="biaogecenter"/>
              <w:wordWrap w:val="0"/>
              <w:spacing w:line="360" w:lineRule="auto"/>
              <w:rPr>
                <w:sz w:val="21"/>
                <w:szCs w:val="21"/>
              </w:rPr>
            </w:pPr>
            <w:r>
              <w:rPr>
                <w:sz w:val="21"/>
                <w:szCs w:val="21"/>
              </w:rPr>
              <w:t>4.28%</w:t>
            </w:r>
          </w:p>
        </w:tc>
        <w:tc>
          <w:tcPr>
            <w:tcW w:w="1224" w:type="dxa"/>
            <w:tcBorders>
              <w:top w:val="single" w:sz="8" w:space="0" w:color="000000"/>
              <w:left w:val="single" w:sz="8" w:space="0" w:color="000000"/>
              <w:bottom w:val="single" w:sz="8" w:space="0" w:color="000000"/>
              <w:right w:val="single" w:sz="8" w:space="0" w:color="000000"/>
            </w:tcBorders>
            <w:vAlign w:val="center"/>
          </w:tcPr>
          <w:p w14:paraId="25B16927" w14:textId="77777777" w:rsidR="004C06C5" w:rsidRDefault="00ED474B">
            <w:pPr>
              <w:pStyle w:val="biaogecenter"/>
              <w:wordWrap w:val="0"/>
              <w:spacing w:line="360" w:lineRule="auto"/>
              <w:rPr>
                <w:sz w:val="21"/>
                <w:szCs w:val="21"/>
              </w:rPr>
            </w:pPr>
            <w:r>
              <w:rPr>
                <w:sz w:val="21"/>
                <w:szCs w:val="21"/>
              </w:rPr>
              <w:t>0.04%</w:t>
            </w:r>
          </w:p>
        </w:tc>
        <w:tc>
          <w:tcPr>
            <w:tcW w:w="1345" w:type="dxa"/>
            <w:tcBorders>
              <w:top w:val="single" w:sz="8" w:space="0" w:color="000000"/>
              <w:left w:val="single" w:sz="8" w:space="0" w:color="000000"/>
              <w:bottom w:val="single" w:sz="8" w:space="0" w:color="000000"/>
              <w:right w:val="single" w:sz="8" w:space="0" w:color="000000"/>
            </w:tcBorders>
            <w:vAlign w:val="center"/>
          </w:tcPr>
          <w:p w14:paraId="221BCB3F" w14:textId="77777777" w:rsidR="004C06C5" w:rsidRDefault="00ED474B">
            <w:pPr>
              <w:pStyle w:val="biaogecenter"/>
              <w:wordWrap w:val="0"/>
              <w:spacing w:line="360" w:lineRule="auto"/>
              <w:rPr>
                <w:sz w:val="21"/>
                <w:szCs w:val="21"/>
              </w:rPr>
            </w:pPr>
            <w:r>
              <w:rPr>
                <w:sz w:val="21"/>
                <w:szCs w:val="21"/>
              </w:rPr>
              <w:t>-5.20%</w:t>
            </w:r>
          </w:p>
        </w:tc>
        <w:tc>
          <w:tcPr>
            <w:tcW w:w="1095" w:type="dxa"/>
            <w:tcBorders>
              <w:top w:val="single" w:sz="8" w:space="0" w:color="000000"/>
              <w:left w:val="single" w:sz="8" w:space="0" w:color="000000"/>
              <w:bottom w:val="single" w:sz="8" w:space="0" w:color="000000"/>
              <w:right w:val="single" w:sz="8" w:space="0" w:color="000000"/>
            </w:tcBorders>
            <w:vAlign w:val="center"/>
          </w:tcPr>
          <w:p w14:paraId="1F50EDB4" w14:textId="77777777" w:rsidR="004C06C5" w:rsidRDefault="00ED474B">
            <w:pPr>
              <w:pStyle w:val="biaogecenter"/>
              <w:wordWrap w:val="0"/>
              <w:spacing w:line="360" w:lineRule="auto"/>
              <w:rPr>
                <w:sz w:val="21"/>
                <w:szCs w:val="21"/>
              </w:rPr>
            </w:pPr>
            <w:r>
              <w:rPr>
                <w:sz w:val="21"/>
                <w:szCs w:val="21"/>
              </w:rPr>
              <w:t>0.10%</w:t>
            </w:r>
          </w:p>
        </w:tc>
      </w:tr>
      <w:tr w:rsidR="004C06C5" w14:paraId="4EEC8AFF" w14:textId="77777777">
        <w:trPr>
          <w:trHeight w:val="862"/>
          <w:jc w:val="center"/>
        </w:trPr>
        <w:tc>
          <w:tcPr>
            <w:tcW w:w="1462" w:type="dxa"/>
            <w:tcBorders>
              <w:top w:val="single" w:sz="8" w:space="0" w:color="000000"/>
              <w:left w:val="single" w:sz="8" w:space="0" w:color="000000"/>
              <w:bottom w:val="single" w:sz="6" w:space="0" w:color="000000"/>
              <w:right w:val="single" w:sz="8" w:space="0" w:color="000000"/>
            </w:tcBorders>
            <w:vAlign w:val="center"/>
          </w:tcPr>
          <w:p w14:paraId="098ACECF" w14:textId="77777777" w:rsidR="004C06C5" w:rsidRDefault="00ED474B">
            <w:pPr>
              <w:pStyle w:val="biaogeleft"/>
              <w:wordWrap w:val="0"/>
              <w:spacing w:line="360" w:lineRule="auto"/>
              <w:rPr>
                <w:color w:val="000000"/>
                <w:sz w:val="21"/>
                <w:szCs w:val="21"/>
              </w:rPr>
            </w:pPr>
            <w:r>
              <w:rPr>
                <w:rFonts w:hint="eastAsia"/>
                <w:color w:val="000000"/>
                <w:sz w:val="21"/>
                <w:szCs w:val="21"/>
              </w:rPr>
              <w:t>自基金合同生效起至</w:t>
            </w:r>
            <w:r>
              <w:rPr>
                <w:color w:val="000000"/>
                <w:sz w:val="21"/>
                <w:szCs w:val="21"/>
              </w:rPr>
              <w:t>2019.12.31</w:t>
            </w:r>
          </w:p>
        </w:tc>
        <w:tc>
          <w:tcPr>
            <w:tcW w:w="1095" w:type="dxa"/>
            <w:tcBorders>
              <w:top w:val="single" w:sz="8" w:space="0" w:color="000000"/>
              <w:left w:val="single" w:sz="8" w:space="0" w:color="000000"/>
              <w:bottom w:val="single" w:sz="6" w:space="0" w:color="000000"/>
              <w:right w:val="single" w:sz="8" w:space="0" w:color="000000"/>
            </w:tcBorders>
            <w:vAlign w:val="center"/>
          </w:tcPr>
          <w:p w14:paraId="2D2C907A" w14:textId="77777777" w:rsidR="004C06C5" w:rsidRDefault="00ED474B">
            <w:pPr>
              <w:pStyle w:val="biaogecenter"/>
              <w:wordWrap w:val="0"/>
              <w:spacing w:line="360" w:lineRule="auto"/>
              <w:rPr>
                <w:sz w:val="21"/>
                <w:szCs w:val="21"/>
              </w:rPr>
            </w:pPr>
            <w:r>
              <w:rPr>
                <w:rFonts w:hint="eastAsia"/>
              </w:rPr>
              <w:t>6.07%</w:t>
            </w:r>
          </w:p>
        </w:tc>
        <w:tc>
          <w:tcPr>
            <w:tcW w:w="1126" w:type="dxa"/>
            <w:tcBorders>
              <w:top w:val="single" w:sz="8" w:space="0" w:color="000000"/>
              <w:left w:val="single" w:sz="8" w:space="0" w:color="000000"/>
              <w:bottom w:val="single" w:sz="6" w:space="0" w:color="000000"/>
              <w:right w:val="single" w:sz="8" w:space="0" w:color="000000"/>
            </w:tcBorders>
            <w:vAlign w:val="center"/>
          </w:tcPr>
          <w:p w14:paraId="21AF516B" w14:textId="77777777" w:rsidR="004C06C5" w:rsidRDefault="00ED474B">
            <w:pPr>
              <w:pStyle w:val="biaogecenter"/>
              <w:wordWrap w:val="0"/>
              <w:spacing w:line="360" w:lineRule="auto"/>
              <w:rPr>
                <w:sz w:val="21"/>
                <w:szCs w:val="21"/>
              </w:rPr>
            </w:pPr>
            <w:r>
              <w:rPr>
                <w:rFonts w:hint="eastAsia"/>
              </w:rPr>
              <w:t>0.22%</w:t>
            </w:r>
          </w:p>
        </w:tc>
        <w:tc>
          <w:tcPr>
            <w:tcW w:w="1345" w:type="dxa"/>
            <w:tcBorders>
              <w:top w:val="single" w:sz="8" w:space="0" w:color="000000"/>
              <w:left w:val="single" w:sz="8" w:space="0" w:color="000000"/>
              <w:bottom w:val="single" w:sz="6" w:space="0" w:color="000000"/>
              <w:right w:val="single" w:sz="8" w:space="0" w:color="000000"/>
            </w:tcBorders>
            <w:vAlign w:val="center"/>
          </w:tcPr>
          <w:p w14:paraId="5DD33915" w14:textId="77777777" w:rsidR="004C06C5" w:rsidRDefault="00ED474B">
            <w:pPr>
              <w:pStyle w:val="biaogecenter"/>
              <w:wordWrap w:val="0"/>
              <w:spacing w:line="360" w:lineRule="auto"/>
              <w:rPr>
                <w:sz w:val="21"/>
                <w:szCs w:val="21"/>
              </w:rPr>
            </w:pPr>
            <w:r>
              <w:rPr>
                <w:rFonts w:hint="eastAsia"/>
              </w:rPr>
              <w:t>11.59%</w:t>
            </w:r>
          </w:p>
        </w:tc>
        <w:tc>
          <w:tcPr>
            <w:tcW w:w="1224" w:type="dxa"/>
            <w:tcBorders>
              <w:top w:val="single" w:sz="8" w:space="0" w:color="000000"/>
              <w:left w:val="single" w:sz="8" w:space="0" w:color="000000"/>
              <w:bottom w:val="single" w:sz="6" w:space="0" w:color="000000"/>
              <w:right w:val="single" w:sz="8" w:space="0" w:color="000000"/>
            </w:tcBorders>
            <w:vAlign w:val="center"/>
          </w:tcPr>
          <w:p w14:paraId="0B41B1D9" w14:textId="77777777" w:rsidR="004C06C5" w:rsidRDefault="00ED474B">
            <w:pPr>
              <w:pStyle w:val="biaogecenter"/>
              <w:wordWrap w:val="0"/>
              <w:spacing w:line="360" w:lineRule="auto"/>
              <w:rPr>
                <w:sz w:val="21"/>
                <w:szCs w:val="21"/>
              </w:rPr>
            </w:pPr>
            <w:r>
              <w:rPr>
                <w:rFonts w:hint="eastAsia"/>
              </w:rPr>
              <w:t>0.05%</w:t>
            </w:r>
          </w:p>
        </w:tc>
        <w:tc>
          <w:tcPr>
            <w:tcW w:w="1345" w:type="dxa"/>
            <w:tcBorders>
              <w:top w:val="single" w:sz="8" w:space="0" w:color="000000"/>
              <w:left w:val="single" w:sz="8" w:space="0" w:color="000000"/>
              <w:bottom w:val="single" w:sz="6" w:space="0" w:color="000000"/>
              <w:right w:val="single" w:sz="8" w:space="0" w:color="000000"/>
            </w:tcBorders>
            <w:vAlign w:val="center"/>
          </w:tcPr>
          <w:p w14:paraId="725095CA" w14:textId="77777777" w:rsidR="004C06C5" w:rsidRDefault="00ED474B">
            <w:pPr>
              <w:pStyle w:val="biaogecenter"/>
              <w:wordWrap w:val="0"/>
              <w:spacing w:line="360" w:lineRule="auto"/>
              <w:rPr>
                <w:sz w:val="21"/>
                <w:szCs w:val="21"/>
              </w:rPr>
            </w:pPr>
            <w:r>
              <w:rPr>
                <w:rFonts w:hint="eastAsia"/>
              </w:rPr>
              <w:t>-5.52%</w:t>
            </w:r>
          </w:p>
        </w:tc>
        <w:tc>
          <w:tcPr>
            <w:tcW w:w="1095" w:type="dxa"/>
            <w:tcBorders>
              <w:top w:val="single" w:sz="8" w:space="0" w:color="000000"/>
              <w:left w:val="single" w:sz="8" w:space="0" w:color="000000"/>
              <w:bottom w:val="single" w:sz="6" w:space="0" w:color="000000"/>
              <w:right w:val="single" w:sz="8" w:space="0" w:color="000000"/>
            </w:tcBorders>
            <w:vAlign w:val="center"/>
          </w:tcPr>
          <w:p w14:paraId="188F5CEC" w14:textId="77777777" w:rsidR="004C06C5" w:rsidRDefault="00ED474B">
            <w:pPr>
              <w:pStyle w:val="biaogecenter"/>
              <w:wordWrap w:val="0"/>
              <w:spacing w:line="360" w:lineRule="auto"/>
              <w:rPr>
                <w:sz w:val="21"/>
                <w:szCs w:val="21"/>
              </w:rPr>
            </w:pPr>
            <w:r>
              <w:rPr>
                <w:rFonts w:hint="eastAsia"/>
              </w:rPr>
              <w:t>0.17%</w:t>
            </w:r>
          </w:p>
        </w:tc>
      </w:tr>
    </w:tbl>
    <w:p w14:paraId="639D3A7E" w14:textId="77777777" w:rsidR="004C06C5" w:rsidRDefault="004C06C5">
      <w:pPr>
        <w:spacing w:line="360" w:lineRule="auto"/>
        <w:rPr>
          <w:rFonts w:ascii="宋体" w:hAnsi="宋体"/>
          <w:bCs/>
          <w:szCs w:val="21"/>
        </w:rPr>
      </w:pPr>
    </w:p>
    <w:p w14:paraId="21D9D628" w14:textId="77777777" w:rsidR="004C06C5" w:rsidRDefault="00ED474B">
      <w:pPr>
        <w:spacing w:line="360" w:lineRule="auto"/>
        <w:rPr>
          <w:rFonts w:ascii="宋体" w:hAnsi="宋体"/>
          <w:bCs/>
          <w:szCs w:val="21"/>
        </w:rPr>
      </w:pPr>
      <w:r>
        <w:rPr>
          <w:rFonts w:ascii="宋体" w:hAnsi="宋体" w:hint="eastAsia"/>
          <w:bCs/>
          <w:szCs w:val="21"/>
        </w:rPr>
        <w:t>（2）</w:t>
      </w:r>
      <w:proofErr w:type="gramStart"/>
      <w:r>
        <w:rPr>
          <w:rFonts w:ascii="宋体" w:hAnsi="宋体" w:hint="eastAsia"/>
          <w:bCs/>
          <w:szCs w:val="21"/>
        </w:rPr>
        <w:t>富荣富乾</w:t>
      </w:r>
      <w:proofErr w:type="gramEnd"/>
      <w:r>
        <w:rPr>
          <w:rFonts w:ascii="宋体" w:hAnsi="宋体" w:hint="eastAsia"/>
          <w:bCs/>
          <w:szCs w:val="21"/>
        </w:rPr>
        <w:t>C（</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4793</w:t>
      </w:r>
      <w:r>
        <w:rPr>
          <w:rFonts w:ascii="宋体" w:hAnsi="宋体" w:hint="eastAsia"/>
          <w:bCs/>
          <w:szCs w:val="21"/>
        </w:rPr>
        <w:t>）</w:t>
      </w:r>
    </w:p>
    <w:p w14:paraId="3CF982F7" w14:textId="77777777" w:rsidR="004C06C5" w:rsidRDefault="004C06C5">
      <w:pPr>
        <w:pStyle w:val="neirong"/>
        <w:spacing w:line="360" w:lineRule="auto"/>
        <w:ind w:left="0"/>
        <w:rPr>
          <w:sz w:val="21"/>
          <w:szCs w:val="21"/>
        </w:rPr>
      </w:pPr>
    </w:p>
    <w:tbl>
      <w:tblPr>
        <w:tblW w:w="8808" w:type="dxa"/>
        <w:jc w:val="center"/>
        <w:tblLayout w:type="fixed"/>
        <w:tblLook w:val="04A0" w:firstRow="1" w:lastRow="0" w:firstColumn="1" w:lastColumn="0" w:noHBand="0" w:noVBand="1"/>
      </w:tblPr>
      <w:tblGrid>
        <w:gridCol w:w="1418"/>
        <w:gridCol w:w="1052"/>
        <w:gridCol w:w="1163"/>
        <w:gridCol w:w="1356"/>
        <w:gridCol w:w="1298"/>
        <w:gridCol w:w="1390"/>
        <w:gridCol w:w="1131"/>
      </w:tblGrid>
      <w:tr w:rsidR="004C06C5" w14:paraId="0A005034" w14:textId="77777777">
        <w:trPr>
          <w:trHeight w:val="1195"/>
          <w:jc w:val="center"/>
        </w:trPr>
        <w:tc>
          <w:tcPr>
            <w:tcW w:w="1418" w:type="dxa"/>
            <w:tcBorders>
              <w:top w:val="single" w:sz="8" w:space="0" w:color="000000"/>
              <w:left w:val="single" w:sz="8" w:space="0" w:color="000000"/>
              <w:bottom w:val="single" w:sz="6" w:space="0" w:color="000000"/>
              <w:right w:val="single" w:sz="8" w:space="0" w:color="000000"/>
            </w:tcBorders>
            <w:vAlign w:val="center"/>
          </w:tcPr>
          <w:p w14:paraId="4B220DAE" w14:textId="77777777" w:rsidR="004C06C5" w:rsidRDefault="00ED474B">
            <w:pPr>
              <w:pStyle w:val="biaogeleft"/>
              <w:wordWrap w:val="0"/>
              <w:spacing w:line="360" w:lineRule="auto"/>
              <w:rPr>
                <w:sz w:val="21"/>
                <w:szCs w:val="21"/>
              </w:rPr>
            </w:pPr>
            <w:r>
              <w:rPr>
                <w:rFonts w:hint="eastAsia"/>
                <w:sz w:val="21"/>
                <w:szCs w:val="21"/>
              </w:rPr>
              <w:t>阶段</w:t>
            </w:r>
          </w:p>
        </w:tc>
        <w:tc>
          <w:tcPr>
            <w:tcW w:w="1052" w:type="dxa"/>
            <w:tcBorders>
              <w:top w:val="single" w:sz="8" w:space="0" w:color="000000"/>
              <w:left w:val="single" w:sz="8" w:space="0" w:color="000000"/>
              <w:bottom w:val="single" w:sz="6" w:space="0" w:color="000000"/>
              <w:right w:val="single" w:sz="8" w:space="0" w:color="000000"/>
            </w:tcBorders>
            <w:vAlign w:val="center"/>
          </w:tcPr>
          <w:p w14:paraId="74739EC7" w14:textId="77777777" w:rsidR="004C06C5" w:rsidRDefault="00ED474B">
            <w:pPr>
              <w:pStyle w:val="biaogecenter"/>
              <w:wordWrap w:val="0"/>
              <w:spacing w:line="360" w:lineRule="auto"/>
              <w:rPr>
                <w:sz w:val="21"/>
                <w:szCs w:val="21"/>
              </w:rPr>
            </w:pPr>
            <w:r>
              <w:rPr>
                <w:rFonts w:hint="eastAsia"/>
                <w:sz w:val="21"/>
                <w:szCs w:val="21"/>
              </w:rPr>
              <w:t>净值增长率①</w:t>
            </w:r>
          </w:p>
        </w:tc>
        <w:tc>
          <w:tcPr>
            <w:tcW w:w="1163" w:type="dxa"/>
            <w:tcBorders>
              <w:top w:val="single" w:sz="8" w:space="0" w:color="000000"/>
              <w:left w:val="single" w:sz="8" w:space="0" w:color="000000"/>
              <w:bottom w:val="single" w:sz="6" w:space="0" w:color="000000"/>
              <w:right w:val="single" w:sz="8" w:space="0" w:color="000000"/>
            </w:tcBorders>
            <w:vAlign w:val="center"/>
          </w:tcPr>
          <w:p w14:paraId="129F3EF1" w14:textId="77777777" w:rsidR="004C06C5" w:rsidRDefault="00ED474B">
            <w:pPr>
              <w:pStyle w:val="biaogecenter"/>
              <w:wordWrap w:val="0"/>
              <w:spacing w:line="360" w:lineRule="auto"/>
              <w:rPr>
                <w:sz w:val="21"/>
                <w:szCs w:val="21"/>
              </w:rPr>
            </w:pPr>
            <w:r>
              <w:rPr>
                <w:rFonts w:hint="eastAsia"/>
                <w:sz w:val="21"/>
                <w:szCs w:val="21"/>
              </w:rPr>
              <w:t>净值增长率标准差②</w:t>
            </w:r>
          </w:p>
        </w:tc>
        <w:tc>
          <w:tcPr>
            <w:tcW w:w="1356" w:type="dxa"/>
            <w:tcBorders>
              <w:top w:val="single" w:sz="8" w:space="0" w:color="000000"/>
              <w:left w:val="single" w:sz="8" w:space="0" w:color="000000"/>
              <w:bottom w:val="single" w:sz="6" w:space="0" w:color="000000"/>
              <w:right w:val="single" w:sz="8" w:space="0" w:color="000000"/>
            </w:tcBorders>
            <w:vAlign w:val="center"/>
          </w:tcPr>
          <w:p w14:paraId="023E66C4" w14:textId="77777777" w:rsidR="004C06C5" w:rsidRDefault="00ED474B">
            <w:pPr>
              <w:pStyle w:val="biaogecenter"/>
              <w:wordWrap w:val="0"/>
              <w:spacing w:line="360" w:lineRule="auto"/>
              <w:rPr>
                <w:sz w:val="21"/>
                <w:szCs w:val="21"/>
              </w:rPr>
            </w:pPr>
            <w:r>
              <w:rPr>
                <w:rFonts w:hint="eastAsia"/>
                <w:sz w:val="21"/>
                <w:szCs w:val="21"/>
              </w:rPr>
              <w:t>业绩比较基准收益率③</w:t>
            </w:r>
          </w:p>
        </w:tc>
        <w:tc>
          <w:tcPr>
            <w:tcW w:w="1298" w:type="dxa"/>
            <w:tcBorders>
              <w:top w:val="single" w:sz="8" w:space="0" w:color="000000"/>
              <w:left w:val="single" w:sz="8" w:space="0" w:color="000000"/>
              <w:bottom w:val="single" w:sz="6" w:space="0" w:color="000000"/>
              <w:right w:val="single" w:sz="8" w:space="0" w:color="000000"/>
            </w:tcBorders>
            <w:vAlign w:val="center"/>
          </w:tcPr>
          <w:p w14:paraId="2EF91E0F" w14:textId="77777777" w:rsidR="004C06C5" w:rsidRDefault="00ED474B">
            <w:pPr>
              <w:pStyle w:val="biaogecenter"/>
              <w:wordWrap w:val="0"/>
              <w:spacing w:line="360" w:lineRule="auto"/>
              <w:rPr>
                <w:sz w:val="21"/>
                <w:szCs w:val="21"/>
              </w:rPr>
            </w:pPr>
            <w:r>
              <w:rPr>
                <w:rFonts w:hint="eastAsia"/>
                <w:sz w:val="21"/>
                <w:szCs w:val="21"/>
              </w:rPr>
              <w:t>业绩比较基准收益率标准差④</w:t>
            </w:r>
          </w:p>
        </w:tc>
        <w:tc>
          <w:tcPr>
            <w:tcW w:w="1390" w:type="dxa"/>
            <w:tcBorders>
              <w:top w:val="single" w:sz="8" w:space="0" w:color="000000"/>
              <w:left w:val="single" w:sz="8" w:space="0" w:color="000000"/>
              <w:bottom w:val="single" w:sz="6" w:space="0" w:color="000000"/>
              <w:right w:val="single" w:sz="8" w:space="0" w:color="000000"/>
            </w:tcBorders>
            <w:vAlign w:val="center"/>
          </w:tcPr>
          <w:p w14:paraId="2602E96A" w14:textId="77777777" w:rsidR="004C06C5" w:rsidRDefault="00ED474B">
            <w:pPr>
              <w:pStyle w:val="biaogecenter"/>
              <w:wordWrap w:val="0"/>
              <w:spacing w:line="360" w:lineRule="auto"/>
              <w:rPr>
                <w:sz w:val="21"/>
                <w:szCs w:val="21"/>
              </w:rPr>
            </w:pPr>
            <w:r>
              <w:rPr>
                <w:rFonts w:hint="eastAsia"/>
                <w:sz w:val="21"/>
                <w:szCs w:val="21"/>
              </w:rPr>
              <w:t>①-③</w:t>
            </w:r>
          </w:p>
        </w:tc>
        <w:tc>
          <w:tcPr>
            <w:tcW w:w="1131" w:type="dxa"/>
            <w:tcBorders>
              <w:top w:val="single" w:sz="8" w:space="0" w:color="000000"/>
              <w:left w:val="single" w:sz="8" w:space="0" w:color="000000"/>
              <w:bottom w:val="single" w:sz="6" w:space="0" w:color="000000"/>
              <w:right w:val="single" w:sz="8" w:space="0" w:color="000000"/>
            </w:tcBorders>
            <w:vAlign w:val="center"/>
          </w:tcPr>
          <w:p w14:paraId="58C14852" w14:textId="77777777" w:rsidR="004C06C5" w:rsidRDefault="00ED474B">
            <w:pPr>
              <w:pStyle w:val="biaogecenter"/>
              <w:wordWrap w:val="0"/>
              <w:spacing w:line="360" w:lineRule="auto"/>
              <w:rPr>
                <w:sz w:val="21"/>
                <w:szCs w:val="21"/>
              </w:rPr>
            </w:pPr>
            <w:r>
              <w:rPr>
                <w:rFonts w:hint="eastAsia"/>
                <w:sz w:val="21"/>
                <w:szCs w:val="21"/>
              </w:rPr>
              <w:t>②-④</w:t>
            </w:r>
          </w:p>
        </w:tc>
      </w:tr>
      <w:tr w:rsidR="004C06C5" w14:paraId="1025EE59" w14:textId="77777777">
        <w:trPr>
          <w:trHeight w:val="820"/>
          <w:jc w:val="center"/>
        </w:trPr>
        <w:tc>
          <w:tcPr>
            <w:tcW w:w="1418" w:type="dxa"/>
            <w:tcBorders>
              <w:top w:val="single" w:sz="8" w:space="0" w:color="000000"/>
              <w:left w:val="single" w:sz="8" w:space="0" w:color="000000"/>
              <w:bottom w:val="single" w:sz="8" w:space="0" w:color="000000"/>
              <w:right w:val="single" w:sz="8" w:space="0" w:color="000000"/>
            </w:tcBorders>
            <w:vAlign w:val="center"/>
          </w:tcPr>
          <w:p w14:paraId="49118945" w14:textId="77777777" w:rsidR="004C06C5" w:rsidRDefault="00ED474B">
            <w:pPr>
              <w:pStyle w:val="biaogeleft"/>
              <w:wordWrap w:val="0"/>
              <w:spacing w:line="360" w:lineRule="auto"/>
              <w:rPr>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02</w:t>
            </w:r>
            <w:r>
              <w:rPr>
                <w:color w:val="000000"/>
                <w:sz w:val="21"/>
                <w:szCs w:val="21"/>
              </w:rPr>
              <w:t>.</w:t>
            </w:r>
            <w:r>
              <w:rPr>
                <w:rFonts w:hint="eastAsia"/>
                <w:color w:val="000000"/>
                <w:sz w:val="21"/>
                <w:szCs w:val="21"/>
              </w:rPr>
              <w:t>07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52" w:type="dxa"/>
            <w:tcBorders>
              <w:top w:val="single" w:sz="8" w:space="0" w:color="000000"/>
              <w:left w:val="single" w:sz="8" w:space="0" w:color="000000"/>
              <w:bottom w:val="single" w:sz="8" w:space="0" w:color="000000"/>
              <w:right w:val="single" w:sz="8" w:space="0" w:color="000000"/>
            </w:tcBorders>
            <w:vAlign w:val="center"/>
          </w:tcPr>
          <w:p w14:paraId="40CC069D" w14:textId="77777777" w:rsidR="004C06C5" w:rsidRDefault="00ED474B">
            <w:pPr>
              <w:pStyle w:val="biaogecenter"/>
              <w:wordWrap w:val="0"/>
              <w:spacing w:line="360" w:lineRule="auto"/>
              <w:rPr>
                <w:sz w:val="21"/>
                <w:szCs w:val="21"/>
              </w:rPr>
            </w:pPr>
            <w:r>
              <w:rPr>
                <w:rFonts w:hint="eastAsia"/>
                <w:sz w:val="21"/>
                <w:szCs w:val="21"/>
              </w:rPr>
              <w:t>5.82%</w:t>
            </w:r>
          </w:p>
        </w:tc>
        <w:tc>
          <w:tcPr>
            <w:tcW w:w="1163" w:type="dxa"/>
            <w:tcBorders>
              <w:top w:val="single" w:sz="8" w:space="0" w:color="000000"/>
              <w:left w:val="single" w:sz="8" w:space="0" w:color="000000"/>
              <w:bottom w:val="single" w:sz="8" w:space="0" w:color="000000"/>
              <w:right w:val="single" w:sz="8" w:space="0" w:color="000000"/>
            </w:tcBorders>
            <w:vAlign w:val="center"/>
          </w:tcPr>
          <w:p w14:paraId="6E269A1C" w14:textId="77777777" w:rsidR="004C06C5" w:rsidRDefault="00ED474B">
            <w:pPr>
              <w:pStyle w:val="biaogecenter"/>
              <w:wordWrap w:val="0"/>
              <w:spacing w:line="360" w:lineRule="auto"/>
              <w:rPr>
                <w:sz w:val="21"/>
                <w:szCs w:val="21"/>
              </w:rPr>
            </w:pPr>
            <w:r>
              <w:rPr>
                <w:rFonts w:hint="eastAsia"/>
                <w:sz w:val="21"/>
                <w:szCs w:val="21"/>
              </w:rPr>
              <w:t>0.22%</w:t>
            </w:r>
          </w:p>
        </w:tc>
        <w:tc>
          <w:tcPr>
            <w:tcW w:w="1356" w:type="dxa"/>
            <w:tcBorders>
              <w:top w:val="single" w:sz="8" w:space="0" w:color="000000"/>
              <w:left w:val="single" w:sz="8" w:space="0" w:color="000000"/>
              <w:bottom w:val="single" w:sz="8" w:space="0" w:color="000000"/>
              <w:right w:val="single" w:sz="8" w:space="0" w:color="000000"/>
            </w:tcBorders>
            <w:vAlign w:val="center"/>
          </w:tcPr>
          <w:p w14:paraId="59F325A6" w14:textId="77777777" w:rsidR="004C06C5" w:rsidRDefault="00ED474B">
            <w:pPr>
              <w:pStyle w:val="biaogecenter"/>
              <w:wordWrap w:val="0"/>
              <w:spacing w:line="360" w:lineRule="auto"/>
              <w:rPr>
                <w:sz w:val="21"/>
                <w:szCs w:val="21"/>
              </w:rPr>
            </w:pPr>
            <w:r>
              <w:rPr>
                <w:rFonts w:hint="eastAsia"/>
                <w:sz w:val="21"/>
                <w:szCs w:val="21"/>
              </w:rPr>
              <w:t>7.01%</w:t>
            </w:r>
          </w:p>
        </w:tc>
        <w:tc>
          <w:tcPr>
            <w:tcW w:w="1298" w:type="dxa"/>
            <w:tcBorders>
              <w:top w:val="single" w:sz="8" w:space="0" w:color="000000"/>
              <w:left w:val="single" w:sz="8" w:space="0" w:color="000000"/>
              <w:bottom w:val="single" w:sz="8" w:space="0" w:color="000000"/>
              <w:right w:val="single" w:sz="8" w:space="0" w:color="000000"/>
            </w:tcBorders>
            <w:vAlign w:val="center"/>
          </w:tcPr>
          <w:p w14:paraId="5FF82659" w14:textId="77777777" w:rsidR="004C06C5" w:rsidRDefault="00ED474B">
            <w:pPr>
              <w:pStyle w:val="biaogecenter"/>
              <w:wordWrap w:val="0"/>
              <w:spacing w:line="360" w:lineRule="auto"/>
              <w:rPr>
                <w:sz w:val="21"/>
                <w:szCs w:val="21"/>
              </w:rPr>
            </w:pPr>
            <w:r>
              <w:rPr>
                <w:rFonts w:hint="eastAsia"/>
                <w:sz w:val="21"/>
                <w:szCs w:val="21"/>
              </w:rPr>
              <w:t>0.06%</w:t>
            </w:r>
          </w:p>
        </w:tc>
        <w:tc>
          <w:tcPr>
            <w:tcW w:w="1390" w:type="dxa"/>
            <w:tcBorders>
              <w:top w:val="single" w:sz="8" w:space="0" w:color="000000"/>
              <w:left w:val="single" w:sz="8" w:space="0" w:color="000000"/>
              <w:bottom w:val="single" w:sz="8" w:space="0" w:color="000000"/>
              <w:right w:val="single" w:sz="8" w:space="0" w:color="000000"/>
            </w:tcBorders>
            <w:vAlign w:val="center"/>
          </w:tcPr>
          <w:p w14:paraId="4DE40464" w14:textId="77777777" w:rsidR="004C06C5" w:rsidRDefault="00ED474B">
            <w:pPr>
              <w:pStyle w:val="biaogecenter"/>
              <w:wordWrap w:val="0"/>
              <w:spacing w:line="360" w:lineRule="auto"/>
              <w:rPr>
                <w:sz w:val="21"/>
                <w:szCs w:val="21"/>
              </w:rPr>
            </w:pPr>
            <w:r>
              <w:rPr>
                <w:rFonts w:hint="eastAsia"/>
                <w:sz w:val="21"/>
                <w:szCs w:val="21"/>
              </w:rPr>
              <w:t>-1.19%</w:t>
            </w:r>
          </w:p>
        </w:tc>
        <w:tc>
          <w:tcPr>
            <w:tcW w:w="1131" w:type="dxa"/>
            <w:tcBorders>
              <w:top w:val="single" w:sz="8" w:space="0" w:color="000000"/>
              <w:left w:val="single" w:sz="8" w:space="0" w:color="000000"/>
              <w:bottom w:val="single" w:sz="8" w:space="0" w:color="000000"/>
              <w:right w:val="single" w:sz="8" w:space="0" w:color="000000"/>
            </w:tcBorders>
            <w:vAlign w:val="center"/>
          </w:tcPr>
          <w:p w14:paraId="3F8944EC" w14:textId="77777777" w:rsidR="004C06C5" w:rsidRDefault="00ED474B">
            <w:pPr>
              <w:pStyle w:val="biaogecenter"/>
              <w:wordWrap w:val="0"/>
              <w:spacing w:line="360" w:lineRule="auto"/>
              <w:rPr>
                <w:sz w:val="21"/>
                <w:szCs w:val="21"/>
              </w:rPr>
            </w:pPr>
            <w:r>
              <w:rPr>
                <w:rFonts w:hint="eastAsia"/>
                <w:sz w:val="21"/>
                <w:szCs w:val="21"/>
              </w:rPr>
              <w:t>0.16%</w:t>
            </w:r>
          </w:p>
        </w:tc>
      </w:tr>
      <w:tr w:rsidR="004C06C5" w14:paraId="4D302A65" w14:textId="77777777">
        <w:trPr>
          <w:trHeight w:val="820"/>
          <w:jc w:val="center"/>
        </w:trPr>
        <w:tc>
          <w:tcPr>
            <w:tcW w:w="1418" w:type="dxa"/>
            <w:tcBorders>
              <w:top w:val="single" w:sz="8" w:space="0" w:color="000000"/>
              <w:left w:val="single" w:sz="8" w:space="0" w:color="000000"/>
              <w:bottom w:val="single" w:sz="8" w:space="0" w:color="000000"/>
              <w:right w:val="single" w:sz="8" w:space="0" w:color="000000"/>
            </w:tcBorders>
            <w:vAlign w:val="center"/>
          </w:tcPr>
          <w:p w14:paraId="1A35934B" w14:textId="77777777" w:rsidR="004C06C5" w:rsidRDefault="00ED474B">
            <w:pPr>
              <w:pStyle w:val="biaogeleft"/>
              <w:wordWrap w:val="0"/>
              <w:spacing w:line="360" w:lineRule="auto"/>
              <w:rPr>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52" w:type="dxa"/>
            <w:tcBorders>
              <w:top w:val="single" w:sz="8" w:space="0" w:color="000000"/>
              <w:left w:val="single" w:sz="8" w:space="0" w:color="000000"/>
              <w:bottom w:val="single" w:sz="8" w:space="0" w:color="000000"/>
              <w:right w:val="single" w:sz="8" w:space="0" w:color="000000"/>
            </w:tcBorders>
            <w:vAlign w:val="center"/>
          </w:tcPr>
          <w:p w14:paraId="14605840" w14:textId="77777777" w:rsidR="004C06C5" w:rsidRDefault="00ED474B">
            <w:pPr>
              <w:pStyle w:val="biaogecenter"/>
              <w:wordWrap w:val="0"/>
              <w:spacing w:line="360" w:lineRule="auto"/>
              <w:rPr>
                <w:sz w:val="21"/>
                <w:szCs w:val="21"/>
              </w:rPr>
            </w:pPr>
            <w:r>
              <w:rPr>
                <w:sz w:val="21"/>
                <w:szCs w:val="21"/>
              </w:rPr>
              <w:t>-0.93%</w:t>
            </w:r>
          </w:p>
        </w:tc>
        <w:tc>
          <w:tcPr>
            <w:tcW w:w="1163" w:type="dxa"/>
            <w:tcBorders>
              <w:top w:val="single" w:sz="8" w:space="0" w:color="000000"/>
              <w:left w:val="single" w:sz="8" w:space="0" w:color="000000"/>
              <w:bottom w:val="single" w:sz="8" w:space="0" w:color="000000"/>
              <w:right w:val="single" w:sz="8" w:space="0" w:color="000000"/>
            </w:tcBorders>
            <w:vAlign w:val="center"/>
          </w:tcPr>
          <w:p w14:paraId="4F2644F9" w14:textId="77777777" w:rsidR="004C06C5" w:rsidRDefault="00ED474B">
            <w:pPr>
              <w:pStyle w:val="biaogecenter"/>
              <w:wordWrap w:val="0"/>
              <w:spacing w:line="360" w:lineRule="auto"/>
              <w:rPr>
                <w:sz w:val="21"/>
                <w:szCs w:val="21"/>
              </w:rPr>
            </w:pPr>
            <w:r>
              <w:rPr>
                <w:sz w:val="21"/>
                <w:szCs w:val="21"/>
              </w:rPr>
              <w:t>0.14%</w:t>
            </w:r>
          </w:p>
        </w:tc>
        <w:tc>
          <w:tcPr>
            <w:tcW w:w="1356" w:type="dxa"/>
            <w:tcBorders>
              <w:top w:val="single" w:sz="8" w:space="0" w:color="000000"/>
              <w:left w:val="single" w:sz="8" w:space="0" w:color="000000"/>
              <w:bottom w:val="single" w:sz="8" w:space="0" w:color="000000"/>
              <w:right w:val="single" w:sz="8" w:space="0" w:color="000000"/>
            </w:tcBorders>
            <w:vAlign w:val="center"/>
          </w:tcPr>
          <w:p w14:paraId="0A30E75E" w14:textId="77777777" w:rsidR="004C06C5" w:rsidRDefault="00ED474B">
            <w:pPr>
              <w:pStyle w:val="biaogecenter"/>
              <w:wordWrap w:val="0"/>
              <w:spacing w:line="360" w:lineRule="auto"/>
              <w:rPr>
                <w:sz w:val="21"/>
                <w:szCs w:val="21"/>
              </w:rPr>
            </w:pPr>
            <w:r>
              <w:rPr>
                <w:sz w:val="21"/>
                <w:szCs w:val="21"/>
              </w:rPr>
              <w:t>4.28%</w:t>
            </w:r>
          </w:p>
        </w:tc>
        <w:tc>
          <w:tcPr>
            <w:tcW w:w="1298" w:type="dxa"/>
            <w:tcBorders>
              <w:top w:val="single" w:sz="8" w:space="0" w:color="000000"/>
              <w:left w:val="single" w:sz="8" w:space="0" w:color="000000"/>
              <w:bottom w:val="single" w:sz="8" w:space="0" w:color="000000"/>
              <w:right w:val="single" w:sz="8" w:space="0" w:color="000000"/>
            </w:tcBorders>
            <w:vAlign w:val="center"/>
          </w:tcPr>
          <w:p w14:paraId="1128ABA3" w14:textId="77777777" w:rsidR="004C06C5" w:rsidRDefault="00ED474B">
            <w:pPr>
              <w:pStyle w:val="biaogecenter"/>
              <w:wordWrap w:val="0"/>
              <w:spacing w:line="360" w:lineRule="auto"/>
              <w:rPr>
                <w:sz w:val="21"/>
                <w:szCs w:val="21"/>
              </w:rPr>
            </w:pPr>
            <w:r>
              <w:rPr>
                <w:sz w:val="21"/>
                <w:szCs w:val="21"/>
              </w:rPr>
              <w:t>0.04%</w:t>
            </w:r>
          </w:p>
        </w:tc>
        <w:tc>
          <w:tcPr>
            <w:tcW w:w="1390" w:type="dxa"/>
            <w:tcBorders>
              <w:top w:val="single" w:sz="8" w:space="0" w:color="000000"/>
              <w:left w:val="single" w:sz="8" w:space="0" w:color="000000"/>
              <w:bottom w:val="single" w:sz="8" w:space="0" w:color="000000"/>
              <w:right w:val="single" w:sz="8" w:space="0" w:color="000000"/>
            </w:tcBorders>
            <w:vAlign w:val="center"/>
          </w:tcPr>
          <w:p w14:paraId="604D3F50" w14:textId="77777777" w:rsidR="004C06C5" w:rsidRDefault="00ED474B">
            <w:pPr>
              <w:pStyle w:val="biaogecenter"/>
              <w:wordWrap w:val="0"/>
              <w:spacing w:line="360" w:lineRule="auto"/>
              <w:rPr>
                <w:sz w:val="21"/>
                <w:szCs w:val="21"/>
              </w:rPr>
            </w:pPr>
            <w:r>
              <w:rPr>
                <w:sz w:val="21"/>
                <w:szCs w:val="21"/>
              </w:rPr>
              <w:t>-5.21%</w:t>
            </w:r>
          </w:p>
        </w:tc>
        <w:tc>
          <w:tcPr>
            <w:tcW w:w="1131" w:type="dxa"/>
            <w:tcBorders>
              <w:top w:val="single" w:sz="8" w:space="0" w:color="000000"/>
              <w:left w:val="single" w:sz="8" w:space="0" w:color="000000"/>
              <w:bottom w:val="single" w:sz="8" w:space="0" w:color="000000"/>
              <w:right w:val="single" w:sz="8" w:space="0" w:color="000000"/>
            </w:tcBorders>
            <w:vAlign w:val="center"/>
          </w:tcPr>
          <w:p w14:paraId="0E82DB9F" w14:textId="77777777" w:rsidR="004C06C5" w:rsidRDefault="00ED474B">
            <w:pPr>
              <w:pStyle w:val="biaogecenter"/>
              <w:wordWrap w:val="0"/>
              <w:spacing w:line="360" w:lineRule="auto"/>
              <w:rPr>
                <w:sz w:val="21"/>
                <w:szCs w:val="21"/>
              </w:rPr>
            </w:pPr>
            <w:r>
              <w:rPr>
                <w:sz w:val="21"/>
                <w:szCs w:val="21"/>
              </w:rPr>
              <w:t>0.10%</w:t>
            </w:r>
          </w:p>
        </w:tc>
      </w:tr>
      <w:tr w:rsidR="004C06C5" w14:paraId="51224458" w14:textId="77777777">
        <w:trPr>
          <w:trHeight w:val="820"/>
          <w:jc w:val="center"/>
        </w:trPr>
        <w:tc>
          <w:tcPr>
            <w:tcW w:w="1418" w:type="dxa"/>
            <w:tcBorders>
              <w:top w:val="single" w:sz="8" w:space="0" w:color="000000"/>
              <w:left w:val="single" w:sz="8" w:space="0" w:color="000000"/>
              <w:bottom w:val="single" w:sz="6" w:space="0" w:color="000000"/>
              <w:right w:val="single" w:sz="8" w:space="0" w:color="000000"/>
            </w:tcBorders>
            <w:vAlign w:val="center"/>
          </w:tcPr>
          <w:p w14:paraId="4BD7310B" w14:textId="77777777" w:rsidR="004C06C5" w:rsidRDefault="00ED474B">
            <w:pPr>
              <w:pStyle w:val="biaogeleft"/>
              <w:wordWrap w:val="0"/>
              <w:spacing w:line="360" w:lineRule="auto"/>
              <w:rPr>
                <w:color w:val="000000"/>
                <w:sz w:val="21"/>
                <w:szCs w:val="21"/>
              </w:rPr>
            </w:pPr>
            <w:r>
              <w:rPr>
                <w:rFonts w:hint="eastAsia"/>
                <w:color w:val="000000"/>
                <w:sz w:val="21"/>
                <w:szCs w:val="21"/>
              </w:rPr>
              <w:lastRenderedPageBreak/>
              <w:t>自基金合同生效起至</w:t>
            </w:r>
          </w:p>
          <w:p w14:paraId="1981505C" w14:textId="77777777" w:rsidR="004C06C5" w:rsidRDefault="00ED474B">
            <w:pPr>
              <w:pStyle w:val="biaogeleft"/>
              <w:wordWrap w:val="0"/>
              <w:spacing w:line="360" w:lineRule="auto"/>
              <w:rPr>
                <w:color w:val="000000"/>
                <w:sz w:val="21"/>
                <w:szCs w:val="21"/>
              </w:rPr>
            </w:pPr>
            <w:r>
              <w:rPr>
                <w:color w:val="000000"/>
                <w:sz w:val="21"/>
                <w:szCs w:val="21"/>
              </w:rPr>
              <w:t>2019.12.31</w:t>
            </w:r>
          </w:p>
        </w:tc>
        <w:tc>
          <w:tcPr>
            <w:tcW w:w="1052" w:type="dxa"/>
            <w:tcBorders>
              <w:top w:val="single" w:sz="8" w:space="0" w:color="000000"/>
              <w:left w:val="single" w:sz="8" w:space="0" w:color="000000"/>
              <w:bottom w:val="single" w:sz="6" w:space="0" w:color="000000"/>
              <w:right w:val="single" w:sz="8" w:space="0" w:color="000000"/>
            </w:tcBorders>
            <w:vAlign w:val="center"/>
          </w:tcPr>
          <w:p w14:paraId="10F49957" w14:textId="77777777" w:rsidR="004C06C5" w:rsidRDefault="00ED474B">
            <w:pPr>
              <w:pStyle w:val="biaogecenter"/>
              <w:wordWrap w:val="0"/>
              <w:spacing w:line="360" w:lineRule="auto"/>
              <w:rPr>
                <w:sz w:val="21"/>
                <w:szCs w:val="21"/>
              </w:rPr>
            </w:pPr>
            <w:r>
              <w:rPr>
                <w:sz w:val="21"/>
                <w:szCs w:val="21"/>
              </w:rPr>
              <w:t>4.84%</w:t>
            </w:r>
          </w:p>
        </w:tc>
        <w:tc>
          <w:tcPr>
            <w:tcW w:w="1163" w:type="dxa"/>
            <w:tcBorders>
              <w:top w:val="single" w:sz="8" w:space="0" w:color="000000"/>
              <w:left w:val="single" w:sz="8" w:space="0" w:color="000000"/>
              <w:bottom w:val="single" w:sz="6" w:space="0" w:color="000000"/>
              <w:right w:val="single" w:sz="8" w:space="0" w:color="000000"/>
            </w:tcBorders>
            <w:vAlign w:val="center"/>
          </w:tcPr>
          <w:p w14:paraId="12AB4FC3" w14:textId="77777777" w:rsidR="004C06C5" w:rsidRDefault="00ED474B">
            <w:pPr>
              <w:pStyle w:val="biaogecenter"/>
              <w:wordWrap w:val="0"/>
              <w:spacing w:line="360" w:lineRule="auto"/>
              <w:rPr>
                <w:sz w:val="21"/>
                <w:szCs w:val="21"/>
              </w:rPr>
            </w:pPr>
            <w:r>
              <w:rPr>
                <w:sz w:val="21"/>
                <w:szCs w:val="21"/>
              </w:rPr>
              <w:t>0.18%</w:t>
            </w:r>
          </w:p>
        </w:tc>
        <w:tc>
          <w:tcPr>
            <w:tcW w:w="1356" w:type="dxa"/>
            <w:tcBorders>
              <w:top w:val="single" w:sz="8" w:space="0" w:color="000000"/>
              <w:left w:val="single" w:sz="8" w:space="0" w:color="000000"/>
              <w:bottom w:val="single" w:sz="6" w:space="0" w:color="000000"/>
              <w:right w:val="single" w:sz="8" w:space="0" w:color="000000"/>
            </w:tcBorders>
            <w:vAlign w:val="center"/>
          </w:tcPr>
          <w:p w14:paraId="511FA54F" w14:textId="77777777" w:rsidR="004C06C5" w:rsidRDefault="00ED474B">
            <w:pPr>
              <w:pStyle w:val="biaogecenter"/>
              <w:wordWrap w:val="0"/>
              <w:spacing w:line="360" w:lineRule="auto"/>
              <w:rPr>
                <w:sz w:val="21"/>
                <w:szCs w:val="21"/>
              </w:rPr>
            </w:pPr>
            <w:r>
              <w:rPr>
                <w:sz w:val="21"/>
                <w:szCs w:val="21"/>
              </w:rPr>
              <w:t>11.59%</w:t>
            </w:r>
          </w:p>
        </w:tc>
        <w:tc>
          <w:tcPr>
            <w:tcW w:w="1298" w:type="dxa"/>
            <w:tcBorders>
              <w:top w:val="single" w:sz="8" w:space="0" w:color="000000"/>
              <w:left w:val="single" w:sz="8" w:space="0" w:color="000000"/>
              <w:bottom w:val="single" w:sz="6" w:space="0" w:color="000000"/>
              <w:right w:val="single" w:sz="8" w:space="0" w:color="000000"/>
            </w:tcBorders>
            <w:vAlign w:val="center"/>
          </w:tcPr>
          <w:p w14:paraId="4615ADC0" w14:textId="77777777" w:rsidR="004C06C5" w:rsidRDefault="00ED474B">
            <w:pPr>
              <w:pStyle w:val="biaogecenter"/>
              <w:wordWrap w:val="0"/>
              <w:spacing w:line="360" w:lineRule="auto"/>
              <w:rPr>
                <w:sz w:val="21"/>
                <w:szCs w:val="21"/>
              </w:rPr>
            </w:pPr>
            <w:r>
              <w:rPr>
                <w:sz w:val="21"/>
                <w:szCs w:val="21"/>
              </w:rPr>
              <w:t>0.05%</w:t>
            </w:r>
          </w:p>
        </w:tc>
        <w:tc>
          <w:tcPr>
            <w:tcW w:w="1390" w:type="dxa"/>
            <w:tcBorders>
              <w:top w:val="single" w:sz="8" w:space="0" w:color="000000"/>
              <w:left w:val="single" w:sz="8" w:space="0" w:color="000000"/>
              <w:bottom w:val="single" w:sz="6" w:space="0" w:color="000000"/>
              <w:right w:val="single" w:sz="8" w:space="0" w:color="000000"/>
            </w:tcBorders>
            <w:vAlign w:val="center"/>
          </w:tcPr>
          <w:p w14:paraId="48B787B9" w14:textId="77777777" w:rsidR="004C06C5" w:rsidRDefault="00ED474B">
            <w:pPr>
              <w:pStyle w:val="biaogecenter"/>
              <w:wordWrap w:val="0"/>
              <w:spacing w:line="360" w:lineRule="auto"/>
              <w:rPr>
                <w:sz w:val="21"/>
                <w:szCs w:val="21"/>
              </w:rPr>
            </w:pPr>
            <w:r>
              <w:rPr>
                <w:sz w:val="21"/>
                <w:szCs w:val="21"/>
              </w:rPr>
              <w:t>-6.75%</w:t>
            </w:r>
          </w:p>
        </w:tc>
        <w:tc>
          <w:tcPr>
            <w:tcW w:w="1131" w:type="dxa"/>
            <w:tcBorders>
              <w:top w:val="single" w:sz="8" w:space="0" w:color="000000"/>
              <w:left w:val="single" w:sz="8" w:space="0" w:color="000000"/>
              <w:bottom w:val="single" w:sz="6" w:space="0" w:color="000000"/>
              <w:right w:val="single" w:sz="8" w:space="0" w:color="000000"/>
            </w:tcBorders>
            <w:vAlign w:val="center"/>
          </w:tcPr>
          <w:p w14:paraId="43DEB067" w14:textId="77777777" w:rsidR="004C06C5" w:rsidRDefault="00ED474B">
            <w:pPr>
              <w:pStyle w:val="biaogecenter"/>
              <w:wordWrap w:val="0"/>
              <w:spacing w:line="360" w:lineRule="auto"/>
              <w:rPr>
                <w:sz w:val="21"/>
                <w:szCs w:val="21"/>
              </w:rPr>
            </w:pPr>
            <w:r>
              <w:rPr>
                <w:sz w:val="21"/>
                <w:szCs w:val="21"/>
              </w:rPr>
              <w:t>0.13%</w:t>
            </w:r>
          </w:p>
        </w:tc>
      </w:tr>
    </w:tbl>
    <w:p w14:paraId="2AA4D783" w14:textId="77777777" w:rsidR="004C06C5" w:rsidRDefault="004C06C5">
      <w:pPr>
        <w:pStyle w:val="neirong"/>
        <w:spacing w:line="360" w:lineRule="auto"/>
        <w:ind w:left="0"/>
        <w:rPr>
          <w:sz w:val="21"/>
          <w:szCs w:val="21"/>
        </w:rPr>
      </w:pPr>
    </w:p>
    <w:p w14:paraId="10EC7384" w14:textId="77777777" w:rsidR="004C06C5" w:rsidRDefault="00ED474B">
      <w:pPr>
        <w:pStyle w:val="neirong"/>
        <w:spacing w:line="360" w:lineRule="auto"/>
        <w:ind w:left="0"/>
        <w:rPr>
          <w:sz w:val="21"/>
          <w:szCs w:val="21"/>
        </w:rPr>
      </w:pPr>
      <w:r>
        <w:rPr>
          <w:rFonts w:hint="eastAsia"/>
          <w:sz w:val="21"/>
          <w:szCs w:val="21"/>
        </w:rPr>
        <w:t>注：本基金的业绩比较基准为：中</w:t>
      </w:r>
      <w:proofErr w:type="gramStart"/>
      <w:r>
        <w:rPr>
          <w:rFonts w:hint="eastAsia"/>
          <w:sz w:val="21"/>
          <w:szCs w:val="21"/>
        </w:rPr>
        <w:t>债综合</w:t>
      </w:r>
      <w:proofErr w:type="gramEnd"/>
      <w:r>
        <w:rPr>
          <w:rFonts w:hint="eastAsia"/>
          <w:sz w:val="21"/>
          <w:szCs w:val="21"/>
        </w:rPr>
        <w:t>指数（总财富）×90%+1年期定期存款利率（税后）×10%</w:t>
      </w:r>
    </w:p>
    <w:p w14:paraId="5A1847E6" w14:textId="77777777" w:rsidR="004C06C5" w:rsidRDefault="00ED474B">
      <w:pPr>
        <w:pStyle w:val="neirong"/>
        <w:spacing w:line="360" w:lineRule="auto"/>
        <w:ind w:left="0"/>
        <w:rPr>
          <w:bCs/>
          <w:sz w:val="21"/>
          <w:szCs w:val="21"/>
        </w:rPr>
      </w:pPr>
      <w:r>
        <w:rPr>
          <w:rFonts w:hint="eastAsia"/>
          <w:bCs/>
          <w:sz w:val="21"/>
          <w:szCs w:val="21"/>
        </w:rPr>
        <w:t>2、自基金合同生效以来基金累计净值增长率变动及其与同期业绩比较基准收益率变动的比较</w:t>
      </w:r>
    </w:p>
    <w:p w14:paraId="708B1E30" w14:textId="77777777" w:rsidR="004C06C5" w:rsidRDefault="004C06C5">
      <w:pPr>
        <w:pStyle w:val="neirong"/>
        <w:spacing w:line="360" w:lineRule="auto"/>
        <w:ind w:left="0"/>
        <w:rPr>
          <w:bCs/>
          <w:sz w:val="21"/>
          <w:szCs w:val="21"/>
        </w:rPr>
      </w:pPr>
    </w:p>
    <w:p w14:paraId="24121D4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hAnsi="Calibri"/>
          <w:noProof/>
          <w:color w:val="000000"/>
        </w:rPr>
        <w:drawing>
          <wp:inline distT="0" distB="0" distL="0" distR="0" wp14:anchorId="6254FD15" wp14:editId="717DFBF2">
            <wp:extent cx="5274310" cy="3426460"/>
            <wp:effectExtent l="0" t="0" r="2540" b="2540"/>
            <wp:docPr id="3" name="图片 3" descr="说明: D:\HundSun\FA_Client\Bin\MOD\TMP\CN_51130000_004792_FB010010_2020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D:\HundSun\FA_Client\Bin\MOD\TMP\CN_51130000_004792_FB010010_20200002_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5274310" cy="3426508"/>
                    </a:xfrm>
                    <a:prstGeom prst="rect">
                      <a:avLst/>
                    </a:prstGeom>
                    <a:noFill/>
                    <a:ln>
                      <a:noFill/>
                    </a:ln>
                  </pic:spPr>
                </pic:pic>
              </a:graphicData>
            </a:graphic>
          </wp:inline>
        </w:drawing>
      </w:r>
    </w:p>
    <w:p w14:paraId="65F956B3"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297FF62F" w14:textId="77777777" w:rsidR="004C06C5" w:rsidRDefault="00ED474B">
      <w:pPr>
        <w:adjustRightInd w:val="0"/>
        <w:snapToGrid w:val="0"/>
        <w:spacing w:line="360" w:lineRule="auto"/>
        <w:ind w:firstLineChars="200" w:firstLine="420"/>
      </w:pPr>
      <w:r>
        <w:rPr>
          <w:rFonts w:hAnsi="Calibri"/>
          <w:noProof/>
          <w:color w:val="000000"/>
        </w:rPr>
        <w:lastRenderedPageBreak/>
        <w:drawing>
          <wp:inline distT="0" distB="0" distL="0" distR="0" wp14:anchorId="093773A5" wp14:editId="2F5C36D1">
            <wp:extent cx="5274310" cy="3426460"/>
            <wp:effectExtent l="0" t="0" r="2540" b="2540"/>
            <wp:docPr id="4" name="图片 4" descr="说明: D:\HundSun\FA_Client\Bin\MOD\TMP\CN_51130000_004792_FB010010_2020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说明: D:\HundSun\FA_Client\Bin\MOD\TMP\CN_51130000_004792_FB010010_20200002_3.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274310" cy="3426508"/>
                    </a:xfrm>
                    <a:prstGeom prst="rect">
                      <a:avLst/>
                    </a:prstGeom>
                    <a:noFill/>
                    <a:ln>
                      <a:noFill/>
                    </a:ln>
                  </pic:spPr>
                </pic:pic>
              </a:graphicData>
            </a:graphic>
          </wp:inline>
        </w:drawing>
      </w:r>
    </w:p>
    <w:p w14:paraId="2D1424CB" w14:textId="77777777" w:rsidR="004C06C5" w:rsidRDefault="00ED474B">
      <w:pPr>
        <w:pStyle w:val="neirong"/>
        <w:spacing w:line="360" w:lineRule="auto"/>
        <w:ind w:left="0"/>
        <w:rPr>
          <w:sz w:val="21"/>
          <w:szCs w:val="21"/>
        </w:rPr>
      </w:pPr>
      <w:r>
        <w:rPr>
          <w:rFonts w:hint="eastAsia"/>
        </w:rPr>
        <w:t>注：本基金建仓期为6个月，建仓期结束时各项资产配置比例符合合同约定。</w:t>
      </w:r>
    </w:p>
    <w:p w14:paraId="78D450AA" w14:textId="77777777" w:rsidR="004C06C5" w:rsidRDefault="004C06C5">
      <w:pPr>
        <w:pStyle w:val="neirong"/>
        <w:spacing w:line="360" w:lineRule="auto"/>
        <w:ind w:left="0"/>
        <w:rPr>
          <w:rFonts w:cs="Arial"/>
          <w:bCs/>
          <w:kern w:val="2"/>
          <w:sz w:val="21"/>
          <w:szCs w:val="21"/>
        </w:rPr>
      </w:pPr>
    </w:p>
    <w:p w14:paraId="0427908F" w14:textId="77777777" w:rsidR="004C06C5" w:rsidRDefault="004C06C5">
      <w:pPr>
        <w:pStyle w:val="neirong"/>
        <w:spacing w:line="360" w:lineRule="auto"/>
        <w:ind w:left="0"/>
        <w:rPr>
          <w:sz w:val="21"/>
          <w:szCs w:val="21"/>
        </w:rPr>
      </w:pPr>
    </w:p>
    <w:p w14:paraId="7CE168BB" w14:textId="77777777" w:rsidR="004C06C5" w:rsidRDefault="00ED474B">
      <w:pPr>
        <w:pStyle w:val="11"/>
        <w:snapToGrid w:val="0"/>
        <w:spacing w:before="0" w:after="0" w:line="360" w:lineRule="auto"/>
        <w:rPr>
          <w:rFonts w:ascii="Arial Unicode MS" w:hAnsi="Arial Unicode MS" w:cs="Arial"/>
          <w:b/>
          <w:bCs/>
          <w:sz w:val="28"/>
          <w:szCs w:val="28"/>
        </w:rPr>
      </w:pPr>
      <w:bookmarkStart w:id="66" w:name="_Toc79392634"/>
      <w:r>
        <w:br w:type="page"/>
      </w:r>
      <w:bookmarkStart w:id="67" w:name="_Toc214873599"/>
      <w:bookmarkStart w:id="68" w:name="_Toc317088147"/>
      <w:bookmarkStart w:id="69" w:name="_Toc317088544"/>
      <w:bookmarkStart w:id="70" w:name="_Toc320887649"/>
      <w:bookmarkStart w:id="71" w:name="_Toc335232698"/>
      <w:bookmarkStart w:id="72" w:name="_Toc1464065"/>
      <w:bookmarkEnd w:id="66"/>
      <w:r>
        <w:rPr>
          <w:rFonts w:ascii="Arial Unicode MS" w:eastAsia="宋体" w:hAnsi="Arial Unicode MS" w:cs="Arial" w:hint="eastAsia"/>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hint="eastAsia"/>
          <w:b/>
          <w:bCs/>
          <w:sz w:val="28"/>
          <w:szCs w:val="28"/>
        </w:rPr>
        <w:t>基金的财产</w:t>
      </w:r>
      <w:bookmarkEnd w:id="67"/>
      <w:bookmarkEnd w:id="68"/>
      <w:bookmarkEnd w:id="69"/>
      <w:bookmarkEnd w:id="70"/>
      <w:bookmarkEnd w:id="71"/>
      <w:bookmarkEnd w:id="72"/>
    </w:p>
    <w:p w14:paraId="6E7BC345" w14:textId="77777777" w:rsidR="004C06C5" w:rsidRDefault="004C06C5">
      <w:pPr>
        <w:rPr>
          <w:rFonts w:ascii="Arial Unicode MS" w:hAnsi="Arial Unicode MS"/>
          <w:lang w:val="zh-CN"/>
        </w:rPr>
      </w:pPr>
    </w:p>
    <w:p w14:paraId="1CFF194B" w14:textId="77777777"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14:paraId="017A0307" w14:textId="77777777" w:rsidR="004C06C5" w:rsidRDefault="00ED474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基金资产总值是指基金拥有的各类有价证券、银行存款本息和基金应收款项以及其他资产的价值总和。</w:t>
      </w:r>
    </w:p>
    <w:p w14:paraId="40D2E089" w14:textId="77777777"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14:paraId="74FCBC10" w14:textId="77777777" w:rsidR="004C06C5" w:rsidRDefault="00ED474B">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14:paraId="1EC7A461" w14:textId="77777777"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14:paraId="6BF9ECBC" w14:textId="77777777" w:rsidR="004C06C5" w:rsidRDefault="00ED474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6DFBDDC8" w14:textId="77777777"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14:paraId="72783AAA" w14:textId="77777777" w:rsidR="004C06C5" w:rsidRDefault="00ED474B">
      <w:pPr>
        <w:spacing w:line="360" w:lineRule="auto"/>
        <w:ind w:firstLineChars="200" w:firstLine="420"/>
        <w:rPr>
          <w:rFonts w:ascii="Arial Unicode MS" w:hAnsi="Arial Unicode MS" w:cs="Arial"/>
          <w:bCs/>
          <w:szCs w:val="21"/>
        </w:rPr>
      </w:pPr>
      <w:bookmarkStart w:id="73" w:name="_Hlt88900062"/>
      <w:bookmarkStart w:id="74" w:name="_Hlt88841837"/>
      <w:bookmarkEnd w:id="73"/>
      <w:bookmarkEnd w:id="74"/>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Cs w:val="21"/>
        </w:rPr>
        <w:t>律法规</w:t>
      </w:r>
      <w:proofErr w:type="gramEnd"/>
      <w:r>
        <w:rPr>
          <w:rFonts w:ascii="Arial Unicode MS" w:hAnsi="Arial Unicode MS" w:cs="Arial" w:hint="eastAsia"/>
          <w:bCs/>
          <w:szCs w:val="21"/>
        </w:rPr>
        <w:t>和《基金合同》的规定处分外，基金财产不得被处分。</w:t>
      </w:r>
    </w:p>
    <w:p w14:paraId="096F7316" w14:textId="77777777" w:rsidR="004C06C5" w:rsidRDefault="00ED474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；基金管理人管理运作不同基金的基金财产所产生的债权债务不得相互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w:t>
      </w:r>
    </w:p>
    <w:p w14:paraId="139ED90E" w14:textId="77777777" w:rsidR="004C06C5" w:rsidRDefault="004C06C5">
      <w:pPr>
        <w:spacing w:line="360" w:lineRule="auto"/>
        <w:ind w:firstLineChars="200" w:firstLine="420"/>
        <w:rPr>
          <w:rFonts w:ascii="Arial Unicode MS" w:hAnsi="Arial Unicode MS" w:cs="Arial"/>
          <w:szCs w:val="21"/>
        </w:rPr>
        <w:sectPr w:rsidR="004C06C5">
          <w:footerReference w:type="default" r:id="rId24"/>
          <w:footerReference w:type="first" r:id="rId25"/>
          <w:pgSz w:w="11906" w:h="16838"/>
          <w:pgMar w:top="1440" w:right="1800" w:bottom="1440" w:left="1800" w:header="851" w:footer="992" w:gutter="0"/>
          <w:cols w:space="720"/>
          <w:titlePg/>
          <w:docGrid w:linePitch="312"/>
        </w:sectPr>
      </w:pPr>
    </w:p>
    <w:p w14:paraId="4FF99B31" w14:textId="77777777"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75" w:name="_Toc214873600"/>
      <w:bookmarkStart w:id="76" w:name="_Toc335232699"/>
      <w:bookmarkStart w:id="77" w:name="_Toc317088148"/>
      <w:bookmarkStart w:id="78" w:name="_Toc1464066"/>
      <w:bookmarkStart w:id="79" w:name="_Toc317088545"/>
      <w:bookmarkStart w:id="80" w:name="_Toc32088765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75"/>
      <w:bookmarkEnd w:id="76"/>
      <w:bookmarkEnd w:id="77"/>
      <w:bookmarkEnd w:id="78"/>
      <w:bookmarkEnd w:id="79"/>
      <w:bookmarkEnd w:id="80"/>
    </w:p>
    <w:p w14:paraId="35C38DFA" w14:textId="77777777" w:rsidR="004C06C5" w:rsidRDefault="004C06C5">
      <w:pPr>
        <w:rPr>
          <w:rFonts w:ascii="Arial Unicode MS" w:hAnsi="Arial Unicode MS"/>
          <w:lang w:val="zh-CN"/>
        </w:rPr>
      </w:pPr>
    </w:p>
    <w:p w14:paraId="2A2A8E3B" w14:textId="77777777" w:rsidR="004C06C5" w:rsidRDefault="00ED474B">
      <w:pPr>
        <w:spacing w:line="360" w:lineRule="auto"/>
        <w:ind w:firstLineChars="200" w:firstLine="422"/>
        <w:rPr>
          <w:rFonts w:ascii="Arial Unicode MS" w:hAnsi="Arial Unicode MS"/>
          <w:b/>
          <w:bCs/>
          <w:szCs w:val="21"/>
        </w:rPr>
      </w:pPr>
      <w:bookmarkStart w:id="81" w:name="_Toc530223193"/>
      <w:bookmarkStart w:id="82" w:name="_Toc214873601"/>
      <w:r>
        <w:rPr>
          <w:rFonts w:ascii="Arial Unicode MS" w:hAnsi="Arial Unicode MS"/>
          <w:b/>
          <w:bCs/>
          <w:szCs w:val="21"/>
        </w:rPr>
        <w:t>一、估值日</w:t>
      </w:r>
    </w:p>
    <w:p w14:paraId="3D9F422E"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w:t>
      </w:r>
      <w:proofErr w:type="gramStart"/>
      <w:r>
        <w:rPr>
          <w:rFonts w:ascii="Arial Unicode MS" w:hAnsi="Arial Unicode MS" w:hint="eastAsia"/>
          <w:bCs/>
          <w:szCs w:val="21"/>
        </w:rPr>
        <w:t>非交易</w:t>
      </w:r>
      <w:proofErr w:type="gramEnd"/>
      <w:r>
        <w:rPr>
          <w:rFonts w:ascii="Arial Unicode MS" w:hAnsi="Arial Unicode MS" w:hint="eastAsia"/>
          <w:bCs/>
          <w:szCs w:val="21"/>
        </w:rPr>
        <w:t>日。</w:t>
      </w:r>
    </w:p>
    <w:p w14:paraId="21BAA2E6"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14:paraId="10081046"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基金所拥有的股票、权证、债券、期货合约和银行存款本息、应收款项、其它投资等资产及负债。</w:t>
      </w:r>
    </w:p>
    <w:p w14:paraId="2065022E"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三、估值方法</w:t>
      </w:r>
    </w:p>
    <w:p w14:paraId="5E1173C1"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5E92932B"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824D394"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）交易所上市交易或挂牌转让的固定收益品种（本合同另有规定的除外），选取估值日第三方估值机构提供的相应品种对应的估值净价估值，具体估值机构由基金管理人与托管人另行协商约定；</w:t>
      </w:r>
    </w:p>
    <w:p w14:paraId="77D5B160"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5C029D32"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6B55619A"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、首次公开发行未上市的债券，采用估值技术确定公允价值，在估值技术难以可靠计量公允价值的情况下，按成本估值。</w:t>
      </w:r>
    </w:p>
    <w:p w14:paraId="458E3400"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、全国银行间债券市场交易的债券、资产支持证券等固定收益品种，采用估值技术确定公允价值。</w:t>
      </w:r>
    </w:p>
    <w:p w14:paraId="7B6DC2EE"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4</w:t>
      </w:r>
      <w:r>
        <w:rPr>
          <w:rFonts w:ascii="Arial Unicode MS" w:hAnsi="Arial Unicode MS" w:hint="eastAsia"/>
          <w:bCs/>
          <w:szCs w:val="21"/>
        </w:rPr>
        <w:t>、同一债券同时在两个或两个以上市场交易的，按债券所处的市场分别估值。</w:t>
      </w:r>
    </w:p>
    <w:p w14:paraId="3CDC29FC"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、中小企业私募债券，采用估值技术确定公允价值。在估值技术难以可靠计量公允价值的情况下，按成本估值。</w:t>
      </w:r>
    </w:p>
    <w:p w14:paraId="65437665"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、国债期货合约按照结算价估值，如估值日无结算价且最近交易日后经济环境未发生重大变化，按最近交易日结算价估值。</w:t>
      </w:r>
    </w:p>
    <w:p w14:paraId="6821F654" w14:textId="77777777" w:rsidR="004C06C5" w:rsidRDefault="00ED474B">
      <w:pPr>
        <w:autoSpaceDE w:val="0"/>
        <w:autoSpaceDN w:val="0"/>
        <w:spacing w:line="360" w:lineRule="auto"/>
        <w:ind w:firstLineChars="200" w:firstLine="420"/>
        <w:textAlignment w:val="bottom"/>
        <w:rPr>
          <w:rFonts w:asciiTheme="minorEastAsia" w:eastAsiaTheme="minorEastAsia" w:hAnsiTheme="minorEastAsia"/>
          <w:bCs/>
          <w:szCs w:val="21"/>
        </w:rPr>
      </w:pPr>
      <w:r>
        <w:rPr>
          <w:rFonts w:asciiTheme="minorEastAsia" w:eastAsiaTheme="minorEastAsia" w:hAnsiTheme="minorEastAsia"/>
          <w:bCs/>
          <w:szCs w:val="21"/>
        </w:rPr>
        <w:t>7</w:t>
      </w:r>
      <w:r>
        <w:rPr>
          <w:rFonts w:asciiTheme="minorEastAsia" w:eastAsiaTheme="minorEastAsia" w:hAnsiTheme="minorEastAsia" w:hint="eastAsia"/>
          <w:bCs/>
          <w:szCs w:val="21"/>
        </w:rPr>
        <w:t>、 当本基金发生大额申购或赎回情形时，基金管理人可以对本基金采用摆动定价机制，以确保基金估值的公平性。</w:t>
      </w:r>
    </w:p>
    <w:p w14:paraId="79F3D518"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bCs/>
          <w:szCs w:val="21"/>
        </w:rPr>
        <w:t>8</w:t>
      </w:r>
      <w:r>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1A42FF18"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bCs/>
          <w:szCs w:val="21"/>
        </w:rPr>
        <w:t>9</w:t>
      </w:r>
      <w:r>
        <w:rPr>
          <w:rFonts w:ascii="Arial Unicode MS" w:hAnsi="Arial Unicode MS" w:hint="eastAsia"/>
          <w:bCs/>
          <w:szCs w:val="21"/>
        </w:rPr>
        <w:t>、相关法律法规以及监管部门有强制规定的，从其规定。如有新增事项，按国家最新规定估值。</w:t>
      </w:r>
    </w:p>
    <w:p w14:paraId="1740FB7C"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32FC8DA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DD21B34"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14:paraId="206A58D5"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、各类基金份额净值是按照每个工作日闭市后，基金资产净值除以当日该类基金份额的余额数量计算，精确到</w:t>
      </w:r>
      <w:r>
        <w:rPr>
          <w:rFonts w:ascii="Arial Unicode MS" w:hAnsi="Arial Unicode MS" w:cs="Arial" w:hint="eastAsia"/>
          <w:kern w:val="0"/>
          <w:szCs w:val="21"/>
        </w:rPr>
        <w:t>0.0001</w:t>
      </w:r>
      <w:r>
        <w:rPr>
          <w:rFonts w:ascii="Arial Unicode MS" w:hAnsi="Arial Unicode MS" w:cs="Arial" w:hint="eastAsia"/>
          <w:kern w:val="0"/>
          <w:szCs w:val="21"/>
        </w:rPr>
        <w:t>元，小数点后第</w:t>
      </w:r>
      <w:r>
        <w:rPr>
          <w:rFonts w:ascii="Arial Unicode MS" w:hAnsi="Arial Unicode MS" w:cs="Arial" w:hint="eastAsia"/>
          <w:kern w:val="0"/>
          <w:szCs w:val="21"/>
        </w:rPr>
        <w:t>5</w:t>
      </w:r>
      <w:r>
        <w:rPr>
          <w:rFonts w:ascii="Arial Unicode MS" w:hAnsi="Arial Unicode MS" w:cs="Arial" w:hint="eastAsia"/>
          <w:kern w:val="0"/>
          <w:szCs w:val="21"/>
        </w:rPr>
        <w:t>位四舍五入。国家另有规定的，从其规定。</w:t>
      </w:r>
    </w:p>
    <w:p w14:paraId="2ADEAD09"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基金管理人每个工作日计算基金资产净值及各类基金份额净值，并按规定公告。</w:t>
      </w:r>
    </w:p>
    <w:p w14:paraId="3BA0FAF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w:t>
      </w:r>
      <w:proofErr w:type="gramStart"/>
      <w:r>
        <w:rPr>
          <w:rFonts w:ascii="Arial Unicode MS" w:hAnsi="Arial Unicode MS" w:cs="Arial" w:hint="eastAsia"/>
          <w:kern w:val="0"/>
          <w:szCs w:val="21"/>
        </w:rPr>
        <w:t>应每个</w:t>
      </w:r>
      <w:proofErr w:type="gramEnd"/>
      <w:r>
        <w:rPr>
          <w:rFonts w:ascii="Arial Unicode MS" w:hAnsi="Arial Unicode MS" w:cs="Arial" w:hint="eastAsia"/>
          <w:kern w:val="0"/>
          <w:szCs w:val="21"/>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29C81D76"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五、估值错误的处理</w:t>
      </w:r>
    </w:p>
    <w:p w14:paraId="7D1F01E5"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Pr>
          <w:rFonts w:ascii="Arial Unicode MS" w:hAnsi="Arial Unicode MS" w:cs="Arial" w:hint="eastAsia"/>
          <w:kern w:val="0"/>
          <w:szCs w:val="21"/>
        </w:rPr>
        <w:t>4</w:t>
      </w:r>
      <w:r>
        <w:rPr>
          <w:rFonts w:ascii="Arial Unicode MS" w:hAnsi="Arial Unicode MS" w:cs="Arial" w:hint="eastAsia"/>
          <w:kern w:val="0"/>
          <w:szCs w:val="21"/>
        </w:rPr>
        <w:t>位以内</w:t>
      </w:r>
      <w:r>
        <w:rPr>
          <w:rFonts w:ascii="Arial Unicode MS" w:hAnsi="Arial Unicode MS" w:cs="Arial" w:hint="eastAsia"/>
          <w:kern w:val="0"/>
          <w:szCs w:val="21"/>
        </w:rPr>
        <w:t>(</w:t>
      </w:r>
      <w:r>
        <w:rPr>
          <w:rFonts w:ascii="Arial Unicode MS" w:hAnsi="Arial Unicode MS" w:cs="Arial" w:hint="eastAsia"/>
          <w:kern w:val="0"/>
          <w:szCs w:val="21"/>
        </w:rPr>
        <w:t>含第</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w:t>
      </w:r>
      <w:r>
        <w:rPr>
          <w:rFonts w:ascii="Arial Unicode MS" w:hAnsi="Arial Unicode MS" w:cs="Arial" w:hint="eastAsia"/>
          <w:kern w:val="0"/>
          <w:szCs w:val="21"/>
        </w:rPr>
        <w:t>发生估值错误时，视为该类基金份额净值错误。</w:t>
      </w:r>
    </w:p>
    <w:p w14:paraId="299899B7"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基金合同的当事人应按照以下约定处理：</w:t>
      </w:r>
    </w:p>
    <w:p w14:paraId="5E4DCE21"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1</w:t>
      </w:r>
      <w:r>
        <w:rPr>
          <w:rFonts w:ascii="Arial Unicode MS" w:hAnsi="Arial Unicode MS" w:cs="Arial" w:hint="eastAsia"/>
          <w:kern w:val="0"/>
          <w:szCs w:val="21"/>
        </w:rPr>
        <w:t>、估值错误类型</w:t>
      </w:r>
    </w:p>
    <w:p w14:paraId="69E9C138"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的直接损失按下述“估值错误处理原则”给予赔偿，承担赔偿责任。</w:t>
      </w:r>
    </w:p>
    <w:p w14:paraId="47A67D80"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上述估值错误的主要类型包括但不限于：资料申报差错、数据传输差错、数据计算差错、系统故障差错、下达指令差错等。</w:t>
      </w:r>
    </w:p>
    <w:p w14:paraId="59297083"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、估值错误处理原则</w:t>
      </w:r>
    </w:p>
    <w:p w14:paraId="25CE49B4"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5EE3862"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14:paraId="4EF5F811"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返还或不全部返还不当得利造成其他当事人的利益损失</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D3A96BE"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）估值错误调整采用尽量恢复至假设未发生估值错误的正确情形的方式。</w:t>
      </w:r>
    </w:p>
    <w:p w14:paraId="5BB5C672"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、估值错误处理程序</w:t>
      </w:r>
    </w:p>
    <w:p w14:paraId="678AF1EE"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估值错误被发现后，有关的当事人应当及时进行处理，处理的程序如下：</w:t>
      </w:r>
    </w:p>
    <w:p w14:paraId="58703497"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）查明估值错误发生的原因，列明所有的当事人，并根据估值错误发生的原因确定估值错误的责任方；</w:t>
      </w:r>
    </w:p>
    <w:p w14:paraId="639E6BBB"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）根据估值错误处理原则或当事人协商的方法对因估值错误造成的损失进行评估；</w:t>
      </w:r>
    </w:p>
    <w:p w14:paraId="4F97CDD5"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）根据估值错误处理原则或当事人协商的方法由估值错误的责任方进行更正和赔偿损失；</w:t>
      </w:r>
    </w:p>
    <w:p w14:paraId="0DC0499C"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4</w:t>
      </w:r>
      <w:r>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14:paraId="24D4A85C"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、基金份额净值估值错误处理的方法如下：</w:t>
      </w:r>
    </w:p>
    <w:p w14:paraId="0D4B9E3A"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）基金份额净值计算出现错误时，基金管理人应当立即予以纠正，通报基金托管人，并采取合理的措施防止损失进一步扩大。</w:t>
      </w:r>
    </w:p>
    <w:p w14:paraId="2901D184"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）错误偏差达到该类基金份额净值的</w:t>
      </w:r>
      <w:r>
        <w:rPr>
          <w:rFonts w:ascii="Arial Unicode MS" w:hAnsi="Arial Unicode MS" w:cs="Arial" w:hint="eastAsia"/>
          <w:kern w:val="0"/>
          <w:szCs w:val="21"/>
        </w:rPr>
        <w:t>0.25%</w:t>
      </w:r>
      <w:r>
        <w:rPr>
          <w:rFonts w:ascii="Arial Unicode MS" w:hAnsi="Arial Unicode MS" w:cs="Arial" w:hint="eastAsia"/>
          <w:kern w:val="0"/>
          <w:szCs w:val="21"/>
        </w:rPr>
        <w:t>时，基金管理人应当通报基金托管人并报中国证监会备案；错误偏差达到该类基金份额净值的</w:t>
      </w:r>
      <w:r>
        <w:rPr>
          <w:rFonts w:ascii="Arial Unicode MS" w:hAnsi="Arial Unicode MS" w:cs="Arial" w:hint="eastAsia"/>
          <w:kern w:val="0"/>
          <w:szCs w:val="21"/>
        </w:rPr>
        <w:t>0.5%</w:t>
      </w:r>
      <w:r>
        <w:rPr>
          <w:rFonts w:ascii="Arial Unicode MS" w:hAnsi="Arial Unicode MS" w:cs="Arial" w:hint="eastAsia"/>
          <w:kern w:val="0"/>
          <w:szCs w:val="21"/>
        </w:rPr>
        <w:t>时，基金管理人应当公告。</w:t>
      </w:r>
    </w:p>
    <w:p w14:paraId="45CF828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）前述内容如法律法规或监管机关另有规定的，从其规定处理。</w:t>
      </w:r>
    </w:p>
    <w:p w14:paraId="44CE68A1"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14:paraId="3D90B331"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、基金投资所涉及的证券交易市场遇法定节假日或因其他原因暂停营业时；</w:t>
      </w:r>
    </w:p>
    <w:p w14:paraId="73373C4F"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、因不可抗力致使基金管理人、基金托管人无法准确评估基金资产价值时；</w:t>
      </w:r>
    </w:p>
    <w:p w14:paraId="291196EA"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、当前一估值日基金资产净值</w:t>
      </w:r>
      <w:r>
        <w:rPr>
          <w:rFonts w:ascii="Arial Unicode MS" w:hAnsi="Arial Unicode MS" w:cs="Arial" w:hint="eastAsia"/>
          <w:kern w:val="0"/>
          <w:szCs w:val="21"/>
        </w:rPr>
        <w:t xml:space="preserve"> 50%</w:t>
      </w:r>
      <w:r>
        <w:rPr>
          <w:rFonts w:ascii="Arial Unicode MS" w:hAnsi="Arial Unicode MS" w:cs="Arial" w:hint="eastAsia"/>
          <w:kern w:val="0"/>
          <w:szCs w:val="21"/>
        </w:rPr>
        <w:t>以上的资产出现无可参考的活跃市场价格且采用估值技术</w:t>
      </w:r>
      <w:proofErr w:type="gramStart"/>
      <w:r>
        <w:rPr>
          <w:rFonts w:ascii="Arial Unicode MS" w:hAnsi="Arial Unicode MS" w:cs="Arial" w:hint="eastAsia"/>
          <w:kern w:val="0"/>
          <w:szCs w:val="21"/>
        </w:rPr>
        <w:t>仍导致</w:t>
      </w:r>
      <w:proofErr w:type="gramEnd"/>
      <w:r>
        <w:rPr>
          <w:rFonts w:ascii="Arial Unicode MS" w:hAnsi="Arial Unicode MS" w:cs="Arial" w:hint="eastAsia"/>
          <w:kern w:val="0"/>
          <w:szCs w:val="21"/>
        </w:rPr>
        <w:t>公允价值存在重大不确定性时，经与基金托管人协商一致的；</w:t>
      </w:r>
    </w:p>
    <w:p w14:paraId="22D75E5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、中国证监会和基金合同认定的其它情形。</w:t>
      </w:r>
    </w:p>
    <w:p w14:paraId="3B4BB09C"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14:paraId="61C32B8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176AF374" w14:textId="77777777"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八、特殊情况的处理</w:t>
      </w:r>
    </w:p>
    <w:p w14:paraId="7D0A6F3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、基金管理人或基金托管人按估值方法的第</w:t>
      </w:r>
      <w:r>
        <w:rPr>
          <w:rFonts w:ascii="Arial Unicode MS" w:hAnsi="Arial Unicode MS" w:cs="Arial" w:hint="eastAsia"/>
          <w:kern w:val="0"/>
          <w:szCs w:val="21"/>
        </w:rPr>
        <w:t>8</w:t>
      </w:r>
      <w:r>
        <w:rPr>
          <w:rFonts w:ascii="Arial Unicode MS" w:hAnsi="Arial Unicode MS" w:cs="Arial" w:hint="eastAsia"/>
          <w:kern w:val="0"/>
          <w:szCs w:val="21"/>
        </w:rPr>
        <w:t>项进行估值时，所造成的误差不作为基金资产估值错误处理。</w:t>
      </w:r>
    </w:p>
    <w:p w14:paraId="1458CB0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由于不可抗力原因，或由于证券、期货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D707FF7"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4FE9ECB6" w14:textId="77777777" w:rsidR="004C06C5" w:rsidRDefault="00ED474B">
      <w:pPr>
        <w:pStyle w:val="11"/>
        <w:snapToGrid w:val="0"/>
        <w:spacing w:before="0" w:after="0" w:line="360" w:lineRule="auto"/>
        <w:ind w:firstLine="480"/>
        <w:rPr>
          <w:lang w:val="en-US"/>
        </w:rPr>
      </w:pPr>
      <w:bookmarkStart w:id="83" w:name="_Toc317088149"/>
      <w:bookmarkStart w:id="84" w:name="_Toc320887651"/>
      <w:bookmarkStart w:id="85" w:name="_Toc317088546"/>
      <w:bookmarkStart w:id="86" w:name="_Toc1464067"/>
      <w:bookmarkStart w:id="87" w:name="_Toc33523270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hAnsi="Arial Unicode MS" w:cs="Arial"/>
          <w:b/>
          <w:bCs/>
          <w:sz w:val="28"/>
          <w:szCs w:val="28"/>
          <w:lang w:val="en-US"/>
        </w:rPr>
        <w:t xml:space="preserve"> </w:t>
      </w:r>
      <w:bookmarkEnd w:id="81"/>
      <w:r>
        <w:rPr>
          <w:rFonts w:ascii="Arial Unicode MS" w:eastAsia="宋体" w:hAnsi="Arial Unicode MS" w:cs="Arial"/>
          <w:b/>
          <w:bCs/>
          <w:sz w:val="28"/>
          <w:szCs w:val="28"/>
        </w:rPr>
        <w:t>基金的收益</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分配</w:t>
      </w:r>
      <w:bookmarkEnd w:id="82"/>
      <w:bookmarkEnd w:id="83"/>
      <w:bookmarkEnd w:id="84"/>
      <w:bookmarkEnd w:id="85"/>
      <w:bookmarkEnd w:id="86"/>
      <w:bookmarkEnd w:id="87"/>
    </w:p>
    <w:p w14:paraId="5C2AF4FB" w14:textId="77777777" w:rsidR="004C06C5" w:rsidRDefault="004C06C5">
      <w:pPr>
        <w:spacing w:line="360" w:lineRule="auto"/>
        <w:ind w:firstLineChars="200" w:firstLine="422"/>
        <w:rPr>
          <w:rFonts w:ascii="Arial Unicode MS" w:hAnsi="Arial Unicode MS"/>
          <w:b/>
          <w:bCs/>
          <w:szCs w:val="21"/>
        </w:rPr>
      </w:pPr>
    </w:p>
    <w:p w14:paraId="77052C7A"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14:paraId="1C8848B9"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335A932F"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14:paraId="34CD51D5"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14:paraId="43C93777"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196196F7"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、本基金收益分配方式分两种：现金分红与红利再投资，投资者可选择现金红利或将现金红利自动转为相应类别的基金份额进行再投资，</w:t>
      </w:r>
      <w:proofErr w:type="gramStart"/>
      <w:r>
        <w:rPr>
          <w:rFonts w:ascii="Arial Unicode MS" w:hAnsi="Arial Unicode MS" w:hint="eastAsia"/>
          <w:bCs/>
          <w:szCs w:val="21"/>
        </w:rPr>
        <w:t>且基金</w:t>
      </w:r>
      <w:proofErr w:type="gramEnd"/>
      <w:r>
        <w:rPr>
          <w:rFonts w:ascii="Arial Unicode MS" w:hAnsi="Arial Unicode MS" w:hint="eastAsia"/>
          <w:bCs/>
          <w:szCs w:val="21"/>
        </w:rPr>
        <w:t>份额持有人可对</w:t>
      </w:r>
      <w:r>
        <w:rPr>
          <w:rFonts w:ascii="Arial Unicode MS" w:hAnsi="Arial Unicode MS" w:hint="eastAsia"/>
          <w:bCs/>
          <w:szCs w:val="21"/>
        </w:rPr>
        <w:t>A</w:t>
      </w:r>
      <w:r>
        <w:rPr>
          <w:rFonts w:ascii="Arial Unicode MS" w:hAnsi="Arial Unicode MS" w:hint="eastAsia"/>
          <w:bCs/>
          <w:szCs w:val="21"/>
        </w:rPr>
        <w:t>类、</w:t>
      </w:r>
      <w:r>
        <w:rPr>
          <w:rFonts w:ascii="Arial Unicode MS" w:hAnsi="Arial Unicode MS" w:hint="eastAsia"/>
          <w:bCs/>
          <w:szCs w:val="21"/>
        </w:rPr>
        <w:t>C</w:t>
      </w:r>
      <w:r>
        <w:rPr>
          <w:rFonts w:ascii="Arial Unicode MS" w:hAnsi="Arial Unicode MS" w:hint="eastAsia"/>
          <w:bCs/>
          <w:szCs w:val="21"/>
        </w:rPr>
        <w:t>类基金份额分别选择不同的分红方式；若投资者不选择，本基金默认的收益分配方式是现金分红；</w:t>
      </w:r>
    </w:p>
    <w:p w14:paraId="4FE94730"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、基金收益分配后各类基金份额净值不能低于面值，即基金收益分配基准日的各类基金份额净值减去每单位该类基金份额收益分配金额后不能低于面值；</w:t>
      </w:r>
    </w:p>
    <w:p w14:paraId="435CE4E3"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、本基金各类基金份额在费用收取上不同，其对应的可分配收益可能有所不同。同一类别每一基金份额享有同等分配权；</w:t>
      </w:r>
    </w:p>
    <w:p w14:paraId="5DC5BA3F"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、法律法规或监管机关另有规定的，从其规定。</w:t>
      </w:r>
    </w:p>
    <w:p w14:paraId="0586DE4E"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220AFA87"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14:paraId="1A39DC9F"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38D16F7E"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14:paraId="55AF034C"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本基金收益分配方案由基金管理人拟定，并由基金托管人复核，</w:t>
      </w:r>
      <w:r>
        <w:rPr>
          <w:rFonts w:ascii="Arial Unicode MS" w:hAnsi="Arial Unicode MS" w:hint="eastAsia"/>
          <w:bCs/>
          <w:szCs w:val="21"/>
        </w:rPr>
        <w:t>依据相关规定在指定媒介公告</w:t>
      </w:r>
      <w:r>
        <w:rPr>
          <w:rFonts w:ascii="Arial Unicode MS" w:hAnsi="Arial Unicode MS" w:cs="Arial" w:hint="eastAsia"/>
          <w:kern w:val="0"/>
          <w:szCs w:val="21"/>
        </w:rPr>
        <w:t>。</w:t>
      </w:r>
    </w:p>
    <w:p w14:paraId="361E623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基金红利发放</w:t>
      </w:r>
      <w:proofErr w:type="gramStart"/>
      <w:r>
        <w:rPr>
          <w:rFonts w:ascii="Arial Unicode MS" w:hAnsi="Arial Unicode MS" w:cs="Arial" w:hint="eastAsia"/>
          <w:kern w:val="0"/>
          <w:szCs w:val="21"/>
        </w:rPr>
        <w:t>日距离</w:t>
      </w:r>
      <w:proofErr w:type="gramEnd"/>
      <w:r>
        <w:rPr>
          <w:rFonts w:ascii="Arial Unicode MS" w:hAnsi="Arial Unicode MS" w:cs="Arial" w:hint="eastAsia"/>
          <w:kern w:val="0"/>
          <w:szCs w:val="21"/>
        </w:rPr>
        <w:t>收益分配基准日（即可供分配利润计算截止日）的时间不得超过</w:t>
      </w:r>
      <w:r>
        <w:rPr>
          <w:rFonts w:ascii="Arial Unicode MS" w:hAnsi="Arial Unicode MS" w:cs="Arial" w:hint="eastAsia"/>
          <w:kern w:val="0"/>
          <w:szCs w:val="21"/>
        </w:rPr>
        <w:t>15</w:t>
      </w:r>
      <w:r>
        <w:rPr>
          <w:rFonts w:ascii="Arial Unicode MS" w:hAnsi="Arial Unicode MS" w:cs="Arial" w:hint="eastAsia"/>
          <w:kern w:val="0"/>
          <w:szCs w:val="21"/>
        </w:rPr>
        <w:t>个工作日。</w:t>
      </w:r>
    </w:p>
    <w:p w14:paraId="46AB79A7"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14:paraId="3B66DE0D" w14:textId="77777777"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w:t>
      </w:r>
      <w:r>
        <w:rPr>
          <w:rFonts w:ascii="Arial Unicode MS" w:hAnsi="Arial Unicode MS" w:hint="eastAsia"/>
          <w:bCs/>
          <w:szCs w:val="21"/>
        </w:rPr>
        <w:lastRenderedPageBreak/>
        <w:t>执行。</w:t>
      </w:r>
    </w:p>
    <w:p w14:paraId="74615F27" w14:textId="77777777" w:rsidR="004C06C5" w:rsidRDefault="004C06C5">
      <w:pPr>
        <w:spacing w:line="360" w:lineRule="auto"/>
        <w:ind w:firstLineChars="200" w:firstLine="420"/>
        <w:rPr>
          <w:rFonts w:ascii="Arial Unicode MS" w:hAnsi="Arial Unicode MS"/>
          <w:bCs/>
          <w:szCs w:val="21"/>
        </w:rPr>
      </w:pPr>
    </w:p>
    <w:p w14:paraId="568C517B" w14:textId="77777777" w:rsidR="004C06C5" w:rsidRDefault="004C06C5">
      <w:pPr>
        <w:spacing w:line="360" w:lineRule="auto"/>
        <w:ind w:firstLineChars="200" w:firstLine="420"/>
        <w:rPr>
          <w:rFonts w:ascii="Arial Unicode MS" w:hAnsi="Arial Unicode MS"/>
          <w:bCs/>
          <w:szCs w:val="21"/>
        </w:rPr>
      </w:pPr>
    </w:p>
    <w:p w14:paraId="601EAE54" w14:textId="77777777" w:rsidR="004C06C5" w:rsidRDefault="004C06C5">
      <w:pPr>
        <w:spacing w:line="360" w:lineRule="auto"/>
        <w:ind w:firstLineChars="200" w:firstLine="420"/>
        <w:rPr>
          <w:rFonts w:ascii="Arial Unicode MS" w:hAnsi="Arial Unicode MS"/>
          <w:bCs/>
          <w:szCs w:val="21"/>
        </w:rPr>
      </w:pPr>
    </w:p>
    <w:p w14:paraId="1412B3C5" w14:textId="77777777" w:rsidR="004C06C5" w:rsidRDefault="004C06C5">
      <w:pPr>
        <w:spacing w:line="360" w:lineRule="auto"/>
        <w:ind w:firstLineChars="200" w:firstLine="420"/>
        <w:rPr>
          <w:rFonts w:ascii="Arial Unicode MS" w:hAnsi="Arial Unicode MS"/>
          <w:bCs/>
          <w:szCs w:val="21"/>
        </w:rPr>
      </w:pPr>
    </w:p>
    <w:p w14:paraId="2C874B95" w14:textId="77777777" w:rsidR="004C06C5" w:rsidRDefault="004C06C5">
      <w:pPr>
        <w:spacing w:line="360" w:lineRule="auto"/>
        <w:ind w:firstLineChars="200" w:firstLine="420"/>
        <w:rPr>
          <w:rFonts w:ascii="Arial Unicode MS" w:hAnsi="Arial Unicode MS"/>
          <w:bCs/>
          <w:szCs w:val="21"/>
        </w:rPr>
      </w:pPr>
    </w:p>
    <w:p w14:paraId="5D6B63C0" w14:textId="77777777" w:rsidR="004C06C5" w:rsidRDefault="004C06C5">
      <w:pPr>
        <w:spacing w:line="360" w:lineRule="auto"/>
        <w:ind w:firstLineChars="200" w:firstLine="420"/>
        <w:rPr>
          <w:rFonts w:ascii="Arial Unicode MS" w:hAnsi="Arial Unicode MS"/>
          <w:bCs/>
          <w:szCs w:val="21"/>
        </w:rPr>
      </w:pPr>
    </w:p>
    <w:p w14:paraId="7BDEA7AB" w14:textId="77777777" w:rsidR="004C06C5" w:rsidRDefault="004C06C5">
      <w:pPr>
        <w:spacing w:line="360" w:lineRule="auto"/>
        <w:ind w:firstLineChars="200" w:firstLine="420"/>
        <w:rPr>
          <w:rFonts w:ascii="Arial Unicode MS" w:hAnsi="Arial Unicode MS"/>
          <w:bCs/>
          <w:szCs w:val="21"/>
        </w:rPr>
      </w:pPr>
    </w:p>
    <w:p w14:paraId="27D3530B" w14:textId="77777777" w:rsidR="004C06C5" w:rsidRDefault="004C06C5">
      <w:pPr>
        <w:spacing w:line="360" w:lineRule="auto"/>
        <w:ind w:firstLineChars="200" w:firstLine="420"/>
        <w:rPr>
          <w:rFonts w:ascii="Arial Unicode MS" w:hAnsi="Arial Unicode MS"/>
          <w:bCs/>
          <w:szCs w:val="21"/>
        </w:rPr>
      </w:pPr>
    </w:p>
    <w:p w14:paraId="712593A7" w14:textId="77777777" w:rsidR="004C06C5" w:rsidRDefault="004C06C5">
      <w:pPr>
        <w:spacing w:line="360" w:lineRule="auto"/>
        <w:ind w:firstLineChars="200" w:firstLine="420"/>
        <w:rPr>
          <w:rFonts w:ascii="Arial Unicode MS" w:hAnsi="Arial Unicode MS"/>
          <w:bCs/>
          <w:szCs w:val="21"/>
        </w:rPr>
      </w:pPr>
    </w:p>
    <w:p w14:paraId="499E5285" w14:textId="77777777" w:rsidR="004C06C5" w:rsidRDefault="004C06C5">
      <w:pPr>
        <w:spacing w:line="360" w:lineRule="auto"/>
        <w:ind w:firstLineChars="200" w:firstLine="420"/>
        <w:rPr>
          <w:rFonts w:ascii="Arial Unicode MS" w:hAnsi="Arial Unicode MS"/>
          <w:bCs/>
          <w:szCs w:val="21"/>
        </w:rPr>
      </w:pPr>
    </w:p>
    <w:p w14:paraId="59D0A509" w14:textId="77777777" w:rsidR="004C06C5" w:rsidRDefault="004C06C5">
      <w:pPr>
        <w:spacing w:line="360" w:lineRule="auto"/>
        <w:ind w:firstLineChars="200" w:firstLine="420"/>
        <w:rPr>
          <w:rFonts w:ascii="Arial Unicode MS" w:hAnsi="Arial Unicode MS"/>
          <w:bCs/>
          <w:szCs w:val="21"/>
        </w:rPr>
      </w:pPr>
    </w:p>
    <w:p w14:paraId="3458399D" w14:textId="77777777" w:rsidR="004C06C5" w:rsidRDefault="004C06C5">
      <w:pPr>
        <w:spacing w:line="360" w:lineRule="auto"/>
        <w:ind w:firstLineChars="200" w:firstLine="420"/>
        <w:rPr>
          <w:rFonts w:ascii="Arial Unicode MS" w:hAnsi="Arial Unicode MS"/>
          <w:bCs/>
          <w:szCs w:val="21"/>
        </w:rPr>
      </w:pPr>
    </w:p>
    <w:p w14:paraId="37A712BA" w14:textId="77777777" w:rsidR="004C06C5" w:rsidRDefault="004C06C5">
      <w:pPr>
        <w:spacing w:line="360" w:lineRule="auto"/>
        <w:ind w:firstLineChars="200" w:firstLine="420"/>
        <w:rPr>
          <w:rFonts w:ascii="Arial Unicode MS" w:hAnsi="Arial Unicode MS"/>
          <w:bCs/>
          <w:szCs w:val="21"/>
        </w:rPr>
      </w:pPr>
    </w:p>
    <w:p w14:paraId="1F86497B" w14:textId="77777777" w:rsidR="004C06C5" w:rsidRDefault="004C06C5">
      <w:pPr>
        <w:spacing w:line="360" w:lineRule="auto"/>
        <w:ind w:firstLineChars="200" w:firstLine="420"/>
        <w:rPr>
          <w:rFonts w:ascii="Arial Unicode MS" w:hAnsi="Arial Unicode MS"/>
          <w:bCs/>
          <w:szCs w:val="21"/>
        </w:rPr>
      </w:pPr>
    </w:p>
    <w:p w14:paraId="7DBDBA56" w14:textId="77777777" w:rsidR="004C06C5" w:rsidRDefault="004C06C5">
      <w:pPr>
        <w:spacing w:line="360" w:lineRule="auto"/>
        <w:ind w:firstLineChars="200" w:firstLine="420"/>
        <w:rPr>
          <w:rFonts w:ascii="Arial Unicode MS" w:hAnsi="Arial Unicode MS"/>
          <w:bCs/>
          <w:szCs w:val="21"/>
        </w:rPr>
      </w:pPr>
    </w:p>
    <w:p w14:paraId="72A28075" w14:textId="77777777" w:rsidR="004C06C5" w:rsidRDefault="004C06C5">
      <w:pPr>
        <w:spacing w:line="360" w:lineRule="auto"/>
        <w:ind w:firstLineChars="200" w:firstLine="420"/>
        <w:rPr>
          <w:rFonts w:ascii="Arial Unicode MS" w:hAnsi="Arial Unicode MS"/>
          <w:bCs/>
          <w:szCs w:val="21"/>
        </w:rPr>
      </w:pPr>
    </w:p>
    <w:p w14:paraId="5F26F539" w14:textId="77777777" w:rsidR="004C06C5" w:rsidRDefault="004C06C5">
      <w:pPr>
        <w:spacing w:line="360" w:lineRule="auto"/>
        <w:ind w:firstLineChars="200" w:firstLine="420"/>
        <w:rPr>
          <w:rFonts w:ascii="Arial Unicode MS" w:hAnsi="Arial Unicode MS"/>
          <w:bCs/>
          <w:szCs w:val="21"/>
        </w:rPr>
      </w:pPr>
    </w:p>
    <w:p w14:paraId="749A7B1F" w14:textId="77777777" w:rsidR="004C06C5" w:rsidRDefault="004C06C5">
      <w:pPr>
        <w:spacing w:line="360" w:lineRule="auto"/>
        <w:ind w:firstLineChars="200" w:firstLine="420"/>
        <w:rPr>
          <w:rFonts w:ascii="Arial Unicode MS" w:hAnsi="Arial Unicode MS"/>
          <w:bCs/>
          <w:szCs w:val="21"/>
        </w:rPr>
      </w:pPr>
    </w:p>
    <w:p w14:paraId="65725849" w14:textId="77777777" w:rsidR="004C06C5" w:rsidRDefault="004C06C5">
      <w:pPr>
        <w:spacing w:line="360" w:lineRule="auto"/>
        <w:ind w:firstLineChars="200" w:firstLine="420"/>
        <w:rPr>
          <w:rFonts w:ascii="Arial Unicode MS" w:hAnsi="Arial Unicode MS"/>
          <w:bCs/>
          <w:szCs w:val="21"/>
        </w:rPr>
      </w:pPr>
    </w:p>
    <w:p w14:paraId="6EB1C474" w14:textId="77777777" w:rsidR="004C06C5" w:rsidRDefault="004C06C5">
      <w:pPr>
        <w:spacing w:line="360" w:lineRule="auto"/>
        <w:ind w:firstLineChars="200" w:firstLine="420"/>
        <w:rPr>
          <w:rFonts w:ascii="Arial Unicode MS" w:hAnsi="Arial Unicode MS"/>
          <w:bCs/>
          <w:szCs w:val="21"/>
        </w:rPr>
      </w:pPr>
    </w:p>
    <w:p w14:paraId="34CA9179" w14:textId="77777777" w:rsidR="004C06C5" w:rsidRDefault="004C06C5">
      <w:pPr>
        <w:spacing w:line="360" w:lineRule="auto"/>
        <w:ind w:firstLineChars="200" w:firstLine="420"/>
        <w:rPr>
          <w:rFonts w:ascii="Arial Unicode MS" w:hAnsi="Arial Unicode MS"/>
          <w:bCs/>
          <w:szCs w:val="21"/>
        </w:rPr>
      </w:pPr>
    </w:p>
    <w:p w14:paraId="5A3BA832" w14:textId="77777777" w:rsidR="004C06C5" w:rsidRDefault="004C06C5">
      <w:pPr>
        <w:spacing w:line="360" w:lineRule="auto"/>
        <w:ind w:firstLineChars="200" w:firstLine="420"/>
        <w:rPr>
          <w:rFonts w:ascii="Arial Unicode MS" w:hAnsi="Arial Unicode MS"/>
          <w:bCs/>
          <w:szCs w:val="21"/>
        </w:rPr>
      </w:pPr>
    </w:p>
    <w:p w14:paraId="3DB06CD1" w14:textId="77777777" w:rsidR="004C06C5" w:rsidRDefault="004C06C5">
      <w:pPr>
        <w:spacing w:line="360" w:lineRule="auto"/>
        <w:ind w:firstLineChars="200" w:firstLine="420"/>
        <w:rPr>
          <w:rFonts w:ascii="Arial Unicode MS" w:hAnsi="Arial Unicode MS"/>
          <w:bCs/>
          <w:szCs w:val="21"/>
        </w:rPr>
      </w:pPr>
    </w:p>
    <w:p w14:paraId="344B61EC" w14:textId="77777777" w:rsidR="004C06C5" w:rsidRDefault="004C06C5">
      <w:pPr>
        <w:spacing w:line="360" w:lineRule="auto"/>
        <w:ind w:firstLineChars="200" w:firstLine="420"/>
        <w:rPr>
          <w:rFonts w:ascii="Arial Unicode MS" w:hAnsi="Arial Unicode MS"/>
          <w:bCs/>
          <w:szCs w:val="21"/>
        </w:rPr>
      </w:pPr>
    </w:p>
    <w:p w14:paraId="4AF865F6" w14:textId="77777777"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88" w:name="_Toc317088547"/>
      <w:bookmarkStart w:id="89" w:name="_Toc320887652"/>
      <w:bookmarkStart w:id="90" w:name="_Toc12357181"/>
      <w:bookmarkStart w:id="91" w:name="_Toc335232701"/>
      <w:bookmarkStart w:id="92" w:name="_Toc21073401"/>
      <w:bookmarkStart w:id="93" w:name="_Toc317088150"/>
      <w:bookmarkStart w:id="94" w:name="_Toc214873602"/>
      <w:bookmarkStart w:id="95" w:name="_Toc147463128"/>
      <w:bookmarkStart w:id="96" w:name="_Toc146406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8"/>
      <w:bookmarkEnd w:id="89"/>
      <w:bookmarkEnd w:id="90"/>
      <w:bookmarkEnd w:id="91"/>
      <w:bookmarkEnd w:id="92"/>
      <w:bookmarkEnd w:id="93"/>
      <w:bookmarkEnd w:id="94"/>
      <w:bookmarkEnd w:id="95"/>
      <w:bookmarkEnd w:id="96"/>
    </w:p>
    <w:p w14:paraId="366C764B" w14:textId="77777777" w:rsidR="004C06C5" w:rsidRDefault="004C06C5">
      <w:pPr>
        <w:snapToGrid w:val="0"/>
        <w:spacing w:line="360" w:lineRule="auto"/>
        <w:ind w:firstLineChars="200" w:firstLine="422"/>
        <w:rPr>
          <w:rFonts w:ascii="Arial Unicode MS" w:hAnsi="Arial Unicode MS" w:cs="Arial"/>
          <w:b/>
          <w:szCs w:val="21"/>
        </w:rPr>
      </w:pPr>
    </w:p>
    <w:p w14:paraId="7A02F29C"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14:paraId="5E2242EE"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p>
    <w:p w14:paraId="636E92D4"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14:paraId="2403BE36"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w:t>
      </w:r>
    </w:p>
    <w:p w14:paraId="3EA4E65F"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、基金合同生效后与基金相关的信息披露费用；</w:t>
      </w:r>
    </w:p>
    <w:p w14:paraId="5726B2A9"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、基金合同生效后与基金相关的会计师费、律师费、诉讼费和仲裁费；</w:t>
      </w:r>
    </w:p>
    <w:p w14:paraId="02A0E9AC"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、基金份额持有人大会费用；</w:t>
      </w:r>
    </w:p>
    <w:p w14:paraId="72310AA7"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、基金的证券、期货交易费用；</w:t>
      </w:r>
    </w:p>
    <w:p w14:paraId="5E729816"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、基金的银行汇划费用；</w:t>
      </w:r>
    </w:p>
    <w:p w14:paraId="6D4178A7"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9</w:t>
      </w:r>
      <w:r>
        <w:rPr>
          <w:rFonts w:ascii="Arial Unicode MS" w:hAnsi="Arial Unicode MS" w:cs="Arial" w:hint="eastAsia"/>
          <w:kern w:val="0"/>
          <w:szCs w:val="21"/>
        </w:rPr>
        <w:t>、账户开户费用、账户维护费用；</w:t>
      </w:r>
    </w:p>
    <w:p w14:paraId="03BE97C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、按照国家有关规定和基金合同约定，可以在基金财产中列支的其他费用。</w:t>
      </w:r>
    </w:p>
    <w:p w14:paraId="41D08EF8"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14:paraId="7909A159"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r>
        <w:rPr>
          <w:rFonts w:ascii="Arial Unicode MS" w:hAnsi="Arial Unicode MS" w:cs="Arial" w:hint="eastAsia"/>
          <w:kern w:val="0"/>
          <w:szCs w:val="21"/>
        </w:rPr>
        <w:t xml:space="preserve"> </w:t>
      </w:r>
    </w:p>
    <w:p w14:paraId="017FCAB2"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本基金的管理费按前一日基金资产净值的</w:t>
      </w:r>
      <w:r>
        <w:rPr>
          <w:rFonts w:ascii="Arial Unicode MS" w:hAnsi="Arial Unicode MS" w:cs="Arial" w:hint="eastAsia"/>
          <w:kern w:val="0"/>
          <w:szCs w:val="21"/>
        </w:rPr>
        <w:t>0.40%</w:t>
      </w:r>
      <w:r>
        <w:rPr>
          <w:rFonts w:ascii="Arial Unicode MS" w:hAnsi="Arial Unicode MS" w:cs="Arial" w:hint="eastAsia"/>
          <w:kern w:val="0"/>
          <w:szCs w:val="21"/>
        </w:rPr>
        <w:t>年费率计提。管理费的计算方法如下：</w:t>
      </w:r>
    </w:p>
    <w:p w14:paraId="1E8FCFC7"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0.40%</w:t>
      </w:r>
      <w:r>
        <w:rPr>
          <w:rFonts w:ascii="Arial Unicode MS" w:hAnsi="Arial Unicode MS" w:cs="Arial" w:hint="eastAsia"/>
          <w:kern w:val="0"/>
          <w:szCs w:val="21"/>
        </w:rPr>
        <w:t>÷当年天数</w:t>
      </w:r>
    </w:p>
    <w:p w14:paraId="0E22D938"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为每日应计提的基金管理费</w:t>
      </w:r>
    </w:p>
    <w:p w14:paraId="69F3E2BD"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为前一日的基金资产净值</w:t>
      </w:r>
    </w:p>
    <w:p w14:paraId="4C4E675B"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基金管理费每日计算，逐日累计至每月月末，按月支付，由基金管理人与基金托管人核对一致后，基金托管人按照与基金管理人协商一致的方式在次月初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工作日内从基金财产中一次性支付给基金管理人。若遇法定节假日、公休假或不可抗力等，支付日期顺延。</w:t>
      </w:r>
    </w:p>
    <w:p w14:paraId="76DFE56C"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14:paraId="06715880"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本基金的托管费按前一日基金资产净值的</w:t>
      </w:r>
      <w:r>
        <w:rPr>
          <w:rFonts w:ascii="Arial Unicode MS" w:hAnsi="Arial Unicode MS" w:cs="Arial" w:hint="eastAsia"/>
          <w:kern w:val="0"/>
          <w:szCs w:val="21"/>
        </w:rPr>
        <w:t>0.05%</w:t>
      </w:r>
      <w:r>
        <w:rPr>
          <w:rFonts w:ascii="Arial Unicode MS" w:hAnsi="Arial Unicode MS" w:cs="Arial" w:hint="eastAsia"/>
          <w:kern w:val="0"/>
          <w:szCs w:val="21"/>
        </w:rPr>
        <w:t>的年费率计提。托管费的计算方法如下：</w:t>
      </w:r>
    </w:p>
    <w:p w14:paraId="455CC825"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0.05%</w:t>
      </w:r>
      <w:r>
        <w:rPr>
          <w:rFonts w:ascii="Arial Unicode MS" w:hAnsi="Arial Unicode MS" w:cs="Arial" w:hint="eastAsia"/>
          <w:kern w:val="0"/>
          <w:szCs w:val="21"/>
        </w:rPr>
        <w:t>÷当年天数</w:t>
      </w:r>
    </w:p>
    <w:p w14:paraId="1376FC46"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为每日应计提的基金托管费</w:t>
      </w:r>
    </w:p>
    <w:p w14:paraId="56B8D22F"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E</w:t>
      </w:r>
      <w:r>
        <w:rPr>
          <w:rFonts w:ascii="Arial Unicode MS" w:hAnsi="Arial Unicode MS" w:cs="Arial" w:hint="eastAsia"/>
          <w:kern w:val="0"/>
          <w:szCs w:val="21"/>
        </w:rPr>
        <w:t>为前一日的基金资产净值</w:t>
      </w:r>
    </w:p>
    <w:p w14:paraId="0B643D3A" w14:textId="77777777" w:rsidR="004C06C5" w:rsidRDefault="00ED474B">
      <w:pPr>
        <w:spacing w:line="360" w:lineRule="auto"/>
        <w:rPr>
          <w:rFonts w:ascii="Arial Unicode MS" w:hAnsi="Arial Unicode MS" w:cs="Arial"/>
          <w:i/>
          <w:kern w:val="0"/>
          <w:szCs w:val="21"/>
        </w:rPr>
      </w:pPr>
      <w:r>
        <w:rPr>
          <w:rFonts w:ascii="Arial Unicode MS" w:hAnsi="Arial Unicode MS" w:cs="Arial" w:hint="eastAsia"/>
          <w:kern w:val="0"/>
          <w:szCs w:val="21"/>
        </w:rPr>
        <w:t>基金托管费每日计算，逐日累计至每月月末，按月支付，由基金管理人与基金托管人核对一致后，基金托管人按照与基金管理人协商一致的方式于次月初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工作日内从基金财产中一次性支取。若遇法定节假日、公休假或不可抗力等，支付日期顺延。</w:t>
      </w:r>
    </w:p>
    <w:p w14:paraId="1F8D9FFB"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、销售服务费</w:t>
      </w:r>
    </w:p>
    <w:p w14:paraId="173F25B8"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w:t>
      </w:r>
      <w:r>
        <w:rPr>
          <w:rFonts w:ascii="Arial Unicode MS" w:hAnsi="Arial Unicode MS" w:cs="Arial" w:hint="eastAsia"/>
          <w:kern w:val="0"/>
          <w:szCs w:val="21"/>
        </w:rPr>
        <w:t>A</w:t>
      </w:r>
      <w:r>
        <w:rPr>
          <w:rFonts w:ascii="Arial Unicode MS" w:hAnsi="Arial Unicode MS" w:cs="Arial" w:hint="eastAsia"/>
          <w:kern w:val="0"/>
          <w:szCs w:val="21"/>
        </w:rPr>
        <w:t>类基金份额不收取销售服务费，</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类基金份额的销售服务费年费率为</w:t>
      </w:r>
      <w:r>
        <w:rPr>
          <w:rFonts w:ascii="Arial Unicode MS" w:hAnsi="Arial Unicode MS" w:cs="Arial" w:hint="eastAsia"/>
          <w:kern w:val="0"/>
          <w:szCs w:val="21"/>
        </w:rPr>
        <w:t>0.01%</w:t>
      </w:r>
      <w:r>
        <w:rPr>
          <w:rFonts w:ascii="Arial Unicode MS" w:hAnsi="Arial Unicode MS" w:cs="Arial" w:hint="eastAsia"/>
          <w:kern w:val="0"/>
          <w:szCs w:val="21"/>
        </w:rPr>
        <w:t>。</w:t>
      </w:r>
    </w:p>
    <w:p w14:paraId="6C96CCE5"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本基金销售服务费按前一日</w:t>
      </w:r>
      <w:r>
        <w:rPr>
          <w:rFonts w:ascii="Arial Unicode MS" w:hAnsi="Arial Unicode MS" w:cs="Arial" w:hint="eastAsia"/>
          <w:kern w:val="0"/>
          <w:szCs w:val="21"/>
        </w:rPr>
        <w:t>C</w:t>
      </w:r>
      <w:r>
        <w:rPr>
          <w:rFonts w:ascii="Arial Unicode MS" w:hAnsi="Arial Unicode MS" w:cs="Arial" w:hint="eastAsia"/>
          <w:kern w:val="0"/>
          <w:szCs w:val="21"/>
        </w:rPr>
        <w:t>类基金份额的基金资产净值的</w:t>
      </w:r>
      <w:r>
        <w:rPr>
          <w:rFonts w:ascii="Arial Unicode MS" w:hAnsi="Arial Unicode MS" w:cs="Arial" w:hint="eastAsia"/>
          <w:kern w:val="0"/>
          <w:szCs w:val="21"/>
        </w:rPr>
        <w:t>0.01%</w:t>
      </w:r>
      <w:r>
        <w:rPr>
          <w:rFonts w:ascii="Arial Unicode MS" w:hAnsi="Arial Unicode MS" w:cs="Arial" w:hint="eastAsia"/>
          <w:kern w:val="0"/>
          <w:szCs w:val="21"/>
        </w:rPr>
        <w:t>年费率计提。</w:t>
      </w:r>
      <w:r>
        <w:rPr>
          <w:rFonts w:ascii="Arial Unicode MS" w:hAnsi="Arial Unicode MS" w:cs="Arial" w:hint="eastAsia"/>
          <w:kern w:val="0"/>
          <w:szCs w:val="21"/>
        </w:rPr>
        <w:t xml:space="preserve"> </w:t>
      </w:r>
      <w:r>
        <w:rPr>
          <w:rFonts w:ascii="Arial Unicode MS" w:hAnsi="Arial Unicode MS" w:cs="Arial" w:hint="eastAsia"/>
          <w:kern w:val="0"/>
          <w:szCs w:val="21"/>
        </w:rPr>
        <w:t>计算方法如下：</w:t>
      </w:r>
      <w:r>
        <w:rPr>
          <w:rFonts w:ascii="Arial Unicode MS" w:hAnsi="Arial Unicode MS" w:cs="Arial" w:hint="eastAsia"/>
          <w:kern w:val="0"/>
          <w:szCs w:val="21"/>
        </w:rPr>
        <w:t xml:space="preserve"> </w:t>
      </w:r>
    </w:p>
    <w:p w14:paraId="703F7136"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H=E</w:t>
      </w:r>
      <w:r>
        <w:rPr>
          <w:rFonts w:ascii="Arial Unicode MS" w:hAnsi="Arial Unicode MS" w:cs="Arial" w:hint="eastAsia"/>
          <w:kern w:val="0"/>
          <w:szCs w:val="21"/>
        </w:rPr>
        <w:t>×</w:t>
      </w:r>
      <w:r>
        <w:rPr>
          <w:rFonts w:ascii="Arial Unicode MS" w:hAnsi="Arial Unicode MS" w:cs="Arial" w:hint="eastAsia"/>
          <w:kern w:val="0"/>
          <w:szCs w:val="21"/>
        </w:rPr>
        <w:t>0.01%</w:t>
      </w:r>
      <w:r>
        <w:rPr>
          <w:rFonts w:ascii="Arial Unicode MS" w:hAnsi="Arial Unicode MS" w:cs="Arial" w:hint="eastAsia"/>
          <w:kern w:val="0"/>
          <w:szCs w:val="21"/>
        </w:rPr>
        <w:t>÷当年天数</w:t>
      </w:r>
    </w:p>
    <w:p w14:paraId="4CE726EB"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类基金份额每日应计提的销售服务费</w:t>
      </w:r>
    </w:p>
    <w:p w14:paraId="5ACCDA6A"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类基金份额前一日基金资产净值</w:t>
      </w:r>
    </w:p>
    <w:p w14:paraId="7FE3F490"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基金销售服务费每日计算，逐日累计至每月月末，按月支付，由基金管理人与基金托管人核对一致后，基金托管人按照与基金管理人协商一致的方式于次月初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工作日内从基金财产中一次性支付。若遇法定节假日、公休假或不可抗力等，支付日期顺延。</w:t>
      </w:r>
    </w:p>
    <w:p w14:paraId="672A3345"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销售服务费主要用于本基金持续销售以及基金份额持有人服务等各项费用。</w:t>
      </w:r>
    </w:p>
    <w:p w14:paraId="58FDBAC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上述“一、基金费用的种类”中第</w:t>
      </w:r>
      <w:r>
        <w:rPr>
          <w:rFonts w:ascii="Arial Unicode MS" w:hAnsi="Arial Unicode MS" w:cs="Arial" w:hint="eastAsia"/>
          <w:kern w:val="0"/>
          <w:szCs w:val="21"/>
        </w:rPr>
        <w:t>4</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项费用，根据有关法规及相应协议规定，按费用实际支出金额列入当期费用，由基金托管人从基金财产中支付。</w:t>
      </w:r>
    </w:p>
    <w:p w14:paraId="18F24C0B"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14:paraId="225BF1E1"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下列费用不列入基金费用：</w:t>
      </w:r>
    </w:p>
    <w:p w14:paraId="3C5AFAD6"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、基金管理人和基金托管人因未履行或未完全履行义务导致的费用支出或基金财产的损失；</w:t>
      </w:r>
    </w:p>
    <w:p w14:paraId="0955C321"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、基金管理人和基金托管人处理与基金运作无关的事项发生的费用；</w:t>
      </w:r>
    </w:p>
    <w:p w14:paraId="3A2B853B"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、《基金合同》生效前的相关费用；</w:t>
      </w:r>
    </w:p>
    <w:p w14:paraId="32A303C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、其他根据相关法律法规及中国证监会的有关规定不得列入基金费用的项目。</w:t>
      </w:r>
    </w:p>
    <w:p w14:paraId="32D48684"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、基金税收</w:t>
      </w:r>
    </w:p>
    <w:p w14:paraId="1E3949A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本基金运作过程中涉及的各纳税主体，其纳税义务按国家税收法律、法规执行。</w:t>
      </w:r>
    </w:p>
    <w:p w14:paraId="16CB3B07" w14:textId="77777777"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五、销售服务费的调整</w:t>
      </w:r>
    </w:p>
    <w:p w14:paraId="0DA4273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基金管理人和基金托管人可根据基金规模等因素协商一致，酌情调低销售服务费率，无须召开基金份额持有人大会。</w:t>
      </w:r>
    </w:p>
    <w:p w14:paraId="6D81B1F0" w14:textId="77777777" w:rsidR="004C06C5" w:rsidRDefault="00ED474B">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rPr>
        <w:br w:type="page"/>
      </w:r>
      <w:bookmarkStart w:id="97" w:name="_Hlt88827255"/>
      <w:bookmarkStart w:id="98" w:name="_Toc335232702"/>
      <w:bookmarkStart w:id="99" w:name="_Toc317088151"/>
      <w:bookmarkStart w:id="100" w:name="_Toc320887653"/>
      <w:bookmarkStart w:id="101" w:name="_Toc317088548"/>
      <w:bookmarkStart w:id="102" w:name="_Toc214873603"/>
      <w:bookmarkStart w:id="103" w:name="_Toc1464069"/>
      <w:bookmarkEnd w:id="9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8"/>
      <w:bookmarkEnd w:id="99"/>
      <w:bookmarkEnd w:id="100"/>
      <w:bookmarkEnd w:id="101"/>
      <w:bookmarkEnd w:id="102"/>
      <w:bookmarkEnd w:id="103"/>
    </w:p>
    <w:p w14:paraId="2394242C" w14:textId="77777777" w:rsidR="004C06C5" w:rsidRDefault="004C06C5">
      <w:pPr>
        <w:rPr>
          <w:rFonts w:ascii="Arial Unicode MS" w:hAnsi="Arial Unicode MS"/>
          <w:lang w:val="zh-CN"/>
        </w:rPr>
      </w:pPr>
    </w:p>
    <w:p w14:paraId="053C79B0" w14:textId="77777777" w:rsidR="004C06C5" w:rsidRDefault="00ED474B">
      <w:pPr>
        <w:spacing w:line="360" w:lineRule="auto"/>
        <w:ind w:firstLineChars="200" w:firstLine="422"/>
        <w:rPr>
          <w:rFonts w:ascii="Arial Unicode MS" w:hAnsi="Arial Unicode MS"/>
          <w:b/>
          <w:bCs/>
          <w:szCs w:val="21"/>
        </w:rPr>
      </w:pPr>
      <w:bookmarkStart w:id="104" w:name="_Toc79978642"/>
      <w:bookmarkStart w:id="105" w:name="_Toc214873604"/>
      <w:r>
        <w:rPr>
          <w:rFonts w:ascii="Arial Unicode MS" w:hAnsi="Arial Unicode MS"/>
          <w:b/>
          <w:bCs/>
          <w:szCs w:val="21"/>
        </w:rPr>
        <w:t>一、基金会计政策</w:t>
      </w:r>
    </w:p>
    <w:p w14:paraId="7C15164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、基金管理人为本基金的基金会计责任方；</w:t>
      </w:r>
    </w:p>
    <w:p w14:paraId="5004644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、基金的会计年度为公历年度的</w:t>
      </w:r>
      <w:r>
        <w:rPr>
          <w:rFonts w:ascii="Arial Unicode MS" w:hAnsi="Arial Unicode MS" w:cs="Arial"/>
          <w:kern w:val="0"/>
          <w:szCs w:val="21"/>
        </w:rPr>
        <w:t>1</w:t>
      </w:r>
      <w:r>
        <w:rPr>
          <w:rFonts w:ascii="Arial Unicode MS" w:hAnsi="Arial Unicode MS" w:cs="Arial"/>
          <w:kern w:val="0"/>
          <w:szCs w:val="21"/>
        </w:rPr>
        <w:t>月</w:t>
      </w:r>
      <w:r>
        <w:rPr>
          <w:rFonts w:ascii="Arial Unicode MS" w:hAnsi="Arial Unicode MS" w:cs="Arial"/>
          <w:kern w:val="0"/>
          <w:szCs w:val="21"/>
        </w:rPr>
        <w:t>1</w:t>
      </w:r>
      <w:r>
        <w:rPr>
          <w:rFonts w:ascii="Arial Unicode MS" w:hAnsi="Arial Unicode MS" w:cs="Arial"/>
          <w:kern w:val="0"/>
          <w:szCs w:val="21"/>
        </w:rPr>
        <w:t>日至</w:t>
      </w:r>
      <w:r>
        <w:rPr>
          <w:rFonts w:ascii="Arial Unicode MS" w:hAnsi="Arial Unicode MS" w:cs="Arial"/>
          <w:kern w:val="0"/>
          <w:szCs w:val="21"/>
        </w:rPr>
        <w:t>12</w:t>
      </w:r>
      <w:r>
        <w:rPr>
          <w:rFonts w:ascii="Arial Unicode MS" w:hAnsi="Arial Unicode MS" w:cs="Arial"/>
          <w:kern w:val="0"/>
          <w:szCs w:val="21"/>
        </w:rPr>
        <w:t>月</w:t>
      </w:r>
      <w:r>
        <w:rPr>
          <w:rFonts w:ascii="Arial Unicode MS" w:hAnsi="Arial Unicode MS" w:cs="Arial"/>
          <w:kern w:val="0"/>
          <w:szCs w:val="21"/>
        </w:rPr>
        <w:t>31</w:t>
      </w:r>
      <w:r>
        <w:rPr>
          <w:rFonts w:ascii="Arial Unicode MS" w:hAnsi="Arial Unicode MS" w:cs="Arial"/>
          <w:kern w:val="0"/>
          <w:szCs w:val="21"/>
        </w:rPr>
        <w:t>日；基金首次募集的会计年度按如下原则：如果《基金合同》生效少于</w:t>
      </w:r>
      <w:r>
        <w:rPr>
          <w:rFonts w:ascii="Arial Unicode MS" w:hAnsi="Arial Unicode MS" w:cs="Arial"/>
          <w:kern w:val="0"/>
          <w:szCs w:val="21"/>
        </w:rPr>
        <w:t>2</w:t>
      </w:r>
      <w:r>
        <w:rPr>
          <w:rFonts w:ascii="Arial Unicode MS" w:hAnsi="Arial Unicode MS" w:cs="Arial"/>
          <w:kern w:val="0"/>
          <w:szCs w:val="21"/>
        </w:rPr>
        <w:t>个月，可以并入下一个会计年度</w:t>
      </w:r>
      <w:r>
        <w:rPr>
          <w:rFonts w:ascii="Arial Unicode MS" w:hAnsi="Arial Unicode MS" w:cs="Arial" w:hint="eastAsia"/>
          <w:kern w:val="0"/>
          <w:szCs w:val="21"/>
        </w:rPr>
        <w:t>披露</w:t>
      </w:r>
      <w:r>
        <w:rPr>
          <w:rFonts w:ascii="Arial Unicode MS" w:hAnsi="Arial Unicode MS" w:cs="Arial"/>
          <w:kern w:val="0"/>
          <w:szCs w:val="21"/>
        </w:rPr>
        <w:t>；</w:t>
      </w:r>
    </w:p>
    <w:p w14:paraId="5386EFF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、基金核算以人民币为记账本位币，以人民币元为记账单位；</w:t>
      </w:r>
    </w:p>
    <w:p w14:paraId="7AB00B0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4</w:t>
      </w:r>
      <w:r>
        <w:rPr>
          <w:rFonts w:ascii="Arial Unicode MS" w:hAnsi="Arial Unicode MS" w:cs="Arial"/>
          <w:kern w:val="0"/>
          <w:szCs w:val="21"/>
        </w:rPr>
        <w:t>、会计制度执行国家有关会计制度；</w:t>
      </w:r>
    </w:p>
    <w:p w14:paraId="4EA4E06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kern w:val="0"/>
          <w:szCs w:val="21"/>
        </w:rPr>
        <w:t>、本基金独立建账、独立核算；</w:t>
      </w:r>
    </w:p>
    <w:p w14:paraId="2641411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6</w:t>
      </w:r>
      <w:r>
        <w:rPr>
          <w:rFonts w:ascii="Arial Unicode MS" w:hAnsi="Arial Unicode MS" w:cs="Arial"/>
          <w:kern w:val="0"/>
          <w:szCs w:val="21"/>
        </w:rPr>
        <w:t>、基金管理人及基金托管人各自保留完整的会计账目、凭证并进行日常的会计核算，按照有关规定编制基金会计报表；</w:t>
      </w:r>
    </w:p>
    <w:p w14:paraId="306B8E6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7</w:t>
      </w:r>
      <w:r>
        <w:rPr>
          <w:rFonts w:ascii="Arial Unicode MS" w:hAnsi="Arial Unicode MS" w:cs="Arial"/>
          <w:kern w:val="0"/>
          <w:szCs w:val="21"/>
        </w:rPr>
        <w:t>、基金托管人每月与基金管理人就基金的会计核算、报表编制等进行核对并以</w:t>
      </w:r>
      <w:r>
        <w:rPr>
          <w:rFonts w:ascii="Arial Unicode MS" w:hAnsi="Arial Unicode MS" w:cs="Arial" w:hint="eastAsia"/>
          <w:kern w:val="0"/>
          <w:szCs w:val="21"/>
        </w:rPr>
        <w:t>书面方式</w:t>
      </w:r>
      <w:r>
        <w:rPr>
          <w:rFonts w:ascii="Arial Unicode MS" w:hAnsi="Arial Unicode MS" w:cs="Arial"/>
          <w:kern w:val="0"/>
          <w:szCs w:val="21"/>
        </w:rPr>
        <w:t>确认。</w:t>
      </w:r>
    </w:p>
    <w:p w14:paraId="294337AD" w14:textId="77777777"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14:paraId="12BBA00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、基金管理人聘请与基金管理人、基金托管人相互独立的</w:t>
      </w:r>
      <w:r>
        <w:rPr>
          <w:rFonts w:ascii="Arial Unicode MS" w:hAnsi="Arial Unicode MS" w:hint="eastAsia"/>
          <w:bCs/>
          <w:szCs w:val="21"/>
        </w:rPr>
        <w:t>具有证券、期货相关业务资格</w:t>
      </w:r>
      <w:r>
        <w:rPr>
          <w:rFonts w:ascii="Arial Unicode MS" w:hAnsi="Arial Unicode MS"/>
          <w:bCs/>
          <w:szCs w:val="21"/>
        </w:rPr>
        <w:t>的</w:t>
      </w:r>
      <w:r>
        <w:rPr>
          <w:rFonts w:ascii="Arial Unicode MS" w:hAnsi="Arial Unicode MS" w:cs="Arial"/>
          <w:kern w:val="0"/>
          <w:szCs w:val="21"/>
        </w:rPr>
        <w:t>会计师事务所及其注册会计师对本基金的年度财务报表进行审计。</w:t>
      </w:r>
    </w:p>
    <w:p w14:paraId="42F7A8A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、会计师事务所更换经办注册会计师，应事先征得基金管理人同意。</w:t>
      </w:r>
    </w:p>
    <w:p w14:paraId="320ED72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w:t>
      </w:r>
      <w:bookmarkStart w:id="106" w:name="_Hlt4221115"/>
      <w:bookmarkEnd w:id="106"/>
      <w:r>
        <w:rPr>
          <w:rFonts w:ascii="Arial Unicode MS" w:hAnsi="Arial Unicode MS" w:cs="Arial"/>
          <w:kern w:val="0"/>
          <w:szCs w:val="21"/>
        </w:rPr>
        <w:t>基金管理人认为有充足理由更换会计师事务所，须通报基金托管人。更换会计师事务所需在</w:t>
      </w:r>
      <w:r>
        <w:rPr>
          <w:rFonts w:ascii="Arial Unicode MS" w:hAnsi="Arial Unicode MS" w:cs="Arial"/>
          <w:kern w:val="0"/>
          <w:szCs w:val="21"/>
        </w:rPr>
        <w:t>2</w:t>
      </w:r>
      <w:r>
        <w:rPr>
          <w:rFonts w:ascii="Arial Unicode MS" w:hAnsi="Arial Unicode MS" w:cs="Arial"/>
          <w:kern w:val="0"/>
          <w:szCs w:val="21"/>
        </w:rPr>
        <w:t>日内在</w:t>
      </w:r>
      <w:r>
        <w:rPr>
          <w:rFonts w:ascii="Arial Unicode MS" w:hAnsi="Arial Unicode MS" w:cs="Arial" w:hint="eastAsia"/>
          <w:kern w:val="0"/>
          <w:szCs w:val="21"/>
        </w:rPr>
        <w:t>指定媒介</w:t>
      </w:r>
      <w:r>
        <w:rPr>
          <w:rFonts w:ascii="Arial Unicode MS" w:hAnsi="Arial Unicode MS" w:cs="Arial"/>
          <w:kern w:val="0"/>
          <w:szCs w:val="21"/>
        </w:rPr>
        <w:t>公告。</w:t>
      </w:r>
    </w:p>
    <w:p w14:paraId="7E60D8FE"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647182B4"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71B02C19"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0E98ACD4"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122AEA4E"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136B6909"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1AA948AD"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6B55D67C" w14:textId="77777777" w:rsidR="004C06C5" w:rsidRDefault="004C06C5">
      <w:pPr>
        <w:adjustRightInd w:val="0"/>
        <w:snapToGrid w:val="0"/>
        <w:spacing w:line="360" w:lineRule="auto"/>
        <w:ind w:firstLineChars="200" w:firstLine="420"/>
        <w:rPr>
          <w:rFonts w:ascii="Arial Unicode MS" w:hAnsi="Arial Unicode MS"/>
          <w:bCs/>
          <w:szCs w:val="21"/>
        </w:rPr>
      </w:pPr>
    </w:p>
    <w:p w14:paraId="57123161" w14:textId="77777777" w:rsidR="004C06C5" w:rsidRDefault="00ED474B">
      <w:pPr>
        <w:pStyle w:val="11"/>
        <w:snapToGrid w:val="0"/>
        <w:spacing w:before="0" w:after="0" w:line="360" w:lineRule="auto"/>
        <w:rPr>
          <w:rFonts w:ascii="Arial Unicode MS" w:eastAsia="宋体" w:hAnsi="Arial Unicode MS"/>
          <w:b/>
          <w:sz w:val="28"/>
          <w:szCs w:val="28"/>
          <w:lang w:val="en-US"/>
        </w:rPr>
      </w:pPr>
      <w:bookmarkStart w:id="107" w:name="_Toc317088152"/>
      <w:bookmarkStart w:id="108" w:name="_Toc320887654"/>
      <w:bookmarkStart w:id="109" w:name="_Toc317088549"/>
      <w:bookmarkStart w:id="110" w:name="_Toc335232703"/>
      <w:bookmarkStart w:id="111" w:name="_Toc1464070"/>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lang w:val="en-US"/>
        </w:rPr>
        <w:t xml:space="preserve">  </w:t>
      </w:r>
      <w:r>
        <w:rPr>
          <w:rFonts w:ascii="Arial Unicode MS" w:eastAsia="宋体" w:hAnsi="Arial Unicode MS"/>
          <w:b/>
          <w:sz w:val="28"/>
          <w:szCs w:val="28"/>
        </w:rPr>
        <w:t>基金的信息披露</w:t>
      </w:r>
      <w:bookmarkEnd w:id="107"/>
      <w:bookmarkEnd w:id="108"/>
      <w:bookmarkEnd w:id="109"/>
      <w:bookmarkEnd w:id="110"/>
      <w:bookmarkEnd w:id="111"/>
    </w:p>
    <w:p w14:paraId="6FFD4A73" w14:textId="77777777" w:rsidR="004C06C5" w:rsidRDefault="004C06C5">
      <w:pPr>
        <w:rPr>
          <w:rFonts w:ascii="Arial Unicode MS" w:hAnsi="Arial Unicode MS"/>
        </w:rPr>
      </w:pPr>
    </w:p>
    <w:p w14:paraId="631E136A" w14:textId="77777777"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一、本基金的信息披露应符合《基金法》、《运作办法》、《信息披露办法》、《基金合同》及其他有关规定。相关法律法规关于信息披露的规定发生变化时，本基金从其最新规定。</w:t>
      </w:r>
    </w:p>
    <w:p w14:paraId="13DBAA3E" w14:textId="77777777"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14:paraId="6D1ED31A"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529590B1"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4EDCC711"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6CDBF2E" w14:textId="77777777"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14:paraId="1E2BFFAF"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、虚假记载、误导性陈述或者重大遗漏；</w:t>
      </w:r>
    </w:p>
    <w:p w14:paraId="18FCAA5A"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、对证券投资业绩进行预测；</w:t>
      </w:r>
    </w:p>
    <w:p w14:paraId="30200701"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、违规承诺收益或者承担损失；</w:t>
      </w:r>
    </w:p>
    <w:p w14:paraId="57B96FB4"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、诋毁其他基金管理人、基金托管人或者基金销售机构；</w:t>
      </w:r>
    </w:p>
    <w:p w14:paraId="7FFF2B05"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、登载任何自然人、法人或者非法人组织的祝贺性、恭维性或推荐性的文字；</w:t>
      </w:r>
    </w:p>
    <w:p w14:paraId="7B226ED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、中国证监会禁止的其他行为。</w:t>
      </w:r>
    </w:p>
    <w:p w14:paraId="73029959" w14:textId="77777777"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45C1DF8C"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14:paraId="39A9CD36" w14:textId="77777777"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14:paraId="423251CE"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公开披露的基金信息包括：</w:t>
      </w:r>
    </w:p>
    <w:p w14:paraId="1F7926BA"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（一）基金招募说明书、《基金合同》、基金托管协议</w:t>
      </w:r>
      <w:r>
        <w:rPr>
          <w:rFonts w:ascii="Arial Unicode MS" w:hAnsi="Arial Unicode MS" w:cs="Arial" w:hint="eastAsia"/>
          <w:bCs/>
          <w:szCs w:val="21"/>
        </w:rPr>
        <w:t>、基金产品资料概要</w:t>
      </w:r>
    </w:p>
    <w:p w14:paraId="05CF6DB6"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、《基金合同》是界定《基金合同》当事人的各项权利、义务关系，明确基金份额持有人大会召开的规则及具体程序，说明基金产品的特性等涉及基金投资者重大利益的事项的法律文件。</w:t>
      </w:r>
    </w:p>
    <w:p w14:paraId="01B0A52E"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、基金招募说明书应当最大限度地披露影响基金投资者决策的全部事项，说明基金认</w:t>
      </w:r>
      <w:r>
        <w:rPr>
          <w:rFonts w:ascii="Arial Unicode MS" w:hAnsi="Arial Unicode MS" w:cs="Arial" w:hint="eastAsia"/>
          <w:kern w:val="0"/>
          <w:szCs w:val="21"/>
        </w:rPr>
        <w:lastRenderedPageBreak/>
        <w:t>购、申购和赎回安排、基金投资、基金产品特性、风险揭示、信息披露及基金份额持有人服务等内容。《基金合同》生效后，</w:t>
      </w:r>
      <w:r>
        <w:rPr>
          <w:rFonts w:ascii="Arial Unicode MS" w:hAnsi="Arial Unicode MS" w:cs="Arial" w:hint="eastAsia"/>
          <w:bCs/>
          <w:szCs w:val="21"/>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70BD82D1"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、基金托管协议是界定基金托管人和基金管理人在基金财产保管及基金运作监督等活动中的权利、义务关系的法律文件。</w:t>
      </w:r>
    </w:p>
    <w:p w14:paraId="3150731B"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65CA1DB"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ABA4099"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（二）基金份额发售公告</w:t>
      </w:r>
    </w:p>
    <w:p w14:paraId="364D191B"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基金管理人应当就基金份额发售的具体事宜编制基金份额发售公告，并在披露招募说明书的当日登载于指定媒介上。</w:t>
      </w:r>
    </w:p>
    <w:p w14:paraId="46C8ED63"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（三）《基金合同》生效公告</w:t>
      </w:r>
    </w:p>
    <w:p w14:paraId="2547BADF"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基金管理人应当在收到中国证监会确认文件的次日在指定媒介上登载《基金合同》生效公告。</w:t>
      </w:r>
    </w:p>
    <w:p w14:paraId="4BD8B090"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w:t>
      </w:r>
      <w:r>
        <w:rPr>
          <w:rFonts w:ascii="Arial Unicode MS" w:hAnsi="Arial Unicode MS" w:cs="Arial" w:hint="eastAsia"/>
          <w:bCs/>
          <w:szCs w:val="21"/>
        </w:rPr>
        <w:t>基金净值信息</w:t>
      </w:r>
    </w:p>
    <w:p w14:paraId="52FA5CF4"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《基金合同》生效后，在开始办理基金份额申购或者赎回前，</w:t>
      </w:r>
      <w:r>
        <w:rPr>
          <w:rFonts w:ascii="Arial Unicode MS" w:hAnsi="Arial Unicode MS" w:cs="Arial" w:hint="eastAsia"/>
          <w:bCs/>
          <w:szCs w:val="21"/>
        </w:rPr>
        <w:t>基金管理人应当至少每周在指定网站披露一次基金份额净值和基金份额累计净值。</w:t>
      </w:r>
    </w:p>
    <w:p w14:paraId="69CCD1E8"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在开始办理基金份额申购或者赎回后，</w:t>
      </w:r>
      <w:r>
        <w:rPr>
          <w:rFonts w:ascii="Arial Unicode MS" w:hAnsi="Arial Unicode MS" w:cs="Arial" w:hint="eastAsia"/>
          <w:bCs/>
          <w:szCs w:val="21"/>
        </w:rPr>
        <w:t>基金管理人应当在不晚于每个开放日的次日，通过其指定网站、基金销售机构网站或营业网点披露开放日的基金份额净值和基金份额累计净值</w:t>
      </w:r>
      <w:r>
        <w:rPr>
          <w:rFonts w:ascii="Arial Unicode MS" w:hAnsi="Arial Unicode MS" w:cs="Arial" w:hint="eastAsia"/>
          <w:kern w:val="0"/>
          <w:szCs w:val="21"/>
        </w:rPr>
        <w:t>。</w:t>
      </w:r>
    </w:p>
    <w:p w14:paraId="719DA63E"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基金管理人应在不晚于半年度和年度最后一日的次日，在指定网站披露半年度和年度最后一日的基金份额净值和基金份额累计净值。</w:t>
      </w:r>
    </w:p>
    <w:p w14:paraId="47FF871E"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（五）基金份额申购、赎回价格</w:t>
      </w:r>
    </w:p>
    <w:p w14:paraId="30EF67A3"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基金管理人应当在《基金合同》、招募说明书等信息披露文件上载</w:t>
      </w:r>
      <w:proofErr w:type="gramStart"/>
      <w:r>
        <w:rPr>
          <w:rFonts w:ascii="Arial Unicode MS" w:hAnsi="Arial Unicode MS" w:cs="Arial" w:hint="eastAsia"/>
          <w:kern w:val="0"/>
          <w:szCs w:val="21"/>
        </w:rPr>
        <w:t>明基金</w:t>
      </w:r>
      <w:proofErr w:type="gramEnd"/>
      <w:r>
        <w:rPr>
          <w:rFonts w:ascii="Arial Unicode MS" w:hAnsi="Arial Unicode MS" w:cs="Arial" w:hint="eastAsia"/>
          <w:kern w:val="0"/>
          <w:szCs w:val="21"/>
        </w:rPr>
        <w:t>份额申购、赎</w:t>
      </w:r>
      <w:r>
        <w:rPr>
          <w:rFonts w:ascii="Arial Unicode MS" w:hAnsi="Arial Unicode MS" w:cs="Arial" w:hint="eastAsia"/>
          <w:kern w:val="0"/>
          <w:szCs w:val="21"/>
        </w:rPr>
        <w:lastRenderedPageBreak/>
        <w:t>回价格的计算方式及有关申购、赎回费率，</w:t>
      </w:r>
      <w:r>
        <w:rPr>
          <w:rFonts w:ascii="Arial Unicode MS" w:hAnsi="Arial Unicode MS" w:cs="Arial" w:hint="eastAsia"/>
          <w:bCs/>
          <w:szCs w:val="21"/>
        </w:rPr>
        <w:t>并保证投资者能够在基金销售机构网站或营业网点查阅或者复制前述信息库资料。</w:t>
      </w:r>
    </w:p>
    <w:p w14:paraId="6B67949B"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（六）基金定期报告，包括基金年度报告、基金中期报告和基金季度报告</w:t>
      </w:r>
    </w:p>
    <w:p w14:paraId="7FBCE794"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基金管理人应当在每年结束之日起三个月内，编制完成基金年度报告，</w:t>
      </w:r>
      <w:r>
        <w:rPr>
          <w:rFonts w:ascii="Arial Unicode MS" w:hAnsi="Arial Unicode MS" w:cs="Arial" w:hint="eastAsia"/>
          <w:bCs/>
          <w:szCs w:val="21"/>
        </w:rPr>
        <w:t>将年度报告登载在指定网站上，将年度报告提示性公告登载在指定报刊上。基金年度报告中的财务会计报告应当经过具有证券、期货相关业务资格的会计师事务所审计。</w:t>
      </w:r>
    </w:p>
    <w:p w14:paraId="0D0D20EA"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基金管理人应当在上半年结束之日起两个月内，编制完成基金中期报告，将中期报告登载在指定网站上，并将中期报告提示性公告登载在指定报刊上。</w:t>
      </w:r>
    </w:p>
    <w:p w14:paraId="4BB46622"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个工作日内，编制完成基金季度报告，将季度报告登载在指定网站上，并将季度报告提示性公告登载在指定报刊上。</w:t>
      </w:r>
    </w:p>
    <w:p w14:paraId="62BEF7DF"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《基金合同》生效不足</w:t>
      </w:r>
      <w:r>
        <w:rPr>
          <w:rFonts w:ascii="Arial Unicode MS" w:hAnsi="Arial Unicode MS" w:cs="Arial" w:hint="eastAsia"/>
          <w:kern w:val="0"/>
          <w:szCs w:val="21"/>
        </w:rPr>
        <w:t>2</w:t>
      </w:r>
      <w:r>
        <w:rPr>
          <w:rFonts w:ascii="Arial Unicode MS" w:hAnsi="Arial Unicode MS" w:cs="Arial" w:hint="eastAsia"/>
          <w:kern w:val="0"/>
          <w:szCs w:val="21"/>
        </w:rPr>
        <w:t>个月的，</w:t>
      </w:r>
      <w:r>
        <w:rPr>
          <w:rFonts w:ascii="Arial Unicode MS" w:hAnsi="Arial Unicode MS" w:cs="Arial" w:hint="eastAsia"/>
          <w:bCs/>
          <w:szCs w:val="21"/>
        </w:rPr>
        <w:t>基金管理人可以不编制当期季度报告、中期报告或者年度报告。</w:t>
      </w:r>
    </w:p>
    <w:p w14:paraId="533817D4"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如报告期内出现单一投资者持有基金份额达到或超过基金总份额</w:t>
      </w:r>
      <w:r>
        <w:rPr>
          <w:rFonts w:ascii="Arial Unicode MS" w:hAnsi="Arial Unicode MS" w:cs="Arial" w:hint="eastAsia"/>
          <w:kern w:val="0"/>
          <w:szCs w:val="21"/>
        </w:rPr>
        <w:t>20%</w:t>
      </w:r>
      <w:r>
        <w:rPr>
          <w:rFonts w:ascii="Arial Unicode MS" w:hAnsi="Arial Unicode MS" w:cs="Arial" w:hint="eastAsia"/>
          <w:kern w:val="0"/>
          <w:szCs w:val="21"/>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29F6F67C"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本基金持续运作过程中，应当在基金年度报告和中期报告中披露基金组合资产情况及其流动性风险分析等。</w:t>
      </w:r>
    </w:p>
    <w:p w14:paraId="025ABE0E"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（七）临时报告</w:t>
      </w:r>
    </w:p>
    <w:p w14:paraId="6E39CBBE"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日内编制临时报告书，并登载在指定报刊和指定网站上。</w:t>
      </w:r>
    </w:p>
    <w:p w14:paraId="3A4A1BC2"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前款所称重大事件，是指可能对基金份额持有人权益或者基金份额的价格产生重大影响的下列事件：</w:t>
      </w:r>
    </w:p>
    <w:p w14:paraId="4817A2E4"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4DD0CE42"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、基金终止上市交易、基金合同终止、基金清算；</w:t>
      </w:r>
    </w:p>
    <w:p w14:paraId="5E85941D"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45900A15"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41DF9089"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38B8A77E"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1EFE70CE"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14:paraId="223A551F"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14:paraId="32E04846"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6141803E"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28E1AA0F"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7445CBA0"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34A1B296"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A4CE8E7"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338FB98A"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、管理费、托管费、申购费、赎回费等费用计提标准、计提方式和费率发生变更；</w:t>
      </w:r>
    </w:p>
    <w:p w14:paraId="2BCDB1E2"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、基金份额净值计价错误</w:t>
      </w:r>
      <w:proofErr w:type="gramStart"/>
      <w:r>
        <w:rPr>
          <w:rFonts w:ascii="Arial Unicode MS" w:hAnsi="Arial Unicode MS" w:cs="Arial" w:hint="eastAsia"/>
          <w:bCs/>
          <w:szCs w:val="21"/>
        </w:rPr>
        <w:t>达基金</w:t>
      </w:r>
      <w:proofErr w:type="gramEnd"/>
      <w:r>
        <w:rPr>
          <w:rFonts w:ascii="Arial Unicode MS" w:hAnsi="Arial Unicode MS" w:cs="Arial" w:hint="eastAsia"/>
          <w:bCs/>
          <w:szCs w:val="21"/>
        </w:rPr>
        <w:t>份额净值百分之零点五；</w:t>
      </w:r>
    </w:p>
    <w:p w14:paraId="0D2E0146"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38F3898F"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71F11674"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、基金变更标的指数；</w:t>
      </w:r>
    </w:p>
    <w:p w14:paraId="48F7425F"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、基金份额停牌、复牌、暂停上市、恢复上市或终止上市交易；</w:t>
      </w:r>
    </w:p>
    <w:p w14:paraId="50BA1572"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、调整最小申购赎回单位、申购赎回方式及申购对价、赎回对价组成；</w:t>
      </w:r>
    </w:p>
    <w:p w14:paraId="0DD59594"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、调整基金份额类别的设置；</w:t>
      </w:r>
    </w:p>
    <w:p w14:paraId="55D7F61A"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、基金推出新业务或服务；</w:t>
      </w:r>
    </w:p>
    <w:p w14:paraId="59092B25"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24</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4FC91344"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（八）澄清公告</w:t>
      </w:r>
    </w:p>
    <w:p w14:paraId="6FF4F5F6"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在基金合同期限内，任何公共媒体中出现的或者在市场上流传的消息可能对基金份额价</w:t>
      </w:r>
      <w:r>
        <w:rPr>
          <w:rFonts w:ascii="Arial Unicode MS" w:hAnsi="Arial Unicode MS" w:cs="Arial" w:hint="eastAsia"/>
          <w:bCs/>
          <w:szCs w:val="21"/>
        </w:rPr>
        <w:lastRenderedPageBreak/>
        <w:t>格产生误导性影响或者引起较大波动，以及可能损害基金份额持有人权益的，相关信息披露义务人知悉后应当立即对该消息进行公开澄清，并将有关情况立即报告中国证监会、基金上市交易的证券交易所。</w:t>
      </w:r>
    </w:p>
    <w:p w14:paraId="238CCB8A"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（九）清算报告</w:t>
      </w:r>
    </w:p>
    <w:p w14:paraId="6B6939A2"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基金合同终止的，基金管理人应当依法组织基金财产清算小组对基金财产进行清算并</w:t>
      </w:r>
      <w:proofErr w:type="gramStart"/>
      <w:r>
        <w:rPr>
          <w:rFonts w:ascii="Arial Unicode MS" w:hAnsi="Arial Unicode MS" w:cs="Arial" w:hint="eastAsia"/>
          <w:bCs/>
          <w:szCs w:val="21"/>
        </w:rPr>
        <w:t>作出</w:t>
      </w:r>
      <w:proofErr w:type="gramEnd"/>
      <w:r>
        <w:rPr>
          <w:rFonts w:ascii="Arial Unicode MS" w:hAnsi="Arial Unicode MS" w:cs="Arial" w:hint="eastAsia"/>
          <w:bCs/>
          <w:szCs w:val="21"/>
        </w:rPr>
        <w:t>清算报告。基金财产清算小组应当将清算报告登载在指定网站上，并将清算报告提示性公告登载在指定报刊上。</w:t>
      </w:r>
    </w:p>
    <w:p w14:paraId="3ED4E726"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（十）基金份额持有人大会决议</w:t>
      </w:r>
    </w:p>
    <w:p w14:paraId="08B47AD8"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基金份额持有人大会决定的事项，应当依法报中国证监会备案，并予以公告。</w:t>
      </w:r>
    </w:p>
    <w:p w14:paraId="0ED96260"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（十一）投资于中小企业私募债券的信息披露</w:t>
      </w:r>
    </w:p>
    <w:p w14:paraId="449FAF4D"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、基金管理人应当在基金投资中小企业私募债券后两个交易日内，在中国证监会指定媒介披露所投资中小企业私募债券的名称、数量、期限、收益率等信息。</w:t>
      </w:r>
    </w:p>
    <w:p w14:paraId="3D15002E"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、基金管理人应当在季度报告、中期报告、年度报告等定期报告和招募说明书（更新）等文件中披露中小企业私募债券的投资情况。</w:t>
      </w:r>
    </w:p>
    <w:p w14:paraId="69B4AB11"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（十二）投资于资产支持证券的信息披露</w:t>
      </w:r>
    </w:p>
    <w:p w14:paraId="53139A85"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kern w:val="0"/>
          <w:szCs w:val="21"/>
        </w:rPr>
        <w:t>10</w:t>
      </w:r>
      <w:r>
        <w:rPr>
          <w:rFonts w:ascii="Arial Unicode MS" w:hAnsi="Arial Unicode MS" w:cs="Arial" w:hint="eastAsia"/>
          <w:kern w:val="0"/>
          <w:szCs w:val="21"/>
        </w:rPr>
        <w:t>名资产支持证券明细。</w:t>
      </w:r>
    </w:p>
    <w:p w14:paraId="321BB702"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（十三）投资于国债期货的信息披露</w:t>
      </w:r>
    </w:p>
    <w:p w14:paraId="6C48A7A2"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3A53DED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（十四）中国证监会规定的其他信息</w:t>
      </w:r>
    </w:p>
    <w:p w14:paraId="3E99F5F1" w14:textId="77777777"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14:paraId="337CEBBA"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5A6C1BDB"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00757FDF"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ascii="Arial Unicode MS" w:hAnsi="Arial Unicode MS" w:cs="Arial" w:hint="eastAsia"/>
          <w:bCs/>
          <w:szCs w:val="21"/>
        </w:rPr>
        <w:t>进行进行</w:t>
      </w:r>
      <w:proofErr w:type="gramEnd"/>
      <w:r>
        <w:rPr>
          <w:rFonts w:ascii="Arial Unicode MS" w:hAnsi="Arial Unicode MS" w:cs="Arial" w:hint="eastAsia"/>
          <w:bCs/>
          <w:szCs w:val="21"/>
        </w:rPr>
        <w:t>复核、审</w:t>
      </w:r>
      <w:r>
        <w:rPr>
          <w:rFonts w:ascii="Arial Unicode MS" w:hAnsi="Arial Unicode MS" w:cs="Arial" w:hint="eastAsia"/>
          <w:bCs/>
          <w:szCs w:val="21"/>
        </w:rPr>
        <w:lastRenderedPageBreak/>
        <w:t>查，并向基金管理人进行书面或电子确认。</w:t>
      </w:r>
    </w:p>
    <w:p w14:paraId="36B74349"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F9D26FB"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3AED39DC"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w:t>
      </w:r>
      <w:proofErr w:type="gramStart"/>
      <w:r>
        <w:rPr>
          <w:rFonts w:ascii="Arial Unicode MS" w:hAnsi="Arial Unicode MS" w:cs="Arial" w:hint="eastAsia"/>
          <w:bCs/>
          <w:szCs w:val="21"/>
        </w:rPr>
        <w:t>不</w:t>
      </w:r>
      <w:proofErr w:type="gramEnd"/>
      <w:r>
        <w:rPr>
          <w:rFonts w:ascii="Arial Unicode MS" w:hAnsi="Arial Unicode MS" w:cs="Arial" w:hint="eastAsia"/>
          <w:bCs/>
          <w:szCs w:val="21"/>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39D17C1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kern w:val="0"/>
          <w:szCs w:val="21"/>
        </w:rPr>
        <w:t>10</w:t>
      </w:r>
      <w:r>
        <w:rPr>
          <w:rFonts w:ascii="Arial Unicode MS" w:hAnsi="Arial Unicode MS" w:cs="Arial" w:hint="eastAsia"/>
          <w:kern w:val="0"/>
          <w:szCs w:val="21"/>
        </w:rPr>
        <w:t>年。</w:t>
      </w:r>
    </w:p>
    <w:p w14:paraId="34938AE1" w14:textId="77777777"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14:paraId="1B43968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依法必须披露的信息发布后，基金管理人、基金托管人应当按照相关法律法规规定将信息置备于公司住所、基金上市交易的证券交易所，供社会公众查阅、复制。</w:t>
      </w:r>
    </w:p>
    <w:p w14:paraId="0AF1B89F" w14:textId="77777777"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八、当出现下述情况时，基金管理人和基金托管人可暂停或延迟披露基金相关信息：</w:t>
      </w:r>
    </w:p>
    <w:p w14:paraId="7644527F"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1</w:t>
      </w:r>
      <w:r>
        <w:rPr>
          <w:rFonts w:ascii="Arial Unicode MS" w:hAnsi="Arial Unicode MS" w:cs="Arial" w:hint="eastAsia"/>
          <w:bCs/>
          <w:szCs w:val="21"/>
        </w:rPr>
        <w:t>、基金投资所涉及的证券交易所遇法定节假日或因其他原因暂停营业时；</w:t>
      </w:r>
    </w:p>
    <w:p w14:paraId="361DCED1"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2</w:t>
      </w:r>
      <w:r>
        <w:rPr>
          <w:rFonts w:ascii="Arial Unicode MS" w:hAnsi="Arial Unicode MS" w:cs="Arial" w:hint="eastAsia"/>
          <w:bCs/>
          <w:szCs w:val="21"/>
        </w:rPr>
        <w:t>、因不可抗力或其他情形致使基金管理人、基金托管人无法准确评估基金资产价值时；</w:t>
      </w:r>
    </w:p>
    <w:p w14:paraId="30940B5B" w14:textId="77777777"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3</w:t>
      </w:r>
      <w:r>
        <w:rPr>
          <w:rFonts w:ascii="Arial Unicode MS" w:hAnsi="Arial Unicode MS" w:cs="Arial" w:hint="eastAsia"/>
          <w:bCs/>
          <w:szCs w:val="21"/>
        </w:rPr>
        <w:t>、法律法规、中国证监会或《基金合同》认定的其他情形。</w:t>
      </w:r>
    </w:p>
    <w:p w14:paraId="3A847D52" w14:textId="77777777" w:rsidR="004C06C5" w:rsidRDefault="004C06C5">
      <w:pPr>
        <w:snapToGrid w:val="0"/>
        <w:spacing w:line="360" w:lineRule="auto"/>
        <w:ind w:firstLineChars="200" w:firstLine="420"/>
        <w:rPr>
          <w:rFonts w:ascii="Arial Unicode MS" w:hAnsi="Arial Unicode MS" w:cs="Arial"/>
          <w:bCs/>
          <w:szCs w:val="21"/>
        </w:rPr>
      </w:pPr>
    </w:p>
    <w:p w14:paraId="07C895C6" w14:textId="77777777" w:rsidR="004C06C5" w:rsidRDefault="004C06C5">
      <w:pPr>
        <w:snapToGrid w:val="0"/>
        <w:spacing w:line="360" w:lineRule="auto"/>
        <w:ind w:firstLineChars="200" w:firstLine="420"/>
        <w:rPr>
          <w:rFonts w:ascii="Arial Unicode MS" w:hAnsi="Arial Unicode MS" w:cs="Arial"/>
          <w:bCs/>
          <w:szCs w:val="21"/>
        </w:rPr>
      </w:pPr>
    </w:p>
    <w:p w14:paraId="35267E62" w14:textId="77777777" w:rsidR="004C06C5" w:rsidRDefault="004C06C5">
      <w:pPr>
        <w:snapToGrid w:val="0"/>
        <w:spacing w:line="360" w:lineRule="auto"/>
        <w:ind w:firstLineChars="200" w:firstLine="420"/>
        <w:rPr>
          <w:rFonts w:ascii="Arial Unicode MS" w:hAnsi="Arial Unicode MS" w:cs="Arial"/>
          <w:bCs/>
          <w:szCs w:val="21"/>
        </w:rPr>
      </w:pPr>
    </w:p>
    <w:p w14:paraId="20CB4AF2" w14:textId="77777777" w:rsidR="004C06C5" w:rsidRDefault="004C06C5">
      <w:pPr>
        <w:snapToGrid w:val="0"/>
        <w:spacing w:line="360" w:lineRule="auto"/>
        <w:ind w:firstLineChars="200" w:firstLine="420"/>
        <w:rPr>
          <w:rFonts w:ascii="Arial Unicode MS" w:hAnsi="Arial Unicode MS" w:cs="Arial"/>
          <w:bCs/>
          <w:szCs w:val="21"/>
        </w:rPr>
      </w:pPr>
    </w:p>
    <w:p w14:paraId="3206FB7C" w14:textId="77777777" w:rsidR="004C06C5" w:rsidRDefault="004C06C5">
      <w:pPr>
        <w:snapToGrid w:val="0"/>
        <w:spacing w:line="360" w:lineRule="auto"/>
        <w:ind w:firstLineChars="200" w:firstLine="420"/>
        <w:rPr>
          <w:rFonts w:ascii="Arial Unicode MS" w:hAnsi="Arial Unicode MS" w:cs="Arial"/>
          <w:bCs/>
          <w:szCs w:val="21"/>
        </w:rPr>
      </w:pPr>
    </w:p>
    <w:p w14:paraId="50EA8828" w14:textId="77777777" w:rsidR="004C06C5" w:rsidRDefault="004C06C5">
      <w:pPr>
        <w:snapToGrid w:val="0"/>
        <w:spacing w:line="360" w:lineRule="auto"/>
        <w:ind w:firstLineChars="200" w:firstLine="420"/>
        <w:rPr>
          <w:rFonts w:ascii="Arial Unicode MS" w:hAnsi="Arial Unicode MS" w:cs="Arial"/>
          <w:bCs/>
          <w:szCs w:val="21"/>
        </w:rPr>
      </w:pPr>
    </w:p>
    <w:p w14:paraId="507644A4" w14:textId="77777777" w:rsidR="004C06C5" w:rsidRDefault="004C06C5">
      <w:pPr>
        <w:snapToGrid w:val="0"/>
        <w:spacing w:line="360" w:lineRule="auto"/>
        <w:ind w:firstLineChars="200" w:firstLine="420"/>
        <w:rPr>
          <w:rFonts w:ascii="Arial Unicode MS" w:hAnsi="Arial Unicode MS" w:cs="Arial"/>
          <w:bCs/>
          <w:szCs w:val="21"/>
        </w:rPr>
      </w:pPr>
    </w:p>
    <w:p w14:paraId="643426CF" w14:textId="77777777" w:rsidR="004C06C5" w:rsidRDefault="004C06C5">
      <w:pPr>
        <w:snapToGrid w:val="0"/>
        <w:spacing w:line="360" w:lineRule="auto"/>
        <w:rPr>
          <w:rFonts w:ascii="Arial Unicode MS" w:hAnsi="Arial Unicode MS" w:cs="Arial"/>
          <w:kern w:val="0"/>
          <w:szCs w:val="21"/>
        </w:rPr>
      </w:pPr>
    </w:p>
    <w:p w14:paraId="3FC1CE3B" w14:textId="77777777" w:rsidR="004C06C5" w:rsidRDefault="00ED474B">
      <w:pPr>
        <w:pStyle w:val="11"/>
        <w:snapToGrid w:val="0"/>
        <w:spacing w:before="0" w:after="0" w:line="360" w:lineRule="auto"/>
        <w:rPr>
          <w:rFonts w:ascii="Arial Unicode MS" w:eastAsia="宋体" w:hAnsi="Arial Unicode MS" w:cs="Arial"/>
          <w:b/>
          <w:bCs/>
          <w:sz w:val="28"/>
          <w:szCs w:val="28"/>
        </w:rPr>
      </w:pPr>
      <w:bookmarkStart w:id="112" w:name="_Toc147463125"/>
      <w:bookmarkStart w:id="113" w:name="_Toc21073398"/>
      <w:bookmarkStart w:id="114" w:name="_Toc12357178"/>
      <w:bookmarkStart w:id="115" w:name="_Toc214873605"/>
      <w:bookmarkStart w:id="116" w:name="_Toc317088153"/>
      <w:bookmarkStart w:id="117" w:name="_Toc320887655"/>
      <w:bookmarkStart w:id="118" w:name="_Toc335232704"/>
      <w:bookmarkStart w:id="119" w:name="_Toc317088550"/>
      <w:bookmarkStart w:id="120" w:name="_Toc1464071"/>
      <w:bookmarkEnd w:id="104"/>
      <w:bookmarkEnd w:id="105"/>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六</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风险揭示</w:t>
      </w:r>
      <w:bookmarkEnd w:id="112"/>
      <w:bookmarkEnd w:id="113"/>
      <w:bookmarkEnd w:id="114"/>
      <w:bookmarkEnd w:id="115"/>
      <w:bookmarkEnd w:id="116"/>
      <w:bookmarkEnd w:id="117"/>
      <w:bookmarkEnd w:id="118"/>
      <w:bookmarkEnd w:id="119"/>
      <w:bookmarkEnd w:id="120"/>
    </w:p>
    <w:p w14:paraId="09119104" w14:textId="77777777" w:rsidR="004C06C5" w:rsidRDefault="004C06C5">
      <w:pPr>
        <w:rPr>
          <w:rFonts w:ascii="Arial Unicode MS" w:hAnsi="Arial Unicode MS"/>
          <w:lang w:val="zh-CN"/>
        </w:rPr>
      </w:pPr>
    </w:p>
    <w:p w14:paraId="01F5094B" w14:textId="77777777"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14:paraId="3072369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投资于本基金的主要风险有：</w:t>
      </w:r>
    </w:p>
    <w:p w14:paraId="28A64A5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、市场风险</w:t>
      </w:r>
    </w:p>
    <w:p w14:paraId="0E7E5DD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证券市场价格受到各种因素的影响，导致基金收益水平变化而产生风险，主要包括：</w:t>
      </w:r>
    </w:p>
    <w:p w14:paraId="20E20AF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）政策风险。因国家宏观政策（如货币政策、财政政策、行业政策、地区发展政策等）发生变化，导致市场价格波动而产生风险。</w:t>
      </w:r>
    </w:p>
    <w:p w14:paraId="1ACAAE9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）经济周期风险。随着经济运行的周期性变化，证券市场的收益水平也呈周期性变化。本基金主要投资于债券，收益水平也会随之变化，从而产生风险。</w:t>
      </w:r>
    </w:p>
    <w:p w14:paraId="6C98DE6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）利率风险。金融市场利率的波动会导致证券市场价格和收益率的变动。</w:t>
      </w:r>
    </w:p>
    <w:p w14:paraId="3F98DF7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）通货膨胀风险。如果发生通货膨胀，基金投资于证券所获得的收益可能会被通货膨胀抵消，从而影响基金资产的保值增值。</w:t>
      </w:r>
    </w:p>
    <w:p w14:paraId="66C103E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）再投资风险。再投资风险反映了利率下降对固定收益证券利息收入再投资收益的影响，这与利率上升所带来的价格风险（即利率风险）互为消长。</w:t>
      </w:r>
    </w:p>
    <w:p w14:paraId="15C0DAC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、信用风险</w:t>
      </w:r>
    </w:p>
    <w:p w14:paraId="22955D1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5721AEB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、流动性风险</w:t>
      </w:r>
    </w:p>
    <w:p w14:paraId="4238C7D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流动性风险是指因证券市场交易量不足，导致证券不能迅速、低成本地变现的风险。流动性风险还包括基金出现巨额赎回，致使没有足够的现金应付赎回支付所引致的风险。</w:t>
      </w:r>
    </w:p>
    <w:p w14:paraId="1757A51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）拟投资市场、行业及资产的流动性风险评估</w:t>
      </w:r>
    </w:p>
    <w:p w14:paraId="1865A50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本基金主要投资于债券、货币市场工具等具有良好流动性的金融工具，资本市场成交活跃程度、基金持仓资产的变现能力以及投资者的申购</w:t>
      </w:r>
      <w:r>
        <w:rPr>
          <w:rFonts w:ascii="Arial Unicode MS" w:hAnsi="Arial Unicode MS" w:cs="Arial" w:hint="eastAsia"/>
          <w:kern w:val="0"/>
          <w:szCs w:val="21"/>
        </w:rPr>
        <w:t>/</w:t>
      </w:r>
      <w:r>
        <w:rPr>
          <w:rFonts w:ascii="Arial Unicode MS" w:hAnsi="Arial Unicode MS" w:cs="Arial" w:hint="eastAsia"/>
          <w:kern w:val="0"/>
          <w:szCs w:val="21"/>
        </w:rPr>
        <w:t>赎回行为将对本基金所面临的流动性风险产生直接影响。资本市场成交量低迷、基金持仓集中度过高、基金资产变现能力下降、</w:t>
      </w:r>
      <w:proofErr w:type="gramStart"/>
      <w:r>
        <w:rPr>
          <w:rFonts w:ascii="Arial Unicode MS" w:hAnsi="Arial Unicode MS" w:cs="Arial" w:hint="eastAsia"/>
          <w:kern w:val="0"/>
          <w:szCs w:val="21"/>
        </w:rPr>
        <w:t>单一基金</w:t>
      </w:r>
      <w:proofErr w:type="gramEnd"/>
      <w:r>
        <w:rPr>
          <w:rFonts w:ascii="Arial Unicode MS" w:hAnsi="Arial Unicode MS" w:cs="Arial" w:hint="eastAsia"/>
          <w:kern w:val="0"/>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w:t>
      </w:r>
      <w:r>
        <w:rPr>
          <w:rFonts w:ascii="Arial Unicode MS" w:hAnsi="Arial Unicode MS" w:cs="Arial" w:hint="eastAsia"/>
          <w:kern w:val="0"/>
          <w:szCs w:val="21"/>
        </w:rPr>
        <w:lastRenderedPageBreak/>
        <w:t>金资产持仓集中度、降低流动受限资产投资比例等措施，有效防范本基金所面临的流动性风险。</w:t>
      </w:r>
    </w:p>
    <w:p w14:paraId="0E79859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）巨额赎回情形下的流动性风险管理措施</w:t>
      </w:r>
      <w:r>
        <w:rPr>
          <w:rFonts w:ascii="Arial Unicode MS" w:hAnsi="Arial Unicode MS" w:cs="Arial" w:hint="eastAsia"/>
          <w:kern w:val="0"/>
          <w:szCs w:val="21"/>
        </w:rPr>
        <w:t xml:space="preserve"> </w:t>
      </w:r>
    </w:p>
    <w:p w14:paraId="6706CF9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0B56B69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上述各类流动性风险管理工具包括但不限于：</w:t>
      </w:r>
      <w:r>
        <w:rPr>
          <w:rFonts w:ascii="Arial Unicode MS" w:hAnsi="Arial Unicode MS" w:cs="Arial" w:hint="eastAsia"/>
          <w:kern w:val="0"/>
          <w:szCs w:val="21"/>
        </w:rPr>
        <w:t xml:space="preserve"> 1</w:t>
      </w:r>
      <w:r>
        <w:rPr>
          <w:rFonts w:ascii="Arial Unicode MS" w:hAnsi="Arial Unicode MS" w:cs="Arial" w:hint="eastAsia"/>
          <w:kern w:val="0"/>
          <w:szCs w:val="21"/>
        </w:rPr>
        <w:t>、</w:t>
      </w:r>
      <w:r>
        <w:rPr>
          <w:rFonts w:ascii="Arial Unicode MS" w:hAnsi="Arial Unicode MS" w:cs="Arial" w:hint="eastAsia"/>
          <w:kern w:val="0"/>
          <w:szCs w:val="21"/>
        </w:rPr>
        <w:t xml:space="preserve"> </w:t>
      </w:r>
      <w:r>
        <w:rPr>
          <w:rFonts w:ascii="Arial Unicode MS" w:hAnsi="Arial Unicode MS" w:cs="Arial" w:hint="eastAsia"/>
          <w:kern w:val="0"/>
          <w:szCs w:val="21"/>
        </w:rPr>
        <w:t>延期办理巨额赎回申请；</w:t>
      </w:r>
      <w:r>
        <w:rPr>
          <w:rFonts w:ascii="Arial Unicode MS" w:hAnsi="Arial Unicode MS" w:cs="Arial" w:hint="eastAsia"/>
          <w:kern w:val="0"/>
          <w:szCs w:val="21"/>
        </w:rPr>
        <w:t xml:space="preserve"> 2</w:t>
      </w:r>
      <w:r>
        <w:rPr>
          <w:rFonts w:ascii="Arial Unicode MS" w:hAnsi="Arial Unicode MS" w:cs="Arial" w:hint="eastAsia"/>
          <w:kern w:val="0"/>
          <w:szCs w:val="21"/>
        </w:rPr>
        <w:t>、暂停接受赎回申请；</w:t>
      </w:r>
      <w:r>
        <w:rPr>
          <w:rFonts w:ascii="Arial Unicode MS" w:hAnsi="Arial Unicode MS" w:cs="Arial" w:hint="eastAsia"/>
          <w:kern w:val="0"/>
          <w:szCs w:val="21"/>
        </w:rPr>
        <w:t>3</w:t>
      </w:r>
      <w:r>
        <w:rPr>
          <w:rFonts w:ascii="Arial Unicode MS" w:hAnsi="Arial Unicode MS" w:cs="Arial" w:hint="eastAsia"/>
          <w:kern w:val="0"/>
          <w:szCs w:val="21"/>
        </w:rPr>
        <w:t>、延缓支付赎回款项；</w:t>
      </w:r>
      <w:r>
        <w:rPr>
          <w:rFonts w:ascii="Arial Unicode MS" w:hAnsi="Arial Unicode MS" w:cs="Arial" w:hint="eastAsia"/>
          <w:kern w:val="0"/>
          <w:szCs w:val="21"/>
        </w:rPr>
        <w:t>4</w:t>
      </w:r>
      <w:r>
        <w:rPr>
          <w:rFonts w:ascii="Arial Unicode MS" w:hAnsi="Arial Unicode MS" w:cs="Arial" w:hint="eastAsia"/>
          <w:kern w:val="0"/>
          <w:szCs w:val="21"/>
        </w:rPr>
        <w:t>、收取短期赎回费；</w:t>
      </w:r>
      <w:r>
        <w:rPr>
          <w:rFonts w:ascii="Arial Unicode MS" w:hAnsi="Arial Unicode MS" w:cs="Arial" w:hint="eastAsia"/>
          <w:kern w:val="0"/>
          <w:szCs w:val="21"/>
        </w:rPr>
        <w:t>5</w:t>
      </w:r>
      <w:r>
        <w:rPr>
          <w:rFonts w:ascii="Arial Unicode MS" w:hAnsi="Arial Unicode MS" w:cs="Arial" w:hint="eastAsia"/>
          <w:kern w:val="0"/>
          <w:szCs w:val="21"/>
        </w:rPr>
        <w:t>、暂停基金估值；</w:t>
      </w:r>
      <w:r>
        <w:rPr>
          <w:rFonts w:ascii="Arial Unicode MS" w:hAnsi="Arial Unicode MS" w:cs="Arial" w:hint="eastAsia"/>
          <w:kern w:val="0"/>
          <w:szCs w:val="21"/>
        </w:rPr>
        <w:t>6</w:t>
      </w:r>
      <w:r>
        <w:rPr>
          <w:rFonts w:ascii="Arial Unicode MS" w:hAnsi="Arial Unicode MS" w:cs="Arial" w:hint="eastAsia"/>
          <w:kern w:val="0"/>
          <w:szCs w:val="21"/>
        </w:rPr>
        <w:t>、摆动定价；</w:t>
      </w:r>
      <w:r>
        <w:rPr>
          <w:rFonts w:ascii="Arial Unicode MS" w:hAnsi="Arial Unicode MS" w:cs="Arial" w:hint="eastAsia"/>
          <w:kern w:val="0"/>
          <w:szCs w:val="21"/>
        </w:rPr>
        <w:t>7</w:t>
      </w:r>
      <w:r>
        <w:rPr>
          <w:rFonts w:ascii="Arial Unicode MS" w:hAnsi="Arial Unicode MS" w:cs="Arial" w:hint="eastAsia"/>
          <w:kern w:val="0"/>
          <w:szCs w:val="21"/>
        </w:rPr>
        <w:t>、中国证监会认定的其他措施。</w:t>
      </w:r>
    </w:p>
    <w:p w14:paraId="18A867F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在采用上述流动性风险管理工具时，</w:t>
      </w:r>
      <w:r>
        <w:rPr>
          <w:rFonts w:ascii="Arial Unicode MS" w:hAnsi="Arial Unicode MS" w:cs="Arial" w:hint="eastAsia"/>
          <w:kern w:val="0"/>
          <w:szCs w:val="21"/>
        </w:rPr>
        <w:t xml:space="preserve"> </w:t>
      </w:r>
      <w:r>
        <w:rPr>
          <w:rFonts w:ascii="Arial Unicode MS" w:hAnsi="Arial Unicode MS" w:cs="Arial" w:hint="eastAsia"/>
          <w:kern w:val="0"/>
          <w:szCs w:val="21"/>
        </w:rPr>
        <w:t>基金管理人严格遵守法律法规及基金合同的约定，确保相关工具实施的及时、有序、透明及公平。</w:t>
      </w:r>
    </w:p>
    <w:p w14:paraId="0FA890A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）实施备用的流动性风险管理工具的情形、程序及对投资者的潜在影响</w:t>
      </w:r>
    </w:p>
    <w:p w14:paraId="50C0F83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）实施备用流动性风险管理工具的情形：在本基金发生巨额赎回的情形下，本基金管理人将实施备用流动性风险管理工具。</w:t>
      </w:r>
    </w:p>
    <w:p w14:paraId="15FED7E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6CAE94A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）实施备用流动性风险管理工具对投资者的影响：在实施备用流动性风险管理工具的情形下，可能会导致本基金份额持有人的部分或全部赎回申请被确认失败或者被收取短期赎回费。</w:t>
      </w:r>
    </w:p>
    <w:p w14:paraId="0089F10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、操作风险</w:t>
      </w:r>
    </w:p>
    <w:p w14:paraId="46EFBCD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kern w:val="0"/>
          <w:szCs w:val="21"/>
        </w:rPr>
        <w:t>IT</w:t>
      </w:r>
      <w:r>
        <w:rPr>
          <w:rFonts w:ascii="Arial Unicode MS" w:hAnsi="Arial Unicode MS" w:cs="Arial" w:hint="eastAsia"/>
          <w:kern w:val="0"/>
          <w:szCs w:val="21"/>
        </w:rPr>
        <w:t>系统故障等风险。</w:t>
      </w:r>
    </w:p>
    <w:p w14:paraId="762D034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、管理风险</w:t>
      </w:r>
    </w:p>
    <w:p w14:paraId="37E4ECA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456AAF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风险</w:t>
      </w:r>
    </w:p>
    <w:p w14:paraId="6BE899D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风险指基金管理或运作过程中，违反国家法律、法规的规定，或者违反《基金合同》有关规定的风险。</w:t>
      </w:r>
    </w:p>
    <w:p w14:paraId="5562D97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、本基金的特有风险</w:t>
      </w:r>
    </w:p>
    <w:p w14:paraId="4C3CCC7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本基金为债券型基金，债券的投资比例不低于基金资产的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Arial Unicode MS" w:hAnsi="Arial Unicode MS" w:cs="Arial" w:hint="eastAsia"/>
          <w:kern w:val="0"/>
          <w:szCs w:val="21"/>
        </w:rPr>
        <w:t>的</w:t>
      </w:r>
      <w:proofErr w:type="gramEnd"/>
      <w:r>
        <w:rPr>
          <w:rFonts w:ascii="Arial Unicode MS" w:hAnsi="Arial Unicode MS" w:cs="Arial" w:hint="eastAsia"/>
          <w:kern w:val="0"/>
          <w:szCs w:val="21"/>
        </w:rPr>
        <w:t>成长性与市场一致预期不符而造成个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价格表现低于预期的风险。</w:t>
      </w:r>
    </w:p>
    <w:p w14:paraId="537DF50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中小企业私募债券，中小企业私募债券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券，由此可能给基金净值带来更大的负面影响和损失。</w:t>
      </w:r>
    </w:p>
    <w:p w14:paraId="222F20E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本基金投资资产支持证券，资产支持证券（</w:t>
      </w:r>
      <w:r>
        <w:rPr>
          <w:rFonts w:ascii="Arial Unicode MS" w:hAnsi="Arial Unicode MS" w:cs="Arial" w:hint="eastAsia"/>
          <w:kern w:val="0"/>
          <w:szCs w:val="21"/>
        </w:rPr>
        <w:t>ABS</w:t>
      </w:r>
      <w:r>
        <w:rPr>
          <w:rFonts w:ascii="Arial Unicode MS" w:hAnsi="Arial Unicode MS" w:cs="Arial" w:hint="eastAsia"/>
          <w:kern w:val="0"/>
          <w:szCs w:val="21"/>
        </w:rPr>
        <w:t>）或资产支持票据（</w:t>
      </w:r>
      <w:r>
        <w:rPr>
          <w:rFonts w:ascii="Arial Unicode MS" w:hAnsi="Arial Unicode MS" w:cs="Arial" w:hint="eastAsia"/>
          <w:kern w:val="0"/>
          <w:szCs w:val="21"/>
        </w:rPr>
        <w:t>ABN</w:t>
      </w:r>
      <w:r>
        <w:rPr>
          <w:rFonts w:ascii="Arial Unicode MS" w:hAnsi="Arial Unicode MS" w:cs="Arial" w:hint="eastAsia"/>
          <w:kern w:val="0"/>
          <w:szCs w:val="21"/>
        </w:rPr>
        <w:t>）是一种债券性质的金融工具，其向投资者支付的本息来自于基础资产</w:t>
      </w:r>
      <w:proofErr w:type="gramStart"/>
      <w:r>
        <w:rPr>
          <w:rFonts w:ascii="Arial Unicode MS" w:hAnsi="Arial Unicode MS" w:cs="Arial" w:hint="eastAsia"/>
          <w:kern w:val="0"/>
          <w:szCs w:val="21"/>
        </w:rPr>
        <w:t>池产生</w:t>
      </w:r>
      <w:proofErr w:type="gramEnd"/>
      <w:r>
        <w:rPr>
          <w:rFonts w:ascii="Arial Unicode MS" w:hAnsi="Arial Unicode MS" w:cs="Arial" w:hint="eastAsia"/>
          <w:kern w:val="0"/>
          <w:szCs w:val="21"/>
        </w:rPr>
        <w:t>的现金流或剩余权益。与股票和一般债券不同，资产支持证券不是对某一经营实体的利益要求权，而是对基础</w:t>
      </w:r>
      <w:proofErr w:type="gramStart"/>
      <w:r>
        <w:rPr>
          <w:rFonts w:ascii="Arial Unicode MS" w:hAnsi="Arial Unicode MS" w:cs="Arial" w:hint="eastAsia"/>
          <w:kern w:val="0"/>
          <w:szCs w:val="21"/>
        </w:rPr>
        <w:t>资产池所产生</w:t>
      </w:r>
      <w:proofErr w:type="gramEnd"/>
      <w:r>
        <w:rPr>
          <w:rFonts w:ascii="Arial Unicode MS" w:hAnsi="Arial Unicode MS" w:cs="Arial" w:hint="eastAsia"/>
          <w:kern w:val="0"/>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50D4F2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p>
    <w:p w14:paraId="6AA3395A" w14:textId="77777777"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14:paraId="12DC20E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、投资者投资于本基金，须自行承担投资风险；</w:t>
      </w:r>
    </w:p>
    <w:p w14:paraId="21E6939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、除基金管理人直接办理本基金的销售外，本基金还通过基金销售机构代理销售，基金管理人与基金销售机构都不能保证其收益或本金安全。</w:t>
      </w:r>
    </w:p>
    <w:p w14:paraId="25B8A348"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375CC711"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7D4D9CB5"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2581BB2D"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7CF664B7" w14:textId="77777777"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121" w:name="_Toc454717524"/>
      <w:bookmarkStart w:id="122" w:name="_Toc520693803"/>
      <w:bookmarkStart w:id="123" w:name="_Toc520693901"/>
      <w:bookmarkStart w:id="124" w:name="_Toc524923235"/>
      <w:bookmarkStart w:id="125" w:name="_Toc214873606"/>
      <w:bookmarkStart w:id="126" w:name="_Toc317088154"/>
      <w:bookmarkStart w:id="127" w:name="_Toc317088551"/>
      <w:bookmarkStart w:id="128" w:name="_Toc320887656"/>
      <w:bookmarkStart w:id="129" w:name="_Toc335232705"/>
      <w:bookmarkStart w:id="130" w:name="_Toc1464072"/>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七</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21"/>
      <w:bookmarkEnd w:id="122"/>
      <w:bookmarkEnd w:id="123"/>
      <w:bookmarkEnd w:id="124"/>
      <w:r>
        <w:rPr>
          <w:rFonts w:ascii="Arial Unicode MS" w:eastAsia="宋体" w:hAnsi="Arial Unicode MS" w:cs="Arial"/>
          <w:b/>
          <w:bCs/>
          <w:sz w:val="28"/>
          <w:szCs w:val="28"/>
        </w:rPr>
        <w:t>基金合同的变更、终止与基金财产的清算</w:t>
      </w:r>
      <w:bookmarkEnd w:id="125"/>
      <w:bookmarkEnd w:id="126"/>
      <w:bookmarkEnd w:id="127"/>
      <w:bookmarkEnd w:id="128"/>
      <w:bookmarkEnd w:id="129"/>
      <w:bookmarkEnd w:id="130"/>
    </w:p>
    <w:p w14:paraId="1382C99A" w14:textId="77777777" w:rsidR="004C06C5" w:rsidRDefault="004C06C5">
      <w:pPr>
        <w:rPr>
          <w:rFonts w:ascii="Arial Unicode MS" w:hAnsi="Arial Unicode MS"/>
          <w:lang w:val="zh-CN"/>
        </w:rPr>
      </w:pPr>
    </w:p>
    <w:p w14:paraId="1B7CDC02" w14:textId="77777777" w:rsidR="004C06C5" w:rsidRDefault="00ED474B">
      <w:pPr>
        <w:snapToGrid w:val="0"/>
        <w:spacing w:line="360" w:lineRule="auto"/>
        <w:ind w:firstLineChars="200" w:firstLine="422"/>
        <w:rPr>
          <w:rFonts w:ascii="Arial Unicode MS" w:hAnsi="Arial Unicode MS" w:cs="Arial"/>
          <w:b/>
          <w:szCs w:val="21"/>
        </w:rPr>
      </w:pPr>
      <w:bookmarkStart w:id="131" w:name="_Toc79392639"/>
      <w:r>
        <w:rPr>
          <w:rFonts w:ascii="Arial Unicode MS" w:hAnsi="Arial Unicode MS" w:cs="Arial" w:hint="eastAsia"/>
          <w:b/>
          <w:szCs w:val="21"/>
        </w:rPr>
        <w:t>一、《基金合同》的变更</w:t>
      </w:r>
    </w:p>
    <w:p w14:paraId="2011020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、变更基金合同</w:t>
      </w:r>
      <w:r>
        <w:rPr>
          <w:rFonts w:ascii="Arial Unicode MS" w:hAnsi="Arial Unicode MS" w:cs="Arial" w:hint="eastAsia"/>
          <w:kern w:val="0"/>
          <w:szCs w:val="21"/>
        </w:rPr>
        <w:t>涉及</w:t>
      </w:r>
      <w:r>
        <w:rPr>
          <w:rFonts w:ascii="Arial Unicode MS" w:hAnsi="Arial Unicode MS" w:cs="Arial"/>
          <w:kern w:val="0"/>
          <w:szCs w:val="21"/>
        </w:rPr>
        <w:t>法律法规规定或</w:t>
      </w:r>
      <w:r>
        <w:rPr>
          <w:rFonts w:ascii="Arial Unicode MS" w:hAnsi="Arial Unicode MS" w:cs="Arial" w:hint="eastAsia"/>
          <w:kern w:val="0"/>
          <w:szCs w:val="21"/>
        </w:rPr>
        <w:t>基金</w:t>
      </w:r>
      <w:r>
        <w:rPr>
          <w:rFonts w:ascii="Arial Unicode MS" w:hAnsi="Arial Unicode MS" w:cs="Arial"/>
          <w:kern w:val="0"/>
          <w:szCs w:val="21"/>
        </w:rPr>
        <w:t>合同约定应经基金份额持有人大会决议通过的事项的，应召</w:t>
      </w:r>
      <w:proofErr w:type="gramStart"/>
      <w:r>
        <w:rPr>
          <w:rFonts w:ascii="Arial Unicode MS" w:hAnsi="Arial Unicode MS" w:cs="Arial"/>
          <w:kern w:val="0"/>
          <w:szCs w:val="21"/>
        </w:rPr>
        <w:t>开基金</w:t>
      </w:r>
      <w:proofErr w:type="gramEnd"/>
      <w:r>
        <w:rPr>
          <w:rFonts w:ascii="Arial Unicode MS" w:hAnsi="Arial Unicode MS" w:cs="Arial"/>
          <w:kern w:val="0"/>
          <w:szCs w:val="21"/>
        </w:rPr>
        <w:t>份额持有人大会决议通过。对于</w:t>
      </w:r>
      <w:r>
        <w:rPr>
          <w:rFonts w:ascii="Arial Unicode MS" w:hAnsi="Arial Unicode MS" w:cs="Arial" w:hint="eastAsia"/>
          <w:kern w:val="0"/>
          <w:szCs w:val="21"/>
        </w:rPr>
        <w:t>法律法规规定和基金合同约定</w:t>
      </w:r>
      <w:r>
        <w:rPr>
          <w:rFonts w:ascii="Arial Unicode MS" w:hAnsi="Arial Unicode MS" w:cs="Arial"/>
          <w:kern w:val="0"/>
          <w:szCs w:val="21"/>
        </w:rPr>
        <w:t>可不经基金份额持有人大会决议通过的事项，由基金管理人和基金托管人同意后变更并公告，并报中国证监会备案。</w:t>
      </w:r>
    </w:p>
    <w:p w14:paraId="4786D2E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、关于《基金合同》变更的基金份额持有人大会决议</w:t>
      </w:r>
      <w:r>
        <w:rPr>
          <w:rFonts w:ascii="Arial Unicode MS" w:hAnsi="Arial Unicode MS" w:cs="Arial" w:hint="eastAsia"/>
          <w:kern w:val="0"/>
          <w:szCs w:val="21"/>
        </w:rPr>
        <w:t>须报中国证监会备案，自表决通过之日起生效</w:t>
      </w:r>
      <w:r>
        <w:rPr>
          <w:rFonts w:ascii="Arial Unicode MS" w:hAnsi="Arial Unicode MS" w:cs="Arial"/>
          <w:kern w:val="0"/>
          <w:szCs w:val="21"/>
        </w:rPr>
        <w:t>，</w:t>
      </w:r>
      <w:r>
        <w:rPr>
          <w:rFonts w:ascii="Arial Unicode MS" w:hAnsi="Arial Unicode MS" w:cs="Arial" w:hint="eastAsia"/>
          <w:kern w:val="0"/>
          <w:szCs w:val="21"/>
        </w:rPr>
        <w:t>并</w:t>
      </w:r>
      <w:proofErr w:type="gramStart"/>
      <w:r>
        <w:rPr>
          <w:rFonts w:ascii="Arial Unicode MS" w:hAnsi="Arial Unicode MS" w:cs="Arial"/>
          <w:kern w:val="0"/>
          <w:szCs w:val="21"/>
        </w:rPr>
        <w:t>自决议</w:t>
      </w:r>
      <w:proofErr w:type="gramEnd"/>
      <w:r>
        <w:rPr>
          <w:rFonts w:ascii="Arial Unicode MS" w:hAnsi="Arial Unicode MS" w:cs="Arial"/>
          <w:kern w:val="0"/>
          <w:szCs w:val="21"/>
        </w:rPr>
        <w:t>生效后两</w:t>
      </w:r>
      <w:r>
        <w:rPr>
          <w:rFonts w:ascii="Arial Unicode MS" w:hAnsi="Arial Unicode MS" w:cs="Arial" w:hint="eastAsia"/>
          <w:kern w:val="0"/>
          <w:szCs w:val="21"/>
        </w:rPr>
        <w:t>个工作</w:t>
      </w:r>
      <w:r>
        <w:rPr>
          <w:rFonts w:ascii="Arial Unicode MS" w:hAnsi="Arial Unicode MS" w:cs="Arial"/>
          <w:kern w:val="0"/>
          <w:szCs w:val="21"/>
        </w:rPr>
        <w:t>日内在指定媒介公告。</w:t>
      </w:r>
    </w:p>
    <w:p w14:paraId="1A56C3E3" w14:textId="77777777"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14:paraId="0DA5A3A0"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有下列情形之一的，《基金合同》应当终止：</w:t>
      </w:r>
    </w:p>
    <w:p w14:paraId="2682E188"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、基金份额持有人大会决定终止的；</w:t>
      </w:r>
    </w:p>
    <w:p w14:paraId="0612DEEC"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、基金管理人、基金托管人职责终止，在</w:t>
      </w:r>
      <w:r>
        <w:rPr>
          <w:rFonts w:ascii="Arial Unicode MS" w:hAnsi="Arial Unicode MS" w:cs="Arial" w:hint="eastAsia"/>
          <w:kern w:val="0"/>
          <w:szCs w:val="21"/>
        </w:rPr>
        <w:t>6</w:t>
      </w:r>
      <w:r>
        <w:rPr>
          <w:rFonts w:ascii="Arial Unicode MS" w:hAnsi="Arial Unicode MS" w:cs="Arial" w:hint="eastAsia"/>
          <w:kern w:val="0"/>
          <w:szCs w:val="21"/>
        </w:rPr>
        <w:t>个月内没有新基金管理人、新基金托管人承接的；</w:t>
      </w:r>
    </w:p>
    <w:p w14:paraId="1CFEC646" w14:textId="77777777"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、《基金合同》约定的其他情形；</w:t>
      </w:r>
    </w:p>
    <w:p w14:paraId="75092A4B" w14:textId="77777777" w:rsidR="004C06C5" w:rsidRDefault="00A42DB6">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sidR="00ED474B">
        <w:rPr>
          <w:rFonts w:ascii="Arial Unicode MS" w:hAnsi="Arial Unicode MS" w:cs="Arial" w:hint="eastAsia"/>
          <w:kern w:val="0"/>
          <w:szCs w:val="21"/>
        </w:rPr>
        <w:t>、相关法律法规和中国证监会规定的其他情况。</w:t>
      </w:r>
    </w:p>
    <w:p w14:paraId="7BA8684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基金合同终止后，基金管理人和基金托管人有权依照《基金法》、《运作办法》、《销售办法》、基金合同及其他有关法律法规的规定，行使请求给付报酬、从基金资产中获得补偿的权利。</w:t>
      </w:r>
    </w:p>
    <w:p w14:paraId="06B5F891" w14:textId="77777777"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14:paraId="0E0D74C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14:paraId="354575D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w:t>
      </w:r>
      <w:r>
        <w:rPr>
          <w:rFonts w:ascii="Arial Unicode MS" w:hAnsi="Arial Unicode MS" w:cs="Arial" w:hint="eastAsia"/>
          <w:szCs w:val="21"/>
        </w:rPr>
        <w:t>具有证券、期货相关业务资格的</w:t>
      </w:r>
      <w:r>
        <w:rPr>
          <w:rFonts w:ascii="Arial Unicode MS" w:hAnsi="Arial Unicode MS" w:cs="Arial" w:hint="eastAsia"/>
          <w:kern w:val="0"/>
          <w:szCs w:val="21"/>
        </w:rPr>
        <w:t>注册会计师、律师以及中国证监会指定的人员组成。基金财产清算小组可以聘用必要的工作人员。</w:t>
      </w:r>
    </w:p>
    <w:p w14:paraId="44C6B5D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14:paraId="163BA35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4</w:t>
      </w:r>
      <w:r>
        <w:rPr>
          <w:rFonts w:ascii="Arial Unicode MS" w:hAnsi="Arial Unicode MS" w:cs="Arial" w:hint="eastAsia"/>
          <w:kern w:val="0"/>
          <w:szCs w:val="21"/>
        </w:rPr>
        <w:t>、基金财产清算程序：</w:t>
      </w:r>
    </w:p>
    <w:p w14:paraId="08F557E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）《基金合同》终止情形出现时，由基金财产清算小组统一接管基金；</w:t>
      </w:r>
    </w:p>
    <w:p w14:paraId="473B28D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14:paraId="4399AE3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14:paraId="79BD817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14:paraId="761BC9D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会计师事务所对清算报告进行外部审计，聘请律师事务所对清算报告出具法律意见书；</w:t>
      </w:r>
    </w:p>
    <w:p w14:paraId="231BAF8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）将清算报告报中国证监会备案并公告；</w:t>
      </w:r>
    </w:p>
    <w:p w14:paraId="78288C5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）对基金剩余财产进行分配。</w:t>
      </w:r>
    </w:p>
    <w:p w14:paraId="469D442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kern w:val="0"/>
          <w:szCs w:val="21"/>
        </w:rPr>
        <w:t>、基金财产清算的期限为</w:t>
      </w:r>
      <w:r>
        <w:rPr>
          <w:rFonts w:ascii="Arial Unicode MS" w:hAnsi="Arial Unicode MS" w:cs="Arial" w:hint="eastAsia"/>
          <w:kern w:val="0"/>
          <w:szCs w:val="21"/>
        </w:rPr>
        <w:t>6</w:t>
      </w:r>
      <w:r>
        <w:rPr>
          <w:rFonts w:ascii="Arial Unicode MS" w:hAnsi="Arial Unicode MS" w:cs="Arial"/>
          <w:kern w:val="0"/>
          <w:szCs w:val="21"/>
        </w:rPr>
        <w:t>个月</w:t>
      </w:r>
      <w:r>
        <w:rPr>
          <w:rFonts w:ascii="Arial Unicode MS" w:hAnsi="Arial Unicode MS" w:cs="Arial" w:hint="eastAsia"/>
          <w:kern w:val="0"/>
          <w:szCs w:val="21"/>
        </w:rPr>
        <w:t>，但因本基金所持证券的流动性受到限制而不能及时变现的，清算期限相应顺延</w:t>
      </w:r>
      <w:r>
        <w:rPr>
          <w:rFonts w:ascii="Arial Unicode MS" w:hAnsi="Arial Unicode MS" w:cs="Arial"/>
          <w:kern w:val="0"/>
          <w:szCs w:val="21"/>
        </w:rPr>
        <w:t>。</w:t>
      </w:r>
    </w:p>
    <w:p w14:paraId="1A4C0534" w14:textId="77777777"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14:paraId="7170537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清算费用是指基金财产清算小组在进行基金清算过程中发生的所有合理费用，清算费用由基金财产清算小组优先从基金剩余财产中支付。</w:t>
      </w:r>
    </w:p>
    <w:p w14:paraId="7D3FB3B4" w14:textId="77777777"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14:paraId="0FDE03B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14:paraId="53425388" w14:textId="77777777"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14:paraId="328B7B7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清算过程中的有关重大事项须及时公告；基金财产清算报告经</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kern w:val="0"/>
          <w:szCs w:val="21"/>
        </w:rPr>
        <w:t>5</w:t>
      </w:r>
      <w:r>
        <w:rPr>
          <w:rFonts w:ascii="Arial Unicode MS" w:hAnsi="Arial Unicode MS" w:cs="Arial" w:hint="eastAsia"/>
          <w:kern w:val="0"/>
          <w:szCs w:val="21"/>
        </w:rPr>
        <w:t>个工作日内由基金财产清算小组进行公告。</w:t>
      </w:r>
    </w:p>
    <w:p w14:paraId="2C0D90FA" w14:textId="77777777"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14:paraId="1F7F987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hint="eastAsia"/>
          <w:kern w:val="0"/>
          <w:szCs w:val="21"/>
        </w:rPr>
        <w:t>年以上。</w:t>
      </w:r>
    </w:p>
    <w:p w14:paraId="7D09F329"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01C2607D"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18FC40CD"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204EC474"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08D367AB" w14:textId="77777777"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132" w:name="_Toc317088155"/>
      <w:bookmarkStart w:id="133" w:name="_Toc214873607"/>
      <w:bookmarkStart w:id="134" w:name="_Toc317088552"/>
      <w:bookmarkStart w:id="135" w:name="_Toc320887657"/>
      <w:bookmarkStart w:id="136" w:name="_Toc335232706"/>
      <w:bookmarkStart w:id="137" w:name="_Toc1464073"/>
      <w:bookmarkEnd w:id="131"/>
      <w:r>
        <w:rPr>
          <w:rFonts w:ascii="Arial Unicode MS" w:eastAsia="宋体" w:hAnsi="Arial Unicode MS" w:cs="Arial"/>
          <w:b/>
          <w:bCs/>
          <w:sz w:val="28"/>
          <w:szCs w:val="28"/>
        </w:rPr>
        <w:t>第</w:t>
      </w:r>
      <w:r>
        <w:rPr>
          <w:rFonts w:ascii="Arial Unicode MS" w:eastAsia="宋体" w:hAnsi="Arial Unicode MS" w:cs="Arial" w:hint="eastAsia"/>
          <w:b/>
          <w:bCs/>
          <w:sz w:val="28"/>
          <w:szCs w:val="28"/>
        </w:rPr>
        <w:t>十八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32"/>
      <w:bookmarkEnd w:id="133"/>
      <w:bookmarkEnd w:id="134"/>
      <w:bookmarkEnd w:id="135"/>
      <w:bookmarkEnd w:id="136"/>
      <w:bookmarkEnd w:id="137"/>
    </w:p>
    <w:p w14:paraId="313CB036" w14:textId="77777777" w:rsidR="004C06C5" w:rsidRDefault="004C06C5">
      <w:pPr>
        <w:autoSpaceDE w:val="0"/>
        <w:autoSpaceDN w:val="0"/>
        <w:adjustRightInd w:val="0"/>
        <w:spacing w:line="360" w:lineRule="auto"/>
        <w:ind w:firstLineChars="200" w:firstLine="422"/>
        <w:jc w:val="left"/>
        <w:rPr>
          <w:rFonts w:ascii="Arial Unicode MS" w:hAnsi="Arial Unicode MS"/>
          <w:b/>
          <w:bCs/>
          <w:szCs w:val="21"/>
        </w:rPr>
      </w:pPr>
    </w:p>
    <w:p w14:paraId="0040DE17" w14:textId="77777777"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14:paraId="5394BCF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（一）基金管理人的权利与义务</w:t>
      </w:r>
    </w:p>
    <w:p w14:paraId="0C2355A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1</w:t>
      </w:r>
      <w:r>
        <w:rPr>
          <w:rFonts w:ascii="Arial Unicode MS" w:hAnsi="Arial Unicode MS" w:cs="Arial" w:hint="eastAsia"/>
          <w:kern w:val="0"/>
          <w:szCs w:val="21"/>
        </w:rPr>
        <w:t>、根据《基金法》、《运作办法》及其他有关规定，基金管理人的权利包括但不限于：</w:t>
      </w:r>
    </w:p>
    <w:p w14:paraId="429A002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）依法募集资金；</w:t>
      </w:r>
    </w:p>
    <w:p w14:paraId="29047DC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）自基金合同生效之日起，根据法律法规和基金合同独立运用并管理基金财产；</w:t>
      </w:r>
    </w:p>
    <w:p w14:paraId="2C5A428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）依照基金合同收取基金管理费以及法律法规规定或中国证监会批准的其他费用；</w:t>
      </w:r>
    </w:p>
    <w:p w14:paraId="1DB77CA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）销售基金份额；</w:t>
      </w:r>
    </w:p>
    <w:p w14:paraId="2335E85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）按照规定召集基金份额持有人大会；</w:t>
      </w:r>
    </w:p>
    <w:p w14:paraId="661E102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）依据基金合同及有关法律规定监督基金托管人，如认为基金托管人违反了基金合同及国家有关法律规定，应呈报中国证监会和其他监管部门，并采取必要措施保护基金投资者的利益；</w:t>
      </w:r>
    </w:p>
    <w:p w14:paraId="2A5E0F1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）在基金托管人更换时，提名新的基金托管人；</w:t>
      </w:r>
    </w:p>
    <w:p w14:paraId="7574DEC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）选择、更换基金销售机构，对基金销售机构的相关行为进行监督和处理；</w:t>
      </w:r>
      <w:r>
        <w:rPr>
          <w:rFonts w:ascii="Arial Unicode MS" w:hAnsi="Arial Unicode MS" w:cs="Arial" w:hint="eastAsia"/>
          <w:kern w:val="0"/>
          <w:szCs w:val="21"/>
        </w:rPr>
        <w:t xml:space="preserve"> </w:t>
      </w:r>
    </w:p>
    <w:p w14:paraId="1F93962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）担任或委托其他符合条件的机构担任基金登记机构办理基金登记业务并获得基金合同规定的费用；</w:t>
      </w:r>
      <w:r>
        <w:rPr>
          <w:rFonts w:ascii="Arial Unicode MS" w:hAnsi="Arial Unicode MS" w:cs="Arial" w:hint="eastAsia"/>
          <w:kern w:val="0"/>
          <w:szCs w:val="21"/>
        </w:rPr>
        <w:t xml:space="preserve"> </w:t>
      </w:r>
    </w:p>
    <w:p w14:paraId="7BF4BEA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）依据基金合同及有关法律规定决定基金收益的分配方案；</w:t>
      </w:r>
      <w:r>
        <w:rPr>
          <w:rFonts w:ascii="Arial Unicode MS" w:hAnsi="Arial Unicode MS" w:cs="Arial" w:hint="eastAsia"/>
          <w:kern w:val="0"/>
          <w:szCs w:val="21"/>
        </w:rPr>
        <w:tab/>
      </w:r>
    </w:p>
    <w:p w14:paraId="7743982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）在基金合同约定的范围内，拒绝或暂停受理申购、赎回与转换申请；</w:t>
      </w:r>
      <w:r>
        <w:rPr>
          <w:rFonts w:ascii="Arial Unicode MS" w:hAnsi="Arial Unicode MS" w:cs="Arial" w:hint="eastAsia"/>
          <w:kern w:val="0"/>
          <w:szCs w:val="21"/>
        </w:rPr>
        <w:t xml:space="preserve"> </w:t>
      </w:r>
    </w:p>
    <w:p w14:paraId="7731486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）依照法律法规为基金的利益对被投资公司行使股东权利，为基金的利益行使因基金财产投资于证券所产生的权利；</w:t>
      </w:r>
      <w:r>
        <w:rPr>
          <w:rFonts w:ascii="Arial Unicode MS" w:hAnsi="Arial Unicode MS" w:cs="Arial" w:hint="eastAsia"/>
          <w:kern w:val="0"/>
          <w:szCs w:val="21"/>
        </w:rPr>
        <w:tab/>
      </w:r>
    </w:p>
    <w:p w14:paraId="38B3FD8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）以基金管理人的名义，代表基金份额持有人的利益行使诉讼权利或者实施其他法律行为；</w:t>
      </w:r>
      <w:r>
        <w:rPr>
          <w:rFonts w:ascii="Arial Unicode MS" w:hAnsi="Arial Unicode MS" w:cs="Arial" w:hint="eastAsia"/>
          <w:kern w:val="0"/>
          <w:szCs w:val="21"/>
        </w:rPr>
        <w:tab/>
      </w:r>
    </w:p>
    <w:p w14:paraId="6C11D09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）选择、更换律师事务所、会计师事务所、证券经纪商或其他为基金提供服务的外部机构；</w:t>
      </w:r>
      <w:r>
        <w:rPr>
          <w:rFonts w:ascii="Arial Unicode MS" w:hAnsi="Arial Unicode MS" w:cs="Arial" w:hint="eastAsia"/>
          <w:kern w:val="0"/>
          <w:szCs w:val="21"/>
        </w:rPr>
        <w:tab/>
      </w:r>
    </w:p>
    <w:p w14:paraId="027D66E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）在符合有关法律、法规的前提下，制订和调整有关基金认购、申购、赎回、转换、定期定额投资和</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过户等业务规则；</w:t>
      </w:r>
    </w:p>
    <w:p w14:paraId="1FE0E78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）法律法规及中国证监会规定的和基金合同约定的其他权利。</w:t>
      </w:r>
    </w:p>
    <w:p w14:paraId="121E464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、根据《基金法》、《运作办法》及其他有关规定，基金管理人的义务包括但不限于：</w:t>
      </w:r>
    </w:p>
    <w:p w14:paraId="2E7B4A1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）依法募集资金，办理或者委托经中国证监会认定的其他机构代为办理基金份额的发售、申购、赎回和登记事宜；</w:t>
      </w:r>
    </w:p>
    <w:p w14:paraId="4AD7347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2</w:t>
      </w:r>
      <w:r>
        <w:rPr>
          <w:rFonts w:ascii="Arial Unicode MS" w:hAnsi="Arial Unicode MS" w:cs="Arial" w:hint="eastAsia"/>
          <w:kern w:val="0"/>
          <w:szCs w:val="21"/>
        </w:rPr>
        <w:t>）办理基金备案手续；</w:t>
      </w:r>
    </w:p>
    <w:p w14:paraId="3D03C13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）自基金合同生效之日起，以诚实信用、谨慎勤勉的原则管理和运用基金财产；</w:t>
      </w:r>
    </w:p>
    <w:p w14:paraId="5417757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）配备足够的具有专业资格的人员进行基金投资分析、决策，以专业化的经营方式管理和运作基金财产；</w:t>
      </w:r>
    </w:p>
    <w:p w14:paraId="2301B84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）建立健全内部风险控制、监察与稽核、财务管理及人事管理等制度，保证所管理的基金财产和基金管理人的财产相互独立，对所管理的不同基金分别管理，分别记账，进行证券投资；</w:t>
      </w:r>
    </w:p>
    <w:p w14:paraId="1406A30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）除依据《基金法》、基金合同及其他有关规定外，不得利用基金财产为自己及任何第三人谋取利益，不得委托第三人运作基金财产；</w:t>
      </w:r>
    </w:p>
    <w:p w14:paraId="5DA82DD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）依法接受基金托管人的监督；</w:t>
      </w:r>
    </w:p>
    <w:p w14:paraId="17F347B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）采取适当合理的措施使计算基金份额认购、申购、赎回和注销价格的方法符合基金合同等法律文件的规定，按有关规定计算并公告</w:t>
      </w:r>
      <w:r>
        <w:rPr>
          <w:rFonts w:ascii="Arial Unicode MS" w:hAnsi="Arial Unicode MS" w:hint="eastAsia"/>
          <w:bCs/>
          <w:szCs w:val="21"/>
        </w:rPr>
        <w:t>基金净值信息，确定基金份额申购、赎回对价，编制申购赎回清单</w:t>
      </w:r>
      <w:r>
        <w:rPr>
          <w:rFonts w:ascii="Arial Unicode MS" w:hAnsi="Arial Unicode MS" w:cs="Arial" w:hint="eastAsia"/>
          <w:kern w:val="0"/>
          <w:szCs w:val="21"/>
        </w:rPr>
        <w:t>；</w:t>
      </w:r>
    </w:p>
    <w:p w14:paraId="6B13945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）进行基金会计核算并编制基金财务会计报告；</w:t>
      </w:r>
    </w:p>
    <w:p w14:paraId="692FC64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）编制季度报告、中期报告和年度报告；</w:t>
      </w:r>
    </w:p>
    <w:p w14:paraId="68D6231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）严格按照《基金法》、基金合同及其他有关规定，履行信息披露及报告义务；</w:t>
      </w:r>
    </w:p>
    <w:p w14:paraId="7A0D74B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）保守基金商业秘密，不泄露基金投资计划、投资意向等。除《基金法》、基金合同及其他有关规定另有规定外，在基金信息公开披露前应予保密，不向他人泄露；</w:t>
      </w:r>
    </w:p>
    <w:p w14:paraId="714342E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）按基金合同的约定确定基金收益分配方案，及时向基金份额持有人分配基金收益；</w:t>
      </w:r>
    </w:p>
    <w:p w14:paraId="3C6AA19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）按规定受理申购与赎回申请，及时、足额支付赎回款项；</w:t>
      </w:r>
    </w:p>
    <w:p w14:paraId="61C4DEB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）依据《基金法》、基金合同及其他有关规定召集基金份额持有人大会或配合基金托管人、基金份额持有人依法召集基金份额持有人大会；</w:t>
      </w:r>
    </w:p>
    <w:p w14:paraId="58A0DE4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）按规定保存基金财产管理业务活动的会计账册、报表、记录和其他相关资料</w:t>
      </w:r>
      <w:r>
        <w:rPr>
          <w:rFonts w:ascii="Arial Unicode MS" w:hAnsi="Arial Unicode MS" w:cs="Arial" w:hint="eastAsia"/>
          <w:kern w:val="0"/>
          <w:szCs w:val="21"/>
        </w:rPr>
        <w:t>15</w:t>
      </w:r>
      <w:r>
        <w:rPr>
          <w:rFonts w:ascii="Arial Unicode MS" w:hAnsi="Arial Unicode MS" w:cs="Arial" w:hint="eastAsia"/>
          <w:kern w:val="0"/>
          <w:szCs w:val="21"/>
        </w:rPr>
        <w:t>年以上；</w:t>
      </w:r>
    </w:p>
    <w:p w14:paraId="2E7D4FA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17</w:t>
      </w:r>
      <w:r>
        <w:rPr>
          <w:rFonts w:ascii="Arial Unicode MS" w:hAnsi="Arial Unicode MS" w:cs="Arial" w:hint="eastAsia"/>
          <w:kern w:val="0"/>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86549B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18</w:t>
      </w:r>
      <w:r>
        <w:rPr>
          <w:rFonts w:ascii="Arial Unicode MS" w:hAnsi="Arial Unicode MS" w:cs="Arial" w:hint="eastAsia"/>
          <w:kern w:val="0"/>
          <w:szCs w:val="21"/>
        </w:rPr>
        <w:t>）组织并参加基金财产清算小组，参与基金财产的保管、清理、估价、变现和分配；</w:t>
      </w:r>
    </w:p>
    <w:p w14:paraId="00C9534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19</w:t>
      </w:r>
      <w:r>
        <w:rPr>
          <w:rFonts w:ascii="Arial Unicode MS" w:hAnsi="Arial Unicode MS" w:cs="Arial" w:hint="eastAsia"/>
          <w:kern w:val="0"/>
          <w:szCs w:val="21"/>
        </w:rPr>
        <w:t>）面临解散、依法被撤销或者被依法宣告破产时，及时报告中国证监会并通知基金托管人；</w:t>
      </w:r>
    </w:p>
    <w:p w14:paraId="468CE9A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20</w:t>
      </w:r>
      <w:r>
        <w:rPr>
          <w:rFonts w:ascii="Arial Unicode MS" w:hAnsi="Arial Unicode MS" w:cs="Arial" w:hint="eastAsia"/>
          <w:kern w:val="0"/>
          <w:szCs w:val="21"/>
        </w:rPr>
        <w:t>）因违反基金合同导致基金财产的损失或损害基金份额持有人合法权益时，应当承担赔偿责任，其赔偿责任不因其退任而免除；</w:t>
      </w:r>
    </w:p>
    <w:p w14:paraId="26EC156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21</w:t>
      </w:r>
      <w:r>
        <w:rPr>
          <w:rFonts w:ascii="Arial Unicode MS" w:hAnsi="Arial Unicode MS" w:cs="Arial" w:hint="eastAsia"/>
          <w:kern w:val="0"/>
          <w:szCs w:val="21"/>
        </w:rPr>
        <w:t>）监督基金托管人按法律法规和基金合同规定履行自己的义务，基金托管人违反基金合同造成基金财产损失时，基金管理人应为基金份额持有人利益向基金托管人追偿；</w:t>
      </w:r>
    </w:p>
    <w:p w14:paraId="49FE6AD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22</w:t>
      </w:r>
      <w:r>
        <w:rPr>
          <w:rFonts w:ascii="Arial Unicode MS" w:hAnsi="Arial Unicode MS" w:cs="Arial" w:hint="eastAsia"/>
          <w:kern w:val="0"/>
          <w:szCs w:val="21"/>
        </w:rPr>
        <w:t>）当基金管理人将其义务委托第三方处理时，应当对第三方处理有关基金事务的行为承担责任；</w:t>
      </w:r>
    </w:p>
    <w:p w14:paraId="405559B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23</w:t>
      </w:r>
      <w:r>
        <w:rPr>
          <w:rFonts w:ascii="Arial Unicode MS" w:hAnsi="Arial Unicode MS" w:cs="Arial" w:hint="eastAsia"/>
          <w:kern w:val="0"/>
          <w:szCs w:val="21"/>
        </w:rPr>
        <w:t>）以基金管理人名义，代表基金份额持有人利益行使诉讼权利或实施其他法律行为；</w:t>
      </w:r>
      <w:r>
        <w:rPr>
          <w:rFonts w:ascii="Arial Unicode MS" w:hAnsi="Arial Unicode MS" w:cs="Arial" w:hint="eastAsia"/>
          <w:kern w:val="0"/>
          <w:szCs w:val="21"/>
        </w:rPr>
        <w:tab/>
      </w:r>
    </w:p>
    <w:p w14:paraId="2560011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24</w:t>
      </w:r>
      <w:r>
        <w:rPr>
          <w:rFonts w:ascii="Arial Unicode MS" w:hAnsi="Arial Unicode MS" w:cs="Arial" w:hint="eastAsia"/>
          <w:kern w:val="0"/>
          <w:szCs w:val="21"/>
        </w:rPr>
        <w:t>）基金管理人在募集期间未能达到基金的备案条件，基金合同不能生效，基金管理人承担全部募集费用，将已募集资金并加计银行同期活期存款利息在基金募集期结束后</w:t>
      </w:r>
      <w:r>
        <w:rPr>
          <w:rFonts w:ascii="Arial Unicode MS" w:hAnsi="Arial Unicode MS" w:cs="Arial" w:hint="eastAsia"/>
          <w:kern w:val="0"/>
          <w:szCs w:val="21"/>
        </w:rPr>
        <w:t>30</w:t>
      </w:r>
      <w:r>
        <w:rPr>
          <w:rFonts w:ascii="Arial Unicode MS" w:hAnsi="Arial Unicode MS" w:cs="Arial" w:hint="eastAsia"/>
          <w:kern w:val="0"/>
          <w:szCs w:val="21"/>
        </w:rPr>
        <w:t>日内退还基金认购人；</w:t>
      </w:r>
    </w:p>
    <w:p w14:paraId="6F15FAD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25</w:t>
      </w:r>
      <w:r>
        <w:rPr>
          <w:rFonts w:ascii="Arial Unicode MS" w:hAnsi="Arial Unicode MS" w:cs="Arial" w:hint="eastAsia"/>
          <w:kern w:val="0"/>
          <w:szCs w:val="21"/>
        </w:rPr>
        <w:t>）执行生效的基金份额持有人大会的决议；</w:t>
      </w:r>
    </w:p>
    <w:p w14:paraId="3944C1C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26</w:t>
      </w:r>
      <w:r>
        <w:rPr>
          <w:rFonts w:ascii="Arial Unicode MS" w:hAnsi="Arial Unicode MS" w:cs="Arial" w:hint="eastAsia"/>
          <w:kern w:val="0"/>
          <w:szCs w:val="21"/>
        </w:rPr>
        <w:t>）建立并保存基金份额持有人名册；</w:t>
      </w:r>
    </w:p>
    <w:p w14:paraId="1DCAC7A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27</w:t>
      </w:r>
      <w:r>
        <w:rPr>
          <w:rFonts w:ascii="Arial Unicode MS" w:hAnsi="Arial Unicode MS" w:cs="Arial" w:hint="eastAsia"/>
          <w:kern w:val="0"/>
          <w:szCs w:val="21"/>
        </w:rPr>
        <w:t>）法律法规及中国证监会规定的和基金合同约定的其他义务。</w:t>
      </w:r>
    </w:p>
    <w:p w14:paraId="0759719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（二）</w:t>
      </w:r>
      <w:r>
        <w:rPr>
          <w:rFonts w:ascii="Arial Unicode MS" w:hAnsi="Arial Unicode MS" w:cs="Arial"/>
          <w:kern w:val="0"/>
          <w:szCs w:val="21"/>
        </w:rPr>
        <w:tab/>
      </w:r>
      <w:r>
        <w:rPr>
          <w:rFonts w:ascii="Arial Unicode MS" w:hAnsi="Arial Unicode MS" w:cs="Arial"/>
          <w:kern w:val="0"/>
          <w:szCs w:val="21"/>
        </w:rPr>
        <w:t>基金托管人的权利与义务</w:t>
      </w:r>
    </w:p>
    <w:p w14:paraId="0D684CC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、根据《基金法》、《运作办法》及其他有关规定，基金托管人的权利包括但不限于：</w:t>
      </w:r>
    </w:p>
    <w:p w14:paraId="7555753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）自基金合同生效之日起，依法</w:t>
      </w:r>
      <w:proofErr w:type="gramStart"/>
      <w:r>
        <w:rPr>
          <w:rFonts w:ascii="Arial Unicode MS" w:hAnsi="Arial Unicode MS" w:cs="Arial" w:hint="eastAsia"/>
          <w:kern w:val="0"/>
          <w:szCs w:val="21"/>
        </w:rPr>
        <w:t>律法规</w:t>
      </w:r>
      <w:proofErr w:type="gramEnd"/>
      <w:r>
        <w:rPr>
          <w:rFonts w:ascii="Arial Unicode MS" w:hAnsi="Arial Unicode MS" w:cs="Arial" w:hint="eastAsia"/>
          <w:kern w:val="0"/>
          <w:szCs w:val="21"/>
        </w:rPr>
        <w:t>和基金合同的规定安全保管基金财产；</w:t>
      </w:r>
    </w:p>
    <w:p w14:paraId="6A7E5E1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）依基金合同约定获得基金托管费以及法律法规规定或监管部门批准的其他费用；</w:t>
      </w:r>
    </w:p>
    <w:p w14:paraId="0CEBE76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11A295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）根据相关市场规则，为基金开设资金账户、证券账户等投资所需账户，为基金办理证券交易资金清算；</w:t>
      </w:r>
    </w:p>
    <w:p w14:paraId="73B1129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）提议召开或召集基金份额持有人大会；</w:t>
      </w:r>
    </w:p>
    <w:p w14:paraId="6B244F0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6</w:t>
      </w:r>
      <w:r>
        <w:rPr>
          <w:rFonts w:ascii="Arial Unicode MS" w:hAnsi="Arial Unicode MS" w:cs="Arial" w:hint="eastAsia"/>
          <w:kern w:val="0"/>
          <w:szCs w:val="21"/>
        </w:rPr>
        <w:t>）在基金管理人更换时，提名新的基金管理人；</w:t>
      </w:r>
    </w:p>
    <w:p w14:paraId="6AF9982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）法律法规及中国证监会规定的和基金合同约定的其他权利。</w:t>
      </w:r>
    </w:p>
    <w:p w14:paraId="044E5EA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、根据《基金法》、《运作办法》及其他有关规定，基金托管人的义务包括但不限于：</w:t>
      </w:r>
    </w:p>
    <w:p w14:paraId="4D91910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）以诚实信用、勤勉尽责的原则持有并安全保管基金财产；</w:t>
      </w:r>
    </w:p>
    <w:p w14:paraId="647545A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）设立专门的基金托管部门，具有符合要求的营业场所，配备足够的、合格的熟悉基金托管业务的专职人员，负责基金财产托管事宜；</w:t>
      </w:r>
    </w:p>
    <w:p w14:paraId="01FF0E6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0D7AE3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）除依据《基金法》、基金合同及其他有关规定外，不得利用基金财产为自己及任何第三人谋取利益，不得委托第三人托管基金财产；</w:t>
      </w:r>
    </w:p>
    <w:p w14:paraId="5D42CA3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）保管由基金管理人代表基金签订的与基金有关的重大合同及有关凭证；</w:t>
      </w:r>
    </w:p>
    <w:p w14:paraId="6655BD0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）按规定开设基金财产的资金账户、证券账户等投资所需账户，按照基金合同的约定，根据基金管理人的投资指令，及时办理清算、交割事宜；</w:t>
      </w:r>
    </w:p>
    <w:p w14:paraId="0242D10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）保守基金商业秘密，除《基金法》、基金合同及其他有关规定另有规定外，在基金信息公开披露前予以保密，不得向他人泄露；</w:t>
      </w:r>
    </w:p>
    <w:p w14:paraId="585AA91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）复核、审查基金管理人计算的</w:t>
      </w:r>
      <w:r>
        <w:rPr>
          <w:rFonts w:ascii="Arial Unicode MS" w:hAnsi="Arial Unicode MS" w:hint="eastAsia"/>
          <w:bCs/>
          <w:szCs w:val="21"/>
        </w:rPr>
        <w:t>基金资产净值、基金份额净值、基金份额申购、赎回价格</w:t>
      </w:r>
      <w:r>
        <w:rPr>
          <w:rFonts w:ascii="Arial Unicode MS" w:hAnsi="Arial Unicode MS" w:cs="Arial" w:hint="eastAsia"/>
          <w:kern w:val="0"/>
          <w:szCs w:val="21"/>
        </w:rPr>
        <w:t>；</w:t>
      </w:r>
    </w:p>
    <w:p w14:paraId="2915377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）办理与基金托管业务活动有关的信息披露事项；</w:t>
      </w:r>
    </w:p>
    <w:p w14:paraId="2DFCA5F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5078E71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）保存基金托管业务活动的记录、账册、报表和其他相关资料</w:t>
      </w:r>
      <w:r>
        <w:rPr>
          <w:rFonts w:ascii="Arial Unicode MS" w:hAnsi="Arial Unicode MS" w:cs="Arial" w:hint="eastAsia"/>
          <w:kern w:val="0"/>
          <w:szCs w:val="21"/>
        </w:rPr>
        <w:t>15</w:t>
      </w:r>
      <w:r>
        <w:rPr>
          <w:rFonts w:ascii="Arial Unicode MS" w:hAnsi="Arial Unicode MS" w:cs="Arial" w:hint="eastAsia"/>
          <w:kern w:val="0"/>
          <w:szCs w:val="21"/>
        </w:rPr>
        <w:t>年以上；</w:t>
      </w:r>
    </w:p>
    <w:p w14:paraId="4946A48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）建立并保存基金份额持有人名册；</w:t>
      </w:r>
    </w:p>
    <w:p w14:paraId="36222E2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）按规定制作相关账册并与基金管理人核对；</w:t>
      </w:r>
    </w:p>
    <w:p w14:paraId="58514B9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）依据基金管理人的指令或有关规定向基金份额持有人支付基金收益和赎回款项；</w:t>
      </w:r>
    </w:p>
    <w:p w14:paraId="41CE776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）依据《基金法》、基金合同及其他有关规定，召集基金份额持有人大会或配合</w:t>
      </w:r>
      <w:r>
        <w:rPr>
          <w:rFonts w:ascii="Arial Unicode MS" w:hAnsi="Arial Unicode MS" w:cs="Arial" w:hint="eastAsia"/>
          <w:kern w:val="0"/>
          <w:szCs w:val="21"/>
        </w:rPr>
        <w:lastRenderedPageBreak/>
        <w:t>基金管理人、基金份额持有人依法召集基金份额持有人大会；</w:t>
      </w:r>
    </w:p>
    <w:p w14:paraId="28C7EBE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）按照法律法规和基金合同的规定监督基金管理人的投资运作；</w:t>
      </w:r>
    </w:p>
    <w:p w14:paraId="18B116C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17</w:t>
      </w:r>
      <w:r>
        <w:rPr>
          <w:rFonts w:ascii="Arial Unicode MS" w:hAnsi="Arial Unicode MS" w:cs="Arial" w:hint="eastAsia"/>
          <w:kern w:val="0"/>
          <w:szCs w:val="21"/>
        </w:rPr>
        <w:t>）参加基金财产清算小组，参与基金财产的保管、清理、估价、变现和分配；</w:t>
      </w:r>
    </w:p>
    <w:p w14:paraId="5CC42D7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18</w:t>
      </w:r>
      <w:r>
        <w:rPr>
          <w:rFonts w:ascii="Arial Unicode MS" w:hAnsi="Arial Unicode MS" w:cs="Arial" w:hint="eastAsia"/>
          <w:kern w:val="0"/>
          <w:szCs w:val="21"/>
        </w:rPr>
        <w:t>）面临解散、依法被撤销或者被依法宣告破产时，及时报告中国证监会和银行监管机构，并通知基金管理人；</w:t>
      </w:r>
    </w:p>
    <w:p w14:paraId="6D11A95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19</w:t>
      </w:r>
      <w:r>
        <w:rPr>
          <w:rFonts w:ascii="Arial Unicode MS" w:hAnsi="Arial Unicode MS" w:cs="Arial" w:hint="eastAsia"/>
          <w:kern w:val="0"/>
          <w:szCs w:val="21"/>
        </w:rPr>
        <w:t>）因违反基金合同导致基金财产损失时，应承担赔偿责任，其赔偿责任不因其退任而免除；</w:t>
      </w:r>
    </w:p>
    <w:p w14:paraId="599955E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20</w:t>
      </w:r>
      <w:r>
        <w:rPr>
          <w:rFonts w:ascii="Arial Unicode MS" w:hAnsi="Arial Unicode MS" w:cs="Arial" w:hint="eastAsia"/>
          <w:kern w:val="0"/>
          <w:szCs w:val="21"/>
        </w:rPr>
        <w:t>）按规定监督基金管理人按法律法规和基金合同规定履行自己的义务，基金管理人因违反基金合同造成基金财产损失时，应为基金份额持有人利益向基金管理人追偿；</w:t>
      </w:r>
    </w:p>
    <w:p w14:paraId="6A8151D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21</w:t>
      </w:r>
      <w:r>
        <w:rPr>
          <w:rFonts w:ascii="Arial Unicode MS" w:hAnsi="Arial Unicode MS" w:cs="Arial" w:hint="eastAsia"/>
          <w:kern w:val="0"/>
          <w:szCs w:val="21"/>
        </w:rPr>
        <w:t>）执行生效的基金份额持有人大会的决议；</w:t>
      </w:r>
    </w:p>
    <w:p w14:paraId="7E2E680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22</w:t>
      </w:r>
      <w:r>
        <w:rPr>
          <w:rFonts w:ascii="Arial Unicode MS" w:hAnsi="Arial Unicode MS" w:cs="Arial" w:hint="eastAsia"/>
          <w:kern w:val="0"/>
          <w:szCs w:val="21"/>
        </w:rPr>
        <w:t>）法律法规及中国证监会规定的和基金合同约定的其他义务。</w:t>
      </w:r>
    </w:p>
    <w:p w14:paraId="555A694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基金份额持有人</w:t>
      </w:r>
      <w:r>
        <w:rPr>
          <w:rFonts w:ascii="Arial Unicode MS" w:hAnsi="Arial Unicode MS" w:cs="Arial" w:hint="eastAsia"/>
          <w:kern w:val="0"/>
          <w:szCs w:val="21"/>
        </w:rPr>
        <w:t>的权利和义务</w:t>
      </w:r>
    </w:p>
    <w:p w14:paraId="0884B4D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基金投资者持有本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份额的行为即视为对基金合同的承认和接受，基金投资者</w:t>
      </w:r>
      <w:proofErr w:type="gramStart"/>
      <w:r>
        <w:rPr>
          <w:rFonts w:ascii="Arial Unicode MS" w:hAnsi="Arial Unicode MS" w:cs="Arial" w:hint="eastAsia"/>
          <w:kern w:val="0"/>
          <w:szCs w:val="21"/>
        </w:rPr>
        <w:t>自依据</w:t>
      </w:r>
      <w:proofErr w:type="gramEnd"/>
      <w:r>
        <w:rPr>
          <w:rFonts w:ascii="Arial Unicode MS" w:hAnsi="Arial Unicode MS" w:cs="Arial" w:hint="eastAsia"/>
          <w:kern w:val="0"/>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14:paraId="66194D0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同一类别每份基金份额具有同等的合法权益。本基金</w:t>
      </w:r>
      <w:r>
        <w:rPr>
          <w:rFonts w:ascii="Arial Unicode MS" w:hAnsi="Arial Unicode MS" w:cs="Arial" w:hint="eastAsia"/>
          <w:kern w:val="0"/>
          <w:szCs w:val="21"/>
        </w:rPr>
        <w:t>A</w:t>
      </w:r>
      <w:r>
        <w:rPr>
          <w:rFonts w:ascii="Arial Unicode MS" w:hAnsi="Arial Unicode MS" w:cs="Arial" w:hint="eastAsia"/>
          <w:kern w:val="0"/>
          <w:szCs w:val="21"/>
        </w:rPr>
        <w:t>类基金份额与</w:t>
      </w:r>
      <w:r>
        <w:rPr>
          <w:rFonts w:ascii="Arial Unicode MS" w:hAnsi="Arial Unicode MS" w:cs="Arial" w:hint="eastAsia"/>
          <w:kern w:val="0"/>
          <w:szCs w:val="21"/>
        </w:rPr>
        <w:t>C</w:t>
      </w:r>
      <w:r>
        <w:rPr>
          <w:rFonts w:ascii="Arial Unicode MS" w:hAnsi="Arial Unicode MS" w:cs="Arial" w:hint="eastAsia"/>
          <w:kern w:val="0"/>
          <w:szCs w:val="21"/>
        </w:rPr>
        <w:t>类基金份额由于基金份额净值的不同，基金收益分配的金额以及参与清算后的剩余基金财产分配的数量将可能有所不同。</w:t>
      </w:r>
    </w:p>
    <w:p w14:paraId="73ABF71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、根据《基金法》、《运作办法》及其他有关规定，基金份额持有人的权利包括但不限于：</w:t>
      </w:r>
    </w:p>
    <w:p w14:paraId="2733952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）分享基金财产收益；</w:t>
      </w:r>
    </w:p>
    <w:p w14:paraId="00EF05E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）参与分配清算后的剩余基金财产；</w:t>
      </w:r>
    </w:p>
    <w:p w14:paraId="6CC2B3A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）根据基金合同的约定依法转让或申请赎回其持有的基金份额；</w:t>
      </w:r>
    </w:p>
    <w:p w14:paraId="0473F39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）按照规定要求召开基金份额持有人大会或者召集基金份额持有人大会；</w:t>
      </w:r>
    </w:p>
    <w:p w14:paraId="6F5534C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）出席或者委派代表出席基金份额持有人大会，对基金份额持有人大会审议事项行使表决权；</w:t>
      </w:r>
    </w:p>
    <w:p w14:paraId="32D6D4B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）查阅或者复制公开披露的基金信息资料；</w:t>
      </w:r>
    </w:p>
    <w:p w14:paraId="76AA63D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）监督基金管理人的投资运作；</w:t>
      </w:r>
    </w:p>
    <w:p w14:paraId="01C50B4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8</w:t>
      </w:r>
      <w:r>
        <w:rPr>
          <w:rFonts w:ascii="Arial Unicode MS" w:hAnsi="Arial Unicode MS" w:cs="Arial" w:hint="eastAsia"/>
          <w:kern w:val="0"/>
          <w:szCs w:val="21"/>
        </w:rPr>
        <w:t>）对基金管理人、基金托管人、基金服务机构损害其合法权益的行为依法提起诉讼或仲裁；</w:t>
      </w:r>
    </w:p>
    <w:p w14:paraId="7F4E19B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）法律法规及中国证监会规定的和基金合同约定的其他权利。</w:t>
      </w:r>
    </w:p>
    <w:p w14:paraId="723DCF3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、根据《基金法》、《运作办法》及其他有关规定，基金份额持有人的义务包括但不限于：</w:t>
      </w:r>
    </w:p>
    <w:p w14:paraId="4844197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）认真阅读并遵守基金合同、招募说明书等信息披露文件；</w:t>
      </w:r>
    </w:p>
    <w:p w14:paraId="7792075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）了解所投资基金产品，了解自身风险承受能力，自主判断基金的投资价值，自主做出投资决策，自行承担投资风险；</w:t>
      </w:r>
    </w:p>
    <w:p w14:paraId="3831041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）关注基金信息披露，及时行使权利和履行义务；</w:t>
      </w:r>
    </w:p>
    <w:p w14:paraId="4B763AD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）缴纳基金认购、申购款项及法律法规和基金合同所规定的费用；</w:t>
      </w:r>
    </w:p>
    <w:p w14:paraId="11BB760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）在其持有的基金份额范围内，承担基金亏损或者基金合同终止的有限责任；</w:t>
      </w:r>
    </w:p>
    <w:p w14:paraId="5FAC18C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）不从事任何有损基金及其他基金合同当事人合法权益的活动；</w:t>
      </w:r>
    </w:p>
    <w:p w14:paraId="683E63A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）执行生效的基金份额持有人大会的决议；</w:t>
      </w:r>
    </w:p>
    <w:p w14:paraId="3C81D8B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）返还在基金交易过程中因任何原因获得的不当得利；</w:t>
      </w:r>
    </w:p>
    <w:p w14:paraId="5C6365D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）法律法规及中国证监会规定的和基金合同约定的其他义务。</w:t>
      </w:r>
    </w:p>
    <w:p w14:paraId="6C465A31" w14:textId="77777777" w:rsidR="004C06C5" w:rsidRDefault="00ED474B">
      <w:pPr>
        <w:autoSpaceDE w:val="0"/>
        <w:autoSpaceDN w:val="0"/>
        <w:adjustRightInd w:val="0"/>
        <w:spacing w:line="360" w:lineRule="auto"/>
        <w:ind w:firstLineChars="200" w:firstLine="422"/>
        <w:jc w:val="left"/>
        <w:rPr>
          <w:rFonts w:ascii="Arial Unicode MS" w:hAnsi="Arial Unicode MS"/>
          <w:b/>
          <w:bCs/>
          <w:szCs w:val="21"/>
        </w:rPr>
      </w:pPr>
      <w:bookmarkStart w:id="138" w:name="_Hlt88825574"/>
      <w:bookmarkEnd w:id="138"/>
      <w:r>
        <w:rPr>
          <w:rFonts w:ascii="Arial Unicode MS" w:hAnsi="Arial Unicode MS" w:hint="eastAsia"/>
          <w:b/>
          <w:bCs/>
          <w:szCs w:val="21"/>
        </w:rPr>
        <w:t>二、基金份额持有人大会召集、议事及表决的程序和规则</w:t>
      </w:r>
    </w:p>
    <w:p w14:paraId="61FF046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基金份额持有人大会由基金份额持有人组成，基金份额持有人的合法授权代表有权代表基金份额持有人出席会议并表决。基金份额持有人持有的</w:t>
      </w:r>
      <w:r>
        <w:rPr>
          <w:rFonts w:ascii="Arial Unicode MS" w:hAnsi="Arial Unicode MS" w:cs="Arial" w:hint="eastAsia"/>
          <w:kern w:val="0"/>
          <w:szCs w:val="21"/>
        </w:rPr>
        <w:t>同一类别</w:t>
      </w:r>
      <w:r>
        <w:rPr>
          <w:rFonts w:ascii="Arial Unicode MS" w:hAnsi="Arial Unicode MS" w:cs="Arial"/>
          <w:kern w:val="0"/>
          <w:szCs w:val="21"/>
        </w:rPr>
        <w:t>每一基金份额拥有平等的投票权。</w:t>
      </w:r>
    </w:p>
    <w:p w14:paraId="0F5803B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本基金份额持有人大会不设日常机构。</w:t>
      </w:r>
    </w:p>
    <w:p w14:paraId="3E941ED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一</w:t>
      </w:r>
      <w:r>
        <w:rPr>
          <w:rFonts w:ascii="Arial Unicode MS" w:hAnsi="Arial Unicode MS" w:cs="Arial" w:hint="eastAsia"/>
          <w:kern w:val="0"/>
          <w:szCs w:val="21"/>
        </w:rPr>
        <w:t>）</w:t>
      </w:r>
      <w:r>
        <w:rPr>
          <w:rFonts w:ascii="Arial Unicode MS" w:hAnsi="Arial Unicode MS" w:cs="Arial"/>
          <w:kern w:val="0"/>
          <w:szCs w:val="21"/>
        </w:rPr>
        <w:t>召开事由</w:t>
      </w:r>
    </w:p>
    <w:p w14:paraId="5370B66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、除法律法规和中国证监会另有规定或《基金合同》另有约定外，当出现或需要决定下列事由之一的，应当召开基金份额持有人大会：</w:t>
      </w:r>
    </w:p>
    <w:p w14:paraId="2612C7D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）终止基金合同；</w:t>
      </w:r>
    </w:p>
    <w:p w14:paraId="398959F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）更换基金管理人；</w:t>
      </w:r>
    </w:p>
    <w:p w14:paraId="654C86C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）更换基金托管人；</w:t>
      </w:r>
    </w:p>
    <w:p w14:paraId="43DAA54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）转换基金运作方式；</w:t>
      </w:r>
    </w:p>
    <w:p w14:paraId="3602943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）调整基金管理人、基金托管人的报酬标准或调高销售服务费率；</w:t>
      </w:r>
    </w:p>
    <w:p w14:paraId="1BFCE78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6</w:t>
      </w:r>
      <w:r>
        <w:rPr>
          <w:rFonts w:ascii="Arial Unicode MS" w:hAnsi="Arial Unicode MS" w:cs="Arial" w:hint="eastAsia"/>
          <w:kern w:val="0"/>
          <w:szCs w:val="21"/>
        </w:rPr>
        <w:t>）变更基金类别；</w:t>
      </w:r>
    </w:p>
    <w:p w14:paraId="504A44C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）本基金与其他基金的合并；</w:t>
      </w:r>
    </w:p>
    <w:p w14:paraId="4C3DB5B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）变更基金投资目标、范围或策略；</w:t>
      </w:r>
    </w:p>
    <w:p w14:paraId="7670765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）变更基金份额持有人大会程序；</w:t>
      </w:r>
    </w:p>
    <w:p w14:paraId="537880B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）基金管理人或基金托管人要求召开基金份额持有人大会；</w:t>
      </w:r>
    </w:p>
    <w:p w14:paraId="50EE73E6" w14:textId="77777777" w:rsidR="004C06C5" w:rsidRDefault="00ED474B">
      <w:pPr>
        <w:adjustRightInd w:val="0"/>
        <w:snapToGrid w:val="0"/>
        <w:spacing w:line="276"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）单独或合计持有本基金总份额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）基金份额的基金份额持有人（以基金管理人收到提议当日的基金份额计算，下同）就同一事项书面要求召开基金份额持有人大会；</w:t>
      </w:r>
    </w:p>
    <w:p w14:paraId="66E117B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）对基金合同当事人权利和义务产生重大影响的其他事项；</w:t>
      </w:r>
    </w:p>
    <w:p w14:paraId="6457CD86" w14:textId="77777777" w:rsidR="004C06C5" w:rsidRDefault="00ED474B">
      <w:pPr>
        <w:adjustRightInd w:val="0"/>
        <w:snapToGrid w:val="0"/>
        <w:spacing w:line="276"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）法律法规、基金合同或中国证监会规定的其他应当召开基金份额持有人大会的事项。</w:t>
      </w:r>
    </w:p>
    <w:p w14:paraId="17748C2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、以下情况可由基金管理人和基金托管人协商后修改，不需召开基金份额持有人大会：</w:t>
      </w:r>
    </w:p>
    <w:p w14:paraId="6D31CBB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）在法律法规和基金合同规定的范围内且对现有基金份额持有人利益无实质性不利影响的前提下调</w:t>
      </w:r>
      <w:proofErr w:type="gramStart"/>
      <w:r>
        <w:rPr>
          <w:rFonts w:ascii="Arial Unicode MS" w:hAnsi="Arial Unicode MS" w:cs="Arial" w:hint="eastAsia"/>
          <w:kern w:val="0"/>
          <w:szCs w:val="21"/>
        </w:rPr>
        <w:t>低销售</w:t>
      </w:r>
      <w:proofErr w:type="gramEnd"/>
      <w:r>
        <w:rPr>
          <w:rFonts w:ascii="Arial Unicode MS" w:hAnsi="Arial Unicode MS" w:cs="Arial" w:hint="eastAsia"/>
          <w:kern w:val="0"/>
          <w:szCs w:val="21"/>
        </w:rPr>
        <w:t>服务费；</w:t>
      </w:r>
    </w:p>
    <w:p w14:paraId="2A6249D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）法律法规要求增加的基金费用的收取；</w:t>
      </w:r>
    </w:p>
    <w:p w14:paraId="17B75C8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）在法律法规和基金合同规定的范围内且对现有基金份额持有人利益无实质性不利影响的前提下调整本基金的申购费率、调低赎回费率或变更收费方式；</w:t>
      </w:r>
    </w:p>
    <w:p w14:paraId="7064787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w:t>
      </w:r>
      <w:proofErr w:type="gramStart"/>
      <w:r>
        <w:rPr>
          <w:rFonts w:ascii="Arial Unicode MS" w:hAnsi="Arial Unicode MS" w:cs="Arial" w:hint="eastAsia"/>
          <w:kern w:val="0"/>
          <w:szCs w:val="21"/>
        </w:rPr>
        <w:t>因相应</w:t>
      </w:r>
      <w:proofErr w:type="gramEnd"/>
      <w:r>
        <w:rPr>
          <w:rFonts w:ascii="Arial Unicode MS" w:hAnsi="Arial Unicode MS" w:cs="Arial" w:hint="eastAsia"/>
          <w:kern w:val="0"/>
          <w:szCs w:val="21"/>
        </w:rPr>
        <w:t>的法律法规发生变动而应当对基金合同进行修改；</w:t>
      </w:r>
    </w:p>
    <w:p w14:paraId="596E182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）对基金合同的修改对基金份额持有人利益无实质性不利影响或修改不涉及基金合同当事人权利义务关系发生重大变化；</w:t>
      </w:r>
    </w:p>
    <w:p w14:paraId="6FA1E03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3024945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）在不违反法律法规、基金合同以及在不损害已有基金份额持有人权益的前提下，基金管理人、登记机构、基金销售机构在法律法规规定或中国证监会许可的范围内调整有关认购、申购、赎回、转换、基金交易、</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过户、转托管等业务规则；</w:t>
      </w:r>
    </w:p>
    <w:p w14:paraId="065AF9E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）在不违反法律法规、基金合同以及在不损害已有基金份额持有人权益的前提下，基金推出新业务或服务；</w:t>
      </w:r>
    </w:p>
    <w:p w14:paraId="6B323D9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）按照法律法规和基金合同规定不需召开基金份额持有人大会的其他情形。</w:t>
      </w:r>
    </w:p>
    <w:p w14:paraId="0172349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kern w:val="0"/>
          <w:szCs w:val="21"/>
        </w:rPr>
        <w:t>二</w:t>
      </w:r>
      <w:r>
        <w:rPr>
          <w:rFonts w:ascii="Arial Unicode MS" w:hAnsi="Arial Unicode MS" w:cs="Arial" w:hint="eastAsia"/>
          <w:kern w:val="0"/>
          <w:szCs w:val="21"/>
        </w:rPr>
        <w:t>）</w:t>
      </w:r>
      <w:r>
        <w:rPr>
          <w:rFonts w:ascii="Arial Unicode MS" w:hAnsi="Arial Unicode MS" w:cs="Arial"/>
          <w:kern w:val="0"/>
          <w:szCs w:val="21"/>
        </w:rPr>
        <w:t>会议召集人及召集方式</w:t>
      </w:r>
    </w:p>
    <w:p w14:paraId="1558FB4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、除法律法规规定或基金合同另有约定外，基金份额持有人大会由基金管理人召集。</w:t>
      </w:r>
    </w:p>
    <w:p w14:paraId="11AD560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、基金管理人未按规定召集或不能召开时，由基金托管人召集。</w:t>
      </w:r>
    </w:p>
    <w:p w14:paraId="41CADB9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、基金托管人认为有必要召开基金份额持有人大会的，应当向基金管理人提出书面提议。基金管理人应当自收到书面提议之日起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日内决定是否召集，并书面告知基金托管人。基金管理人决定召集的，应当自出具书面决定之日起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日内召开；基金管理人决定不召集，基金托管人仍认为有必要召开的，应当由基金托管人自行召集，并自出具书面决定之日起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日内召开并告知基金管理人，基金管理人应当配合。</w:t>
      </w:r>
    </w:p>
    <w:p w14:paraId="1E58290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）的基金份额持有人就同一事项书面要求召开基金份额持有人大会，应当向基金管理人提出书面提议。基金管理人应当自收到书面提议之日起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日内决定是否召集，并书面告知提出提议的基金份额持有人代表和基金托管人。基金管理人决定召集的，应当自出具书面决定之日起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日内召开；基金管理人决定不召集，代表基金份额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）的基金份额持有人仍认为有必要召开的，应当向基金托管人提出书面提议。基金托管人应当自收到书面提议之日起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日内决定是否召集，并书面告知提出提议的基金份额持有人代表和基金管理人；基金托管人决定召集的，应当自出具书面决定之日起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日内召开并告知基金管理人，基金管理人应当配合。</w:t>
      </w:r>
    </w:p>
    <w:p w14:paraId="372A036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）的基金份额持有人就同一事项要求召开基金份额持有人大会，而基金管理人、基金托管人都不召集的，单独或合计代表基金份额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）的基金份额持有人有权自行召集，并至少提前</w:t>
      </w:r>
      <w:r>
        <w:rPr>
          <w:rFonts w:ascii="Arial Unicode MS" w:hAnsi="Arial Unicode MS" w:cs="Arial" w:hint="eastAsia"/>
          <w:kern w:val="0"/>
          <w:szCs w:val="21"/>
        </w:rPr>
        <w:t>30</w:t>
      </w:r>
      <w:r>
        <w:rPr>
          <w:rFonts w:ascii="Arial Unicode MS" w:hAnsi="Arial Unicode MS" w:cs="Arial" w:hint="eastAsia"/>
          <w:kern w:val="0"/>
          <w:szCs w:val="21"/>
        </w:rPr>
        <w:t>日报中国证监会备案。基金份额持有人依法自行召集基金份额持有人大会的，基金管理人、基金托管人应当配合，不得阻碍、干扰。</w:t>
      </w:r>
    </w:p>
    <w:p w14:paraId="61D1397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、基金份额持有人会议的召集人负责选择确定开会时间、地点、方式和权益登记日。</w:t>
      </w:r>
    </w:p>
    <w:p w14:paraId="329598A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召开基金份额持有人大会的通知时间、通知内容、通知方式</w:t>
      </w:r>
    </w:p>
    <w:p w14:paraId="300D975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、召开基金份额持有人大会，召集人应于会议召开前</w:t>
      </w:r>
      <w:r>
        <w:rPr>
          <w:rFonts w:ascii="Arial Unicode MS" w:hAnsi="Arial Unicode MS" w:cs="Arial" w:hint="eastAsia"/>
          <w:kern w:val="0"/>
          <w:szCs w:val="21"/>
        </w:rPr>
        <w:t>30</w:t>
      </w:r>
      <w:r>
        <w:rPr>
          <w:rFonts w:ascii="Arial Unicode MS" w:hAnsi="Arial Unicode MS" w:cs="Arial" w:hint="eastAsia"/>
          <w:kern w:val="0"/>
          <w:szCs w:val="21"/>
        </w:rPr>
        <w:t>日在指定媒介公告。基金份额持有人大会通知应至少载明以下内容：</w:t>
      </w:r>
    </w:p>
    <w:p w14:paraId="147363D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）会议召开的时间、地点和会议形式；</w:t>
      </w:r>
    </w:p>
    <w:p w14:paraId="29CAA97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）会议</w:t>
      </w:r>
      <w:proofErr w:type="gramStart"/>
      <w:r>
        <w:rPr>
          <w:rFonts w:ascii="Arial Unicode MS" w:hAnsi="Arial Unicode MS" w:cs="Arial" w:hint="eastAsia"/>
          <w:kern w:val="0"/>
          <w:szCs w:val="21"/>
        </w:rPr>
        <w:t>拟审议</w:t>
      </w:r>
      <w:proofErr w:type="gramEnd"/>
      <w:r>
        <w:rPr>
          <w:rFonts w:ascii="Arial Unicode MS" w:hAnsi="Arial Unicode MS" w:cs="Arial" w:hint="eastAsia"/>
          <w:kern w:val="0"/>
          <w:szCs w:val="21"/>
        </w:rPr>
        <w:t>的事项、议事程序和表决方式；</w:t>
      </w:r>
    </w:p>
    <w:p w14:paraId="5ED3289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3</w:t>
      </w:r>
      <w:r>
        <w:rPr>
          <w:rFonts w:ascii="Arial Unicode MS" w:hAnsi="Arial Unicode MS" w:cs="Arial" w:hint="eastAsia"/>
          <w:kern w:val="0"/>
          <w:szCs w:val="21"/>
        </w:rPr>
        <w:t>）有权出席基金份额持有人大会的基金份额持有人的权益登记日；</w:t>
      </w:r>
    </w:p>
    <w:p w14:paraId="65C83EA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）授权委托证明的内容要求（包括但不限于代理人身份，代理权限和代理有效期限等）、授权方式、送达时间和地点；</w:t>
      </w:r>
    </w:p>
    <w:p w14:paraId="4E198AA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）会务常设联系人姓名及联系电话；</w:t>
      </w:r>
    </w:p>
    <w:p w14:paraId="44E902A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）出席会议者必须准备的文件和必须履行的手续；</w:t>
      </w:r>
    </w:p>
    <w:p w14:paraId="3A17C6A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）召集人需要通知的其他事项。</w:t>
      </w:r>
    </w:p>
    <w:p w14:paraId="3D2C52B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86E788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Arial Unicode MS" w:hAnsi="Arial Unicode MS" w:cs="Arial" w:hint="eastAsia"/>
          <w:kern w:val="0"/>
          <w:szCs w:val="21"/>
        </w:rPr>
        <w:t>拒不派</w:t>
      </w:r>
      <w:proofErr w:type="gramEnd"/>
      <w:r>
        <w:rPr>
          <w:rFonts w:ascii="Arial Unicode MS" w:hAnsi="Arial Unicode MS" w:cs="Arial" w:hint="eastAsia"/>
          <w:kern w:val="0"/>
          <w:szCs w:val="21"/>
        </w:rPr>
        <w:t>代表对表决意见的计票进行监督的，不影响表决意见的计票效力。</w:t>
      </w:r>
    </w:p>
    <w:p w14:paraId="7113579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四</w:t>
      </w:r>
      <w:r>
        <w:rPr>
          <w:rFonts w:ascii="Arial Unicode MS" w:hAnsi="Arial Unicode MS" w:cs="Arial" w:hint="eastAsia"/>
          <w:kern w:val="0"/>
          <w:szCs w:val="21"/>
        </w:rPr>
        <w:t>）</w:t>
      </w:r>
      <w:r>
        <w:rPr>
          <w:rFonts w:ascii="Arial Unicode MS" w:hAnsi="Arial Unicode MS" w:cs="Arial"/>
          <w:kern w:val="0"/>
          <w:szCs w:val="21"/>
        </w:rPr>
        <w:t>基金份额持有人出席会议的方式</w:t>
      </w:r>
    </w:p>
    <w:p w14:paraId="0E13452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基金份额持有人大会可通过现场开会方式、通讯开会方式或法律法规、监管机构允许的其他方式召开，会议的召开方式由会议召集人确定。</w:t>
      </w:r>
    </w:p>
    <w:p w14:paraId="1451674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1F2D9E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C9ED3C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cs="Arial" w:hint="eastAsia"/>
          <w:kern w:val="0"/>
          <w:szCs w:val="21"/>
        </w:rPr>
        <w:t>3</w:t>
      </w:r>
      <w:r>
        <w:rPr>
          <w:rFonts w:ascii="Arial Unicode MS" w:hAnsi="Arial Unicode MS" w:cs="Arial" w:hint="eastAsia"/>
          <w:kern w:val="0"/>
          <w:szCs w:val="21"/>
        </w:rPr>
        <w:t>个月以后、</w:t>
      </w:r>
      <w:r>
        <w:rPr>
          <w:rFonts w:ascii="Arial Unicode MS" w:hAnsi="Arial Unicode MS" w:cs="Arial" w:hint="eastAsia"/>
          <w:kern w:val="0"/>
          <w:szCs w:val="21"/>
        </w:rPr>
        <w:t>6</w:t>
      </w:r>
      <w:r>
        <w:rPr>
          <w:rFonts w:ascii="Arial Unicode MS" w:hAnsi="Arial Unicode MS" w:cs="Arial" w:hint="eastAsia"/>
          <w:kern w:val="0"/>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642F571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、通讯开会。通讯开会系指基金份额持有人将其对表决事项的投票以书面形式</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公告载明的其他方式在表决截至日以前送达至召集人指定的地址。通讯开会应以书面方式</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公告载明的其他方式进行表决。</w:t>
      </w:r>
    </w:p>
    <w:p w14:paraId="072D6A2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在同时符合以下条件时，通讯开会的方式视为有效：</w:t>
      </w:r>
    </w:p>
    <w:p w14:paraId="744ED8C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）会议召集人按基金合同约定公布会议通知后，在</w:t>
      </w:r>
      <w:r>
        <w:rPr>
          <w:rFonts w:ascii="Arial Unicode MS" w:hAnsi="Arial Unicode MS" w:cs="Arial" w:hint="eastAsia"/>
          <w:kern w:val="0"/>
          <w:szCs w:val="21"/>
        </w:rPr>
        <w:t>2</w:t>
      </w:r>
      <w:r>
        <w:rPr>
          <w:rFonts w:ascii="Arial Unicode MS" w:hAnsi="Arial Unicode MS" w:cs="Arial" w:hint="eastAsia"/>
          <w:kern w:val="0"/>
          <w:szCs w:val="21"/>
        </w:rPr>
        <w:t>个工作日内连续公布相关提示性公告；</w:t>
      </w:r>
    </w:p>
    <w:p w14:paraId="0FDF060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9F6721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ascii="Arial Unicode MS" w:hAnsi="Arial Unicode MS" w:cs="Arial" w:hint="eastAsia"/>
          <w:kern w:val="0"/>
          <w:szCs w:val="21"/>
        </w:rPr>
        <w:t>3</w:t>
      </w:r>
      <w:r>
        <w:rPr>
          <w:rFonts w:ascii="Arial Unicode MS" w:hAnsi="Arial Unicode MS" w:cs="Arial" w:hint="eastAsia"/>
          <w:kern w:val="0"/>
          <w:szCs w:val="21"/>
        </w:rPr>
        <w:t>个月以后、</w:t>
      </w:r>
      <w:r>
        <w:rPr>
          <w:rFonts w:ascii="Arial Unicode MS" w:hAnsi="Arial Unicode MS" w:cs="Arial" w:hint="eastAsia"/>
          <w:kern w:val="0"/>
          <w:szCs w:val="21"/>
        </w:rPr>
        <w:t>6</w:t>
      </w:r>
      <w:r>
        <w:rPr>
          <w:rFonts w:ascii="Arial Unicode MS" w:hAnsi="Arial Unicode MS" w:cs="Arial" w:hint="eastAsia"/>
          <w:kern w:val="0"/>
          <w:szCs w:val="21"/>
        </w:rPr>
        <w:t>个月以内，就原定审议事项重新召集基金份额持有人大会。重新召集的基金份额持有人大会应当有代表三分之一以上（含三分之一）基金份额的持有人直接出具表决意见或授权他人代表出具表决意见；</w:t>
      </w:r>
    </w:p>
    <w:p w14:paraId="7E839D6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）上述第（</w:t>
      </w:r>
      <w:r>
        <w:rPr>
          <w:rFonts w:ascii="Arial Unicode MS" w:hAnsi="Arial Unicode MS" w:cs="Arial" w:hint="eastAsia"/>
          <w:kern w:val="0"/>
          <w:szCs w:val="21"/>
        </w:rPr>
        <w:t>3</w:t>
      </w:r>
      <w:r>
        <w:rPr>
          <w:rFonts w:ascii="Arial Unicode MS" w:hAnsi="Arial Unicode MS" w:cs="Arial" w:hint="eastAsia"/>
          <w:kern w:val="0"/>
          <w:szCs w:val="21"/>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A39F8A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3D049A6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74A4075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五</w:t>
      </w:r>
      <w:r>
        <w:rPr>
          <w:rFonts w:ascii="Arial Unicode MS" w:hAnsi="Arial Unicode MS" w:cs="Arial" w:hint="eastAsia"/>
          <w:kern w:val="0"/>
          <w:szCs w:val="21"/>
        </w:rPr>
        <w:t>）</w:t>
      </w:r>
      <w:r>
        <w:rPr>
          <w:rFonts w:ascii="Arial Unicode MS" w:hAnsi="Arial Unicode MS" w:cs="Arial"/>
          <w:kern w:val="0"/>
          <w:szCs w:val="21"/>
        </w:rPr>
        <w:t>议事内容与程序</w:t>
      </w:r>
    </w:p>
    <w:p w14:paraId="53BA1E4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、议事内容及提案权</w:t>
      </w:r>
    </w:p>
    <w:p w14:paraId="2628278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议事内容为关系基金份额持有人利益的重大事项，如基金合同的重大修改、决定终止基</w:t>
      </w:r>
      <w:r>
        <w:rPr>
          <w:rFonts w:ascii="Arial Unicode MS" w:hAnsi="Arial Unicode MS" w:cs="Arial" w:hint="eastAsia"/>
          <w:kern w:val="0"/>
          <w:szCs w:val="21"/>
        </w:rPr>
        <w:lastRenderedPageBreak/>
        <w:t>金合同、更换基金管理人、更换基金托管人、与其他基金合并、法律法规及基金合同规定的其他事项以及会议召集人认为需提交基金份额持有人大会讨论的其他事项。</w:t>
      </w:r>
    </w:p>
    <w:p w14:paraId="6D81B73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基金份额持有人大会的召集人发出召集会议的通知后，对原有提案的修改应当在基金份额持有人大会召开前及时公告。</w:t>
      </w:r>
    </w:p>
    <w:p w14:paraId="245FA4C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基金份额持有人大会不得对未事先公告的议事内容进行表决。</w:t>
      </w:r>
    </w:p>
    <w:p w14:paraId="04407B3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、议事程序</w:t>
      </w:r>
    </w:p>
    <w:p w14:paraId="38C3FDE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）现场开会</w:t>
      </w:r>
    </w:p>
    <w:p w14:paraId="51EFF8E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Arial Unicode MS" w:hAnsi="Arial Unicode MS" w:cs="Arial" w:hint="eastAsia"/>
          <w:kern w:val="0"/>
          <w:szCs w:val="21"/>
        </w:rPr>
        <w:t>作出</w:t>
      </w:r>
      <w:proofErr w:type="gramEnd"/>
      <w:r>
        <w:rPr>
          <w:rFonts w:ascii="Arial Unicode MS" w:hAnsi="Arial Unicode MS" w:cs="Arial" w:hint="eastAsia"/>
          <w:kern w:val="0"/>
          <w:szCs w:val="21"/>
        </w:rPr>
        <w:t>的决议的效力。</w:t>
      </w:r>
    </w:p>
    <w:p w14:paraId="7E2CB76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会议召集人应当制作出席会议人员的签名册。签名</w:t>
      </w:r>
      <w:proofErr w:type="gramStart"/>
      <w:r>
        <w:rPr>
          <w:rFonts w:ascii="Arial Unicode MS" w:hAnsi="Arial Unicode MS" w:cs="Arial" w:hint="eastAsia"/>
          <w:kern w:val="0"/>
          <w:szCs w:val="21"/>
        </w:rPr>
        <w:t>册</w:t>
      </w:r>
      <w:proofErr w:type="gramEnd"/>
      <w:r>
        <w:rPr>
          <w:rFonts w:ascii="Arial Unicode MS" w:hAnsi="Arial Unicode MS" w:cs="Arial" w:hint="eastAsia"/>
          <w:kern w:val="0"/>
          <w:szCs w:val="21"/>
        </w:rPr>
        <w:t>载明参加会议人员姓名（或单位名称）、身份证明文件号码、持有或代表有表决权的基金份额、委托人姓名（或单位名称）和联系方式等事项。</w:t>
      </w:r>
    </w:p>
    <w:p w14:paraId="148472B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）通讯开会</w:t>
      </w:r>
    </w:p>
    <w:p w14:paraId="3832766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在通讯开会的情况下，首先由召集人提前</w:t>
      </w:r>
      <w:r>
        <w:rPr>
          <w:rFonts w:ascii="Arial Unicode MS" w:hAnsi="Arial Unicode MS" w:cs="Arial" w:hint="eastAsia"/>
          <w:kern w:val="0"/>
          <w:szCs w:val="21"/>
        </w:rPr>
        <w:t>30</w:t>
      </w:r>
      <w:r>
        <w:rPr>
          <w:rFonts w:ascii="Arial Unicode MS" w:hAnsi="Arial Unicode MS" w:cs="Arial" w:hint="eastAsia"/>
          <w:kern w:val="0"/>
          <w:szCs w:val="21"/>
        </w:rPr>
        <w:t>日公布提案，在所通知的表决截止日期后</w:t>
      </w:r>
      <w:r>
        <w:rPr>
          <w:rFonts w:ascii="Arial Unicode MS" w:hAnsi="Arial Unicode MS" w:cs="Arial" w:hint="eastAsia"/>
          <w:kern w:val="0"/>
          <w:szCs w:val="21"/>
        </w:rPr>
        <w:t>2</w:t>
      </w:r>
      <w:r>
        <w:rPr>
          <w:rFonts w:ascii="Arial Unicode MS" w:hAnsi="Arial Unicode MS" w:cs="Arial" w:hint="eastAsia"/>
          <w:kern w:val="0"/>
          <w:szCs w:val="21"/>
        </w:rPr>
        <w:t>个工作日内在公证机关监督下由召集人统计全部有效表决，在公证机关监督下形成决议。</w:t>
      </w:r>
    </w:p>
    <w:p w14:paraId="02F6358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六</w:t>
      </w:r>
      <w:r>
        <w:rPr>
          <w:rFonts w:ascii="Arial Unicode MS" w:hAnsi="Arial Unicode MS" w:cs="Arial" w:hint="eastAsia"/>
          <w:kern w:val="0"/>
          <w:szCs w:val="21"/>
        </w:rPr>
        <w:t>）</w:t>
      </w:r>
      <w:r>
        <w:rPr>
          <w:rFonts w:ascii="Arial Unicode MS" w:hAnsi="Arial Unicode MS" w:cs="Arial"/>
          <w:kern w:val="0"/>
          <w:szCs w:val="21"/>
        </w:rPr>
        <w:t>表决</w:t>
      </w:r>
    </w:p>
    <w:p w14:paraId="3A702E2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基金份额持有人所持每份基金份额有一票表决权。</w:t>
      </w:r>
    </w:p>
    <w:p w14:paraId="7CA8155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基金份额持有人大会决议分为一般决议和特别决议：</w:t>
      </w:r>
    </w:p>
    <w:p w14:paraId="5746B24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、一般决议，一般决议须经参加大会的基金份额持有人或其代理人所持表决权的二分之一以上（含二分之一）通过方为有效；除下列第</w:t>
      </w:r>
      <w:r>
        <w:rPr>
          <w:rFonts w:ascii="Arial Unicode MS" w:hAnsi="Arial Unicode MS" w:cs="Arial" w:hint="eastAsia"/>
          <w:kern w:val="0"/>
          <w:szCs w:val="21"/>
        </w:rPr>
        <w:t>2</w:t>
      </w:r>
      <w:r>
        <w:rPr>
          <w:rFonts w:ascii="Arial Unicode MS" w:hAnsi="Arial Unicode MS" w:cs="Arial" w:hint="eastAsia"/>
          <w:kern w:val="0"/>
          <w:szCs w:val="21"/>
        </w:rPr>
        <w:t>项所规定的须以特别决议通过事项以外的其他事项均以一般决议的方式通过。</w:t>
      </w:r>
    </w:p>
    <w:p w14:paraId="4E31E5F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B5134C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基金份额持有人大会采取记名方式进行投票表决。</w:t>
      </w:r>
    </w:p>
    <w:p w14:paraId="2563ECD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0582203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基金份额持有人大会的各项提案或同一项提案内并列的各项议题应当分开审议、逐项表决。</w:t>
      </w:r>
    </w:p>
    <w:p w14:paraId="6C1AC09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七</w:t>
      </w:r>
      <w:r>
        <w:rPr>
          <w:rFonts w:ascii="Arial Unicode MS" w:hAnsi="Arial Unicode MS" w:cs="Arial" w:hint="eastAsia"/>
          <w:kern w:val="0"/>
          <w:szCs w:val="21"/>
        </w:rPr>
        <w:t>）</w:t>
      </w:r>
      <w:r>
        <w:rPr>
          <w:rFonts w:ascii="Arial Unicode MS" w:hAnsi="Arial Unicode MS" w:cs="Arial"/>
          <w:kern w:val="0"/>
          <w:szCs w:val="21"/>
        </w:rPr>
        <w:t>计票</w:t>
      </w:r>
    </w:p>
    <w:p w14:paraId="595B15D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、现场开会</w:t>
      </w:r>
    </w:p>
    <w:p w14:paraId="1661500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E486A4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）监票人应当在基金份额持有人表决后立即进行清点并由大会主持人当场公布计票结果。</w:t>
      </w:r>
    </w:p>
    <w:p w14:paraId="2B22B73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）如果会议主持人或基金份额持有人或代理人对于提交的表决结果有怀疑，可以在宣布表决结果后立即对所投票</w:t>
      </w:r>
      <w:proofErr w:type="gramStart"/>
      <w:r>
        <w:rPr>
          <w:rFonts w:ascii="Arial Unicode MS" w:hAnsi="Arial Unicode MS" w:cs="Arial" w:hint="eastAsia"/>
          <w:kern w:val="0"/>
          <w:szCs w:val="21"/>
        </w:rPr>
        <w:t>数要求</w:t>
      </w:r>
      <w:proofErr w:type="gramEnd"/>
      <w:r>
        <w:rPr>
          <w:rFonts w:ascii="Arial Unicode MS" w:hAnsi="Arial Unicode MS" w:cs="Arial" w:hint="eastAsia"/>
          <w:kern w:val="0"/>
          <w:szCs w:val="21"/>
        </w:rPr>
        <w:t>进行重新清点。监票人应当进行重新清点，重新清点以一次为限。重新清点后，大会主持人应当当场公布重新清点结果。</w:t>
      </w:r>
    </w:p>
    <w:p w14:paraId="6DDB3EA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）计票过程应由公证机关予以公证，基金管理人或基金托管人拒不出席大会的，不影响计票的效力。</w:t>
      </w:r>
    </w:p>
    <w:p w14:paraId="0F00453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、通讯开会</w:t>
      </w:r>
    </w:p>
    <w:p w14:paraId="186B5A9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Arial Unicode MS" w:hAnsi="Arial Unicode MS" w:cs="Arial" w:hint="eastAsia"/>
          <w:kern w:val="0"/>
          <w:szCs w:val="21"/>
        </w:rPr>
        <w:t>人拒派</w:t>
      </w:r>
      <w:proofErr w:type="gramEnd"/>
      <w:r>
        <w:rPr>
          <w:rFonts w:ascii="Arial Unicode MS" w:hAnsi="Arial Unicode MS" w:cs="Arial" w:hint="eastAsia"/>
          <w:kern w:val="0"/>
          <w:szCs w:val="21"/>
        </w:rPr>
        <w:t>代表对表决意见的计票进行监督的，不影响计票和表决结果。</w:t>
      </w:r>
    </w:p>
    <w:p w14:paraId="698035D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八</w:t>
      </w:r>
      <w:r>
        <w:rPr>
          <w:rFonts w:ascii="Arial Unicode MS" w:hAnsi="Arial Unicode MS" w:cs="Arial" w:hint="eastAsia"/>
          <w:kern w:val="0"/>
          <w:szCs w:val="21"/>
        </w:rPr>
        <w:t>）</w:t>
      </w:r>
      <w:r>
        <w:rPr>
          <w:rFonts w:ascii="Arial Unicode MS" w:hAnsi="Arial Unicode MS" w:cs="Arial"/>
          <w:kern w:val="0"/>
          <w:szCs w:val="21"/>
        </w:rPr>
        <w:t>生效与公告</w:t>
      </w:r>
    </w:p>
    <w:p w14:paraId="769F50A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基金份额持有人大会的决议，召集人应当自通过之日起</w:t>
      </w:r>
      <w:r>
        <w:rPr>
          <w:rFonts w:ascii="Arial Unicode MS" w:hAnsi="Arial Unicode MS" w:cs="Arial" w:hint="eastAsia"/>
          <w:kern w:val="0"/>
          <w:szCs w:val="21"/>
        </w:rPr>
        <w:t>5</w:t>
      </w:r>
      <w:r>
        <w:rPr>
          <w:rFonts w:ascii="Arial Unicode MS" w:hAnsi="Arial Unicode MS" w:cs="Arial" w:hint="eastAsia"/>
          <w:kern w:val="0"/>
          <w:szCs w:val="21"/>
        </w:rPr>
        <w:t>日内报中国证监会备案。</w:t>
      </w:r>
    </w:p>
    <w:p w14:paraId="58E5E9B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基金份额持有人大会的决议自表决通过之日起生效。</w:t>
      </w:r>
    </w:p>
    <w:p w14:paraId="0742E8A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基金份额持有人大会决议自生效之日起</w:t>
      </w:r>
      <w:r>
        <w:rPr>
          <w:rFonts w:ascii="Arial Unicode MS" w:hAnsi="Arial Unicode MS" w:cs="Arial" w:hint="eastAsia"/>
          <w:kern w:val="0"/>
          <w:szCs w:val="21"/>
        </w:rPr>
        <w:t>2</w:t>
      </w:r>
      <w:r>
        <w:rPr>
          <w:rFonts w:ascii="Arial Unicode MS" w:hAnsi="Arial Unicode MS" w:cs="Arial" w:hint="eastAsia"/>
          <w:kern w:val="0"/>
          <w:szCs w:val="21"/>
        </w:rPr>
        <w:t>个工作日内在指定媒介上公告。如果采用通讯方式进行表决，在公告基金份额持有人大会决议时，必须将公证书全文、公证机构、公证</w:t>
      </w:r>
      <w:r>
        <w:rPr>
          <w:rFonts w:ascii="Arial Unicode MS" w:hAnsi="Arial Unicode MS" w:cs="Arial" w:hint="eastAsia"/>
          <w:kern w:val="0"/>
          <w:szCs w:val="21"/>
        </w:rPr>
        <w:lastRenderedPageBreak/>
        <w:t>员姓名等一同公告。</w:t>
      </w:r>
    </w:p>
    <w:p w14:paraId="2CE4B8E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基金管理人、基金托管人和基金份额持有人应当执行生效的基金份额持有人大会的决议。生效的基金份额持有人大会决议对全体基金份额持有人、基金管理人、基金托管人均有约束力。</w:t>
      </w:r>
    </w:p>
    <w:p w14:paraId="5D95FBB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（九）本部</w:t>
      </w:r>
      <w:proofErr w:type="gramStart"/>
      <w:r>
        <w:rPr>
          <w:rFonts w:ascii="Arial Unicode MS" w:hAnsi="Arial Unicode MS" w:cs="Arial" w:hint="eastAsia"/>
          <w:kern w:val="0"/>
          <w:szCs w:val="21"/>
        </w:rPr>
        <w:t>分关于</w:t>
      </w:r>
      <w:proofErr w:type="gramEnd"/>
      <w:r>
        <w:rPr>
          <w:rFonts w:ascii="Arial Unicode MS" w:hAnsi="Arial Unicode MS" w:cs="Arial" w:hint="eastAsia"/>
          <w:kern w:val="0"/>
          <w:szCs w:val="21"/>
        </w:rPr>
        <w:t>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5DE56840" w14:textId="77777777"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14:paraId="44DD4CD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一</w:t>
      </w:r>
      <w:r>
        <w:rPr>
          <w:rFonts w:ascii="Arial Unicode MS" w:hAnsi="Arial Unicode MS" w:cs="Arial" w:hint="eastAsia"/>
          <w:kern w:val="0"/>
          <w:szCs w:val="21"/>
        </w:rPr>
        <w:t>）</w:t>
      </w:r>
      <w:r>
        <w:rPr>
          <w:rFonts w:ascii="Arial Unicode MS" w:hAnsi="Arial Unicode MS" w:cs="Arial"/>
          <w:kern w:val="0"/>
          <w:szCs w:val="21"/>
        </w:rPr>
        <w:t>《基金合同》的变更</w:t>
      </w:r>
    </w:p>
    <w:p w14:paraId="78DAD6E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、变更基金合同涉及法律法规规定或本基金合同约定应经基金份额持有人大会决议通过的事项的，应召</w:t>
      </w:r>
      <w:proofErr w:type="gramStart"/>
      <w:r>
        <w:rPr>
          <w:rFonts w:ascii="Arial Unicode MS" w:hAnsi="Arial Unicode MS" w:cs="Arial" w:hint="eastAsia"/>
          <w:kern w:val="0"/>
          <w:szCs w:val="21"/>
        </w:rPr>
        <w:t>开基金</w:t>
      </w:r>
      <w:proofErr w:type="gramEnd"/>
      <w:r>
        <w:rPr>
          <w:rFonts w:ascii="Arial Unicode MS" w:hAnsi="Arial Unicode MS" w:cs="Arial" w:hint="eastAsia"/>
          <w:kern w:val="0"/>
          <w:szCs w:val="21"/>
        </w:rPr>
        <w:t>份额持有人大会决议通过。对于法律法规规定和基金合同约定可不经基金份额持有人大会决议通过的事项，由基金管理人和基金托管人同意后变更并公告，并报中国证监会备案。</w:t>
      </w:r>
    </w:p>
    <w:p w14:paraId="7E728E1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 2</w:t>
      </w:r>
      <w:r>
        <w:rPr>
          <w:rFonts w:ascii="Arial Unicode MS" w:hAnsi="Arial Unicode MS" w:cs="Arial" w:hint="eastAsia"/>
          <w:kern w:val="0"/>
          <w:szCs w:val="21"/>
        </w:rPr>
        <w:t>、关于《基金合同》变更的基金份额持有人大会决议须报中国证监会备案，自表决通过之日起生效，</w:t>
      </w:r>
      <w:proofErr w:type="gramStart"/>
      <w:r>
        <w:rPr>
          <w:rFonts w:ascii="Arial Unicode MS" w:hAnsi="Arial Unicode MS" w:cs="Arial" w:hint="eastAsia"/>
          <w:kern w:val="0"/>
          <w:szCs w:val="21"/>
        </w:rPr>
        <w:t>自决议</w:t>
      </w:r>
      <w:proofErr w:type="gramEnd"/>
      <w:r>
        <w:rPr>
          <w:rFonts w:ascii="Arial Unicode MS" w:hAnsi="Arial Unicode MS" w:cs="Arial" w:hint="eastAsia"/>
          <w:kern w:val="0"/>
          <w:szCs w:val="21"/>
        </w:rPr>
        <w:t>生效后两个工作日内在指定媒介公告。</w:t>
      </w:r>
    </w:p>
    <w:p w14:paraId="0BC106A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（二）《基金合同》的终止事由</w:t>
      </w:r>
    </w:p>
    <w:p w14:paraId="072924D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有下列情形之一的，《基金合同》应当终止：</w:t>
      </w:r>
    </w:p>
    <w:p w14:paraId="5076FC5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、基金份额持有人大会决定终止的；</w:t>
      </w:r>
    </w:p>
    <w:p w14:paraId="7FBC2E5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、基金管理人、基金托管人职责终止，在</w:t>
      </w:r>
      <w:r>
        <w:rPr>
          <w:rFonts w:ascii="Arial Unicode MS" w:hAnsi="Arial Unicode MS" w:cs="Arial" w:hint="eastAsia"/>
          <w:kern w:val="0"/>
          <w:szCs w:val="21"/>
        </w:rPr>
        <w:t>6</w:t>
      </w:r>
      <w:r>
        <w:rPr>
          <w:rFonts w:ascii="Arial Unicode MS" w:hAnsi="Arial Unicode MS" w:cs="Arial" w:hint="eastAsia"/>
          <w:kern w:val="0"/>
          <w:szCs w:val="21"/>
        </w:rPr>
        <w:t>个月内没有新基金管理人、新基金托管人承接的；</w:t>
      </w:r>
    </w:p>
    <w:p w14:paraId="714B7090" w14:textId="77777777" w:rsidR="004C06C5" w:rsidRDefault="00A42DB6">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sidR="00ED474B">
        <w:rPr>
          <w:rFonts w:ascii="Arial Unicode MS" w:hAnsi="Arial Unicode MS" w:cs="Arial" w:hint="eastAsia"/>
          <w:kern w:val="0"/>
          <w:szCs w:val="21"/>
        </w:rPr>
        <w:t>、《基金合同》约定的其他情形；</w:t>
      </w:r>
    </w:p>
    <w:p w14:paraId="762A28F0" w14:textId="77777777" w:rsidR="004C06C5" w:rsidRDefault="00A42DB6">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sidR="00ED474B">
        <w:rPr>
          <w:rFonts w:ascii="Arial Unicode MS" w:hAnsi="Arial Unicode MS" w:cs="Arial" w:hint="eastAsia"/>
          <w:kern w:val="0"/>
          <w:szCs w:val="21"/>
        </w:rPr>
        <w:t>、相关法律法规和中国证监会规定的其他情况。</w:t>
      </w:r>
    </w:p>
    <w:p w14:paraId="4A717D4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基金合同终止后，基金管理人和基金托管人有权依照《基金法》、《运作办法》、《销售办法》、基金合同及其他有关法律法规的规定，行使请求给付报酬、从基金资产中获得补偿的权利。</w:t>
      </w:r>
    </w:p>
    <w:p w14:paraId="7EE074B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基金财产的清算</w:t>
      </w:r>
    </w:p>
    <w:p w14:paraId="03E9B15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14:paraId="37447CE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w:t>
      </w:r>
      <w:r>
        <w:rPr>
          <w:rFonts w:ascii="Arial Unicode MS" w:hAnsi="Arial Unicode MS" w:hint="eastAsia"/>
          <w:bCs/>
          <w:szCs w:val="21"/>
        </w:rPr>
        <w:t>具有证券、</w:t>
      </w:r>
      <w:r>
        <w:rPr>
          <w:rFonts w:ascii="Arial Unicode MS" w:hAnsi="Arial Unicode MS"/>
          <w:bCs/>
          <w:szCs w:val="21"/>
        </w:rPr>
        <w:t>期货</w:t>
      </w:r>
      <w:r>
        <w:rPr>
          <w:rFonts w:ascii="Arial Unicode MS" w:hAnsi="Arial Unicode MS" w:hint="eastAsia"/>
          <w:bCs/>
          <w:szCs w:val="21"/>
        </w:rPr>
        <w:t>相关业务资格的</w:t>
      </w:r>
      <w:r>
        <w:rPr>
          <w:rFonts w:ascii="Arial Unicode MS" w:hAnsi="Arial Unicode MS" w:cs="Arial" w:hint="eastAsia"/>
          <w:kern w:val="0"/>
          <w:szCs w:val="21"/>
        </w:rPr>
        <w:t>注册会计师、律师以及中国证监会指定的人员组成。基金财产清</w:t>
      </w:r>
      <w:r>
        <w:rPr>
          <w:rFonts w:ascii="Arial Unicode MS" w:hAnsi="Arial Unicode MS" w:cs="Arial" w:hint="eastAsia"/>
          <w:kern w:val="0"/>
          <w:szCs w:val="21"/>
        </w:rPr>
        <w:lastRenderedPageBreak/>
        <w:t>算小组可以聘用必要的工作人员。</w:t>
      </w:r>
    </w:p>
    <w:p w14:paraId="59790CF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14:paraId="13F2AE5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、基金财产清算程序：</w:t>
      </w:r>
    </w:p>
    <w:p w14:paraId="601797F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）《基金合同》终止情形出现时，由基金财产清算小组统一接管基金；</w:t>
      </w:r>
    </w:p>
    <w:p w14:paraId="042F01A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14:paraId="1A5F52B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14:paraId="55F4F14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14:paraId="30D9E10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Pr>
          <w:rFonts w:ascii="Arial Unicode MS" w:hAnsi="Arial Unicode MS" w:hint="eastAsia"/>
          <w:bCs/>
          <w:szCs w:val="21"/>
        </w:rPr>
        <w:t>具有证券、</w:t>
      </w:r>
      <w:r>
        <w:rPr>
          <w:rFonts w:ascii="Arial Unicode MS" w:hAnsi="Arial Unicode MS"/>
          <w:bCs/>
          <w:szCs w:val="21"/>
        </w:rPr>
        <w:t>期货</w:t>
      </w:r>
      <w:r>
        <w:rPr>
          <w:rFonts w:ascii="Arial Unicode MS" w:hAnsi="Arial Unicode MS" w:hint="eastAsia"/>
          <w:bCs/>
          <w:szCs w:val="21"/>
        </w:rPr>
        <w:t>相关业务资格的</w:t>
      </w:r>
      <w:r>
        <w:rPr>
          <w:rFonts w:ascii="Arial Unicode MS" w:hAnsi="Arial Unicode MS" w:cs="Arial" w:hint="eastAsia"/>
          <w:kern w:val="0"/>
          <w:szCs w:val="21"/>
        </w:rPr>
        <w:t>会计师事务所对清算报告进行外部审计，聘请律师事务所对清算报告出具法律意见书；</w:t>
      </w:r>
    </w:p>
    <w:p w14:paraId="3199A88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）将清算报告报中国证监会备案并公告；</w:t>
      </w:r>
    </w:p>
    <w:p w14:paraId="6EE2E94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）对基金剩余财产进行分配。</w:t>
      </w:r>
    </w:p>
    <w:p w14:paraId="121B54E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、基金财产清算的期限为</w:t>
      </w:r>
      <w:r>
        <w:rPr>
          <w:rFonts w:ascii="Arial Unicode MS" w:hAnsi="Arial Unicode MS" w:cs="Arial" w:hint="eastAsia"/>
          <w:kern w:val="0"/>
          <w:szCs w:val="21"/>
        </w:rPr>
        <w:t>6</w:t>
      </w:r>
      <w:r>
        <w:rPr>
          <w:rFonts w:ascii="Arial Unicode MS" w:hAnsi="Arial Unicode MS" w:cs="Arial" w:hint="eastAsia"/>
          <w:kern w:val="0"/>
          <w:szCs w:val="21"/>
        </w:rPr>
        <w:t>个月，但因本基金所持证券的流动性受到限制而不能及时变现的，清算期限相应顺延。</w:t>
      </w:r>
    </w:p>
    <w:p w14:paraId="3D9415B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四</w:t>
      </w:r>
      <w:r>
        <w:rPr>
          <w:rFonts w:ascii="Arial Unicode MS" w:hAnsi="Arial Unicode MS" w:cs="Arial" w:hint="eastAsia"/>
          <w:kern w:val="0"/>
          <w:szCs w:val="21"/>
        </w:rPr>
        <w:t>）</w:t>
      </w:r>
      <w:r>
        <w:rPr>
          <w:rFonts w:ascii="Arial Unicode MS" w:hAnsi="Arial Unicode MS" w:cs="Arial"/>
          <w:kern w:val="0"/>
          <w:szCs w:val="21"/>
        </w:rPr>
        <w:t>清算费用</w:t>
      </w:r>
    </w:p>
    <w:p w14:paraId="7512602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清算费用是指基金财产清算小组在进行基金清算过程中发生的所有合理费用，清算费用由基金财产清算小组优先从基金</w:t>
      </w:r>
      <w:r>
        <w:rPr>
          <w:rFonts w:ascii="Arial Unicode MS" w:hAnsi="Arial Unicode MS" w:cs="Arial" w:hint="eastAsia"/>
          <w:kern w:val="0"/>
          <w:szCs w:val="21"/>
        </w:rPr>
        <w:t>剩余</w:t>
      </w:r>
      <w:r>
        <w:rPr>
          <w:rFonts w:ascii="Arial Unicode MS" w:hAnsi="Arial Unicode MS" w:cs="Arial"/>
          <w:kern w:val="0"/>
          <w:szCs w:val="21"/>
        </w:rPr>
        <w:t>财产中支付。</w:t>
      </w:r>
    </w:p>
    <w:p w14:paraId="5D0095D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五</w:t>
      </w:r>
      <w:r>
        <w:rPr>
          <w:rFonts w:ascii="Arial Unicode MS" w:hAnsi="Arial Unicode MS" w:cs="Arial" w:hint="eastAsia"/>
          <w:kern w:val="0"/>
          <w:szCs w:val="21"/>
        </w:rPr>
        <w:t>）</w:t>
      </w:r>
      <w:r>
        <w:rPr>
          <w:rFonts w:ascii="Arial Unicode MS" w:hAnsi="Arial Unicode MS" w:cs="Arial"/>
          <w:kern w:val="0"/>
          <w:szCs w:val="21"/>
        </w:rPr>
        <w:t>基金财产清算剩余资产的分配</w:t>
      </w:r>
    </w:p>
    <w:p w14:paraId="7A81E7F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14:paraId="64AD072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六</w:t>
      </w:r>
      <w:r>
        <w:rPr>
          <w:rFonts w:ascii="Arial Unicode MS" w:hAnsi="Arial Unicode MS" w:cs="Arial" w:hint="eastAsia"/>
          <w:kern w:val="0"/>
          <w:szCs w:val="21"/>
        </w:rPr>
        <w:t>）</w:t>
      </w:r>
      <w:r>
        <w:rPr>
          <w:rFonts w:ascii="Arial Unicode MS" w:hAnsi="Arial Unicode MS" w:cs="Arial"/>
          <w:kern w:val="0"/>
          <w:szCs w:val="21"/>
        </w:rPr>
        <w:t>基金财产清算的公告</w:t>
      </w:r>
    </w:p>
    <w:p w14:paraId="5CF78ED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清算过程中的有关重大事项须及时公告；基金财产清算报告经</w:t>
      </w:r>
      <w:r>
        <w:rPr>
          <w:rFonts w:ascii="Arial Unicode MS" w:hAnsi="Arial Unicode MS" w:hint="eastAsia"/>
          <w:bCs/>
          <w:szCs w:val="21"/>
        </w:rPr>
        <w:t>具有证券、</w:t>
      </w:r>
      <w:r>
        <w:rPr>
          <w:rFonts w:ascii="Arial Unicode MS" w:hAnsi="Arial Unicode MS"/>
          <w:bCs/>
          <w:szCs w:val="21"/>
        </w:rPr>
        <w:t>期货</w:t>
      </w:r>
      <w:r>
        <w:rPr>
          <w:rFonts w:ascii="Arial Unicode MS" w:hAnsi="Arial Unicode MS" w:hint="eastAsia"/>
          <w:bCs/>
          <w:szCs w:val="21"/>
        </w:rPr>
        <w:t>相关业务资格的</w:t>
      </w:r>
      <w:r>
        <w:rPr>
          <w:rFonts w:ascii="Arial Unicode MS" w:hAnsi="Arial Unicode MS" w:cs="Arial"/>
          <w:kern w:val="0"/>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kern w:val="0"/>
          <w:szCs w:val="21"/>
        </w:rPr>
        <w:t>5</w:t>
      </w:r>
      <w:r>
        <w:rPr>
          <w:rFonts w:ascii="Arial Unicode MS" w:hAnsi="Arial Unicode MS" w:cs="Arial"/>
          <w:kern w:val="0"/>
          <w:szCs w:val="21"/>
        </w:rPr>
        <w:t>个工作日内由基金财产清算小组进行公告。</w:t>
      </w:r>
    </w:p>
    <w:p w14:paraId="2030F3F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七</w:t>
      </w:r>
      <w:r>
        <w:rPr>
          <w:rFonts w:ascii="Arial Unicode MS" w:hAnsi="Arial Unicode MS" w:cs="Arial" w:hint="eastAsia"/>
          <w:kern w:val="0"/>
          <w:szCs w:val="21"/>
        </w:rPr>
        <w:t>）</w:t>
      </w:r>
      <w:r>
        <w:rPr>
          <w:rFonts w:ascii="Arial Unicode MS" w:hAnsi="Arial Unicode MS" w:cs="Arial"/>
          <w:kern w:val="0"/>
          <w:szCs w:val="21"/>
        </w:rPr>
        <w:t>基金财产清算账册及文件的保存</w:t>
      </w:r>
    </w:p>
    <w:p w14:paraId="110BA38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kern w:val="0"/>
          <w:szCs w:val="21"/>
        </w:rPr>
        <w:t>年以上。</w:t>
      </w:r>
    </w:p>
    <w:p w14:paraId="068DE56A" w14:textId="77777777"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14:paraId="0CA6C5CA" w14:textId="77777777" w:rsidR="004C06C5" w:rsidRDefault="00ED474B">
      <w:pPr>
        <w:autoSpaceDE w:val="0"/>
        <w:autoSpaceDN w:val="0"/>
        <w:adjustRightInd w:val="0"/>
        <w:spacing w:line="360" w:lineRule="auto"/>
        <w:ind w:firstLineChars="200" w:firstLine="420"/>
        <w:jc w:val="left"/>
        <w:rPr>
          <w:rFonts w:ascii="Arial Unicode MS" w:hAnsi="Arial Unicode MS" w:cs="Arial"/>
          <w:kern w:val="0"/>
          <w:szCs w:val="21"/>
        </w:rPr>
      </w:pPr>
      <w:r>
        <w:rPr>
          <w:rFonts w:ascii="Arial Unicode MS" w:hAnsi="Arial Unicode MS" w:cs="Arial" w:hint="eastAsia"/>
          <w:kern w:val="0"/>
          <w:szCs w:val="21"/>
        </w:rPr>
        <w:t>各方当事人同意，因《基金合同》而产生的或与《基金合同》有关的一切争议，如经友好协商未能解决的，应提交华南国际经济贸易仲裁委员会根据该会当时有效的仲裁规则进行</w:t>
      </w:r>
      <w:r>
        <w:rPr>
          <w:rFonts w:ascii="Arial Unicode MS" w:hAnsi="Arial Unicode MS" w:cs="Arial" w:hint="eastAsia"/>
          <w:kern w:val="0"/>
          <w:szCs w:val="21"/>
        </w:rPr>
        <w:lastRenderedPageBreak/>
        <w:t>仲裁，仲裁地点为深圳市，仲裁裁决是终局性的并对各方当事人具有约束力，仲裁费由败诉方承担。</w:t>
      </w:r>
    </w:p>
    <w:p w14:paraId="74FE8549" w14:textId="77777777" w:rsidR="004C06C5" w:rsidRDefault="00ED474B">
      <w:pPr>
        <w:autoSpaceDE w:val="0"/>
        <w:autoSpaceDN w:val="0"/>
        <w:adjustRightInd w:val="0"/>
        <w:spacing w:line="360" w:lineRule="auto"/>
        <w:ind w:firstLineChars="200" w:firstLine="420"/>
        <w:jc w:val="left"/>
        <w:rPr>
          <w:rFonts w:ascii="Arial Unicode MS" w:hAnsi="Arial Unicode MS" w:cs="Arial"/>
          <w:kern w:val="0"/>
          <w:szCs w:val="21"/>
        </w:rPr>
      </w:pPr>
      <w:r>
        <w:rPr>
          <w:rFonts w:ascii="Arial Unicode MS" w:hAnsi="Arial Unicode MS" w:cs="Arial" w:hint="eastAsia"/>
          <w:kern w:val="0"/>
          <w:szCs w:val="21"/>
        </w:rPr>
        <w:t>争议处理期间，基金合同当事人应恪守各自的职责，继续忠实、勤勉、尽责地履行基金合同和托管协议规定的义务，维护基金份额持有人的合法权益。</w:t>
      </w:r>
    </w:p>
    <w:p w14:paraId="634C367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《基金合同》（为本合同之目的，在此不包括香港、澳门特别行政区和台湾地区法律）受中国法律管辖。</w:t>
      </w:r>
    </w:p>
    <w:p w14:paraId="7DD2FB59" w14:textId="77777777"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14:paraId="2201906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《基金合同》可印制成册，供投资者在基金管理人、基金托管人、销售机构的办公场所和营业场所查阅。</w:t>
      </w:r>
    </w:p>
    <w:p w14:paraId="310D77B1"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6CB58496"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0AAC4CAE"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0F066F21"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04E1F625"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6BACA2E9"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58F2AAB2"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708B57C9"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2CB3B427" w14:textId="77777777" w:rsidR="004C06C5" w:rsidRDefault="004C06C5">
      <w:pPr>
        <w:adjustRightInd w:val="0"/>
        <w:snapToGrid w:val="0"/>
        <w:spacing w:line="360" w:lineRule="auto"/>
        <w:rPr>
          <w:rFonts w:ascii="Arial Unicode MS" w:hAnsi="Arial Unicode MS"/>
          <w:bCs/>
          <w:sz w:val="24"/>
        </w:rPr>
      </w:pPr>
    </w:p>
    <w:p w14:paraId="05131902" w14:textId="77777777" w:rsidR="004C06C5" w:rsidRDefault="00ED474B">
      <w:pPr>
        <w:pStyle w:val="11"/>
        <w:snapToGrid w:val="0"/>
        <w:spacing w:before="0" w:after="0" w:line="360" w:lineRule="auto"/>
        <w:ind w:firstLine="492"/>
        <w:rPr>
          <w:rFonts w:ascii="Arial Unicode MS" w:eastAsia="宋体" w:hAnsi="Arial Unicode MS" w:cs="Arial"/>
          <w:b/>
          <w:bCs/>
          <w:sz w:val="28"/>
          <w:szCs w:val="28"/>
        </w:rPr>
      </w:pPr>
      <w:bookmarkStart w:id="139" w:name="_Toc214873614"/>
      <w:bookmarkStart w:id="140" w:name="_Toc317088156"/>
      <w:bookmarkStart w:id="141" w:name="_Toc317088553"/>
      <w:bookmarkStart w:id="142" w:name="_Toc320887658"/>
      <w:bookmarkStart w:id="143" w:name="_Toc335232707"/>
      <w:bookmarkStart w:id="144" w:name="_Toc1464074"/>
      <w:r>
        <w:rPr>
          <w:rFonts w:ascii="Arial Unicode MS" w:eastAsia="宋体" w:hAnsi="Arial Unicode MS" w:cs="Arial"/>
          <w:b/>
          <w:bCs/>
          <w:sz w:val="28"/>
          <w:szCs w:val="28"/>
        </w:rPr>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9"/>
      <w:bookmarkEnd w:id="140"/>
      <w:bookmarkEnd w:id="141"/>
      <w:bookmarkEnd w:id="142"/>
      <w:bookmarkEnd w:id="143"/>
      <w:bookmarkEnd w:id="144"/>
    </w:p>
    <w:p w14:paraId="48B3173A" w14:textId="77777777" w:rsidR="004C06C5" w:rsidRDefault="004C06C5">
      <w:pPr>
        <w:adjustRightInd w:val="0"/>
        <w:snapToGrid w:val="0"/>
        <w:spacing w:line="360" w:lineRule="auto"/>
        <w:ind w:firstLineChars="200" w:firstLine="422"/>
        <w:rPr>
          <w:rFonts w:ascii="Arial Unicode MS" w:hAnsi="Arial Unicode MS" w:cs="Arial"/>
          <w:b/>
          <w:szCs w:val="21"/>
        </w:rPr>
      </w:pPr>
    </w:p>
    <w:p w14:paraId="198EDA13" w14:textId="77777777"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一、托管协议当事人</w:t>
      </w:r>
    </w:p>
    <w:p w14:paraId="1850C1C1" w14:textId="77777777" w:rsidR="004C06C5" w:rsidRDefault="00ED474B">
      <w:pPr>
        <w:adjustRightInd w:val="0"/>
        <w:snapToGrid w:val="0"/>
        <w:spacing w:line="360" w:lineRule="auto"/>
        <w:ind w:firstLineChars="200" w:firstLine="420"/>
        <w:rPr>
          <w:rFonts w:ascii="Arial Unicode MS" w:hAnsi="Arial Unicode MS" w:cs="Arial"/>
          <w:kern w:val="0"/>
          <w:szCs w:val="21"/>
        </w:rPr>
      </w:pPr>
      <w:bookmarkStart w:id="145" w:name="_Toc22454433"/>
      <w:bookmarkStart w:id="146" w:name="_Toc77662992"/>
      <w:r>
        <w:rPr>
          <w:rFonts w:ascii="Arial Unicode MS" w:hAnsi="Arial Unicode MS" w:cs="Arial" w:hint="eastAsia"/>
          <w:kern w:val="0"/>
          <w:szCs w:val="21"/>
        </w:rPr>
        <w:t>（一）基金管理人</w:t>
      </w:r>
    </w:p>
    <w:p w14:paraId="6D25BB1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5B87411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6ED9D4C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35C45E3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4960078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040D96D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批准设立机关及批准设立文号：中国证监会证监许可【</w:t>
      </w:r>
      <w:r>
        <w:rPr>
          <w:rFonts w:ascii="Arial Unicode MS" w:hAnsi="Arial Unicode MS" w:cs="Arial" w:hint="eastAsia"/>
          <w:kern w:val="0"/>
          <w:szCs w:val="21"/>
        </w:rPr>
        <w:t>2015</w:t>
      </w:r>
      <w:r>
        <w:rPr>
          <w:rFonts w:ascii="Arial Unicode MS" w:hAnsi="Arial Unicode MS" w:cs="Arial" w:hint="eastAsia"/>
          <w:kern w:val="0"/>
          <w:szCs w:val="21"/>
        </w:rPr>
        <w:t>】</w:t>
      </w:r>
      <w:r>
        <w:rPr>
          <w:rFonts w:ascii="Arial Unicode MS" w:hAnsi="Arial Unicode MS" w:cs="Arial" w:hint="eastAsia"/>
          <w:kern w:val="0"/>
          <w:szCs w:val="21"/>
        </w:rPr>
        <w:t>3118</w:t>
      </w:r>
      <w:r>
        <w:rPr>
          <w:rFonts w:ascii="Arial Unicode MS" w:hAnsi="Arial Unicode MS" w:cs="Arial" w:hint="eastAsia"/>
          <w:kern w:val="0"/>
          <w:szCs w:val="21"/>
        </w:rPr>
        <w:t>号</w:t>
      </w:r>
    </w:p>
    <w:p w14:paraId="185FA26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27E6E28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w:t>
      </w:r>
      <w:r>
        <w:rPr>
          <w:rFonts w:ascii="Arial Unicode MS" w:hAnsi="Arial Unicode MS" w:cs="Arial" w:hint="eastAsia"/>
          <w:kern w:val="0"/>
          <w:szCs w:val="21"/>
        </w:rPr>
        <w:t xml:space="preserve">: </w:t>
      </w:r>
      <w:r>
        <w:rPr>
          <w:rFonts w:ascii="Arial Unicode MS" w:hAnsi="Arial Unicode MS" w:cs="Arial" w:hint="eastAsia"/>
          <w:kern w:val="0"/>
          <w:szCs w:val="21"/>
        </w:rPr>
        <w:t>有限责任公司</w:t>
      </w:r>
    </w:p>
    <w:p w14:paraId="5F8E027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6601F88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hint="eastAsia"/>
          <w:kern w:val="0"/>
          <w:szCs w:val="21"/>
        </w:rPr>
        <w:t>0755-84356633</w:t>
      </w:r>
    </w:p>
    <w:p w14:paraId="74A9518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w:t>
      </w:r>
    </w:p>
    <w:p w14:paraId="1EAA72A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名称：上海浦东发展银行股份有限公司</w:t>
      </w:r>
    </w:p>
    <w:p w14:paraId="0BFC4D4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办公地址：上海市中山东一路</w:t>
      </w:r>
      <w:r>
        <w:rPr>
          <w:rFonts w:ascii="Arial Unicode MS" w:hAnsi="Arial Unicode MS" w:cs="Arial" w:hint="eastAsia"/>
          <w:kern w:val="0"/>
          <w:szCs w:val="21"/>
        </w:rPr>
        <w:t>12</w:t>
      </w:r>
      <w:r>
        <w:rPr>
          <w:rFonts w:ascii="Arial Unicode MS" w:hAnsi="Arial Unicode MS" w:cs="Arial" w:hint="eastAsia"/>
          <w:kern w:val="0"/>
          <w:szCs w:val="21"/>
        </w:rPr>
        <w:t>号</w:t>
      </w:r>
    </w:p>
    <w:p w14:paraId="692C640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法定代表人：吉晓辉</w:t>
      </w:r>
    </w:p>
    <w:p w14:paraId="6705F08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1992</w:t>
      </w:r>
      <w:r>
        <w:rPr>
          <w:rFonts w:ascii="Arial Unicode MS" w:hAnsi="Arial Unicode MS" w:cs="Arial" w:hint="eastAsia"/>
          <w:kern w:val="0"/>
          <w:szCs w:val="21"/>
        </w:rPr>
        <w:t>年</w:t>
      </w:r>
      <w:r>
        <w:rPr>
          <w:rFonts w:ascii="Arial Unicode MS" w:hAnsi="Arial Unicode MS" w:cs="Arial" w:hint="eastAsia"/>
          <w:kern w:val="0"/>
          <w:szCs w:val="21"/>
        </w:rPr>
        <w:t>10</w:t>
      </w:r>
      <w:r>
        <w:rPr>
          <w:rFonts w:ascii="Arial Unicode MS" w:hAnsi="Arial Unicode MS" w:cs="Arial" w:hint="eastAsia"/>
          <w:kern w:val="0"/>
          <w:szCs w:val="21"/>
        </w:rPr>
        <w:t>月</w:t>
      </w:r>
      <w:r>
        <w:rPr>
          <w:rFonts w:ascii="Arial Unicode MS" w:hAnsi="Arial Unicode MS" w:cs="Arial" w:hint="eastAsia"/>
          <w:kern w:val="0"/>
          <w:szCs w:val="21"/>
        </w:rPr>
        <w:t>19</w:t>
      </w:r>
      <w:r>
        <w:rPr>
          <w:rFonts w:ascii="Arial Unicode MS" w:hAnsi="Arial Unicode MS" w:cs="Arial" w:hint="eastAsia"/>
          <w:kern w:val="0"/>
          <w:szCs w:val="21"/>
        </w:rPr>
        <w:t>日</w:t>
      </w:r>
    </w:p>
    <w:p w14:paraId="69E852C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基金托管业务资格批准机关：中国证监会</w:t>
      </w:r>
    </w:p>
    <w:p w14:paraId="10BCE5A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基金托管业务资格文号：证</w:t>
      </w:r>
      <w:proofErr w:type="gramStart"/>
      <w:r>
        <w:rPr>
          <w:rFonts w:ascii="Arial Unicode MS" w:hAnsi="Arial Unicode MS" w:cs="Arial" w:hint="eastAsia"/>
          <w:kern w:val="0"/>
          <w:szCs w:val="21"/>
        </w:rPr>
        <w:t>监基金字</w:t>
      </w:r>
      <w:proofErr w:type="gramEnd"/>
      <w:r>
        <w:rPr>
          <w:rFonts w:ascii="Arial Unicode MS" w:hAnsi="Arial Unicode MS" w:cs="Arial" w:hint="eastAsia"/>
          <w:kern w:val="0"/>
          <w:szCs w:val="21"/>
        </w:rPr>
        <w:t>[2003]105</w:t>
      </w:r>
      <w:r>
        <w:rPr>
          <w:rFonts w:ascii="Arial Unicode MS" w:hAnsi="Arial Unicode MS" w:cs="Arial" w:hint="eastAsia"/>
          <w:kern w:val="0"/>
          <w:szCs w:val="21"/>
        </w:rPr>
        <w:t>号</w:t>
      </w:r>
    </w:p>
    <w:p w14:paraId="39C2079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组织形式：股份有限公司（上市）</w:t>
      </w:r>
    </w:p>
    <w:p w14:paraId="63A9E4E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注册资本：人民币</w:t>
      </w:r>
      <w:r>
        <w:rPr>
          <w:rFonts w:ascii="Arial Unicode MS" w:hAnsi="Arial Unicode MS" w:cs="Arial" w:hint="eastAsia"/>
          <w:kern w:val="0"/>
          <w:szCs w:val="21"/>
        </w:rPr>
        <w:t>196.53</w:t>
      </w:r>
      <w:r>
        <w:rPr>
          <w:rFonts w:ascii="Arial Unicode MS" w:hAnsi="Arial Unicode MS" w:cs="Arial" w:hint="eastAsia"/>
          <w:kern w:val="0"/>
          <w:szCs w:val="21"/>
        </w:rPr>
        <w:t>亿元</w:t>
      </w:r>
    </w:p>
    <w:p w14:paraId="07BE47F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经营期限：永久存续</w:t>
      </w:r>
    </w:p>
    <w:bookmarkEnd w:id="145"/>
    <w:bookmarkEnd w:id="146"/>
    <w:p w14:paraId="29DC4386" w14:textId="77777777"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b/>
          <w:kern w:val="0"/>
          <w:szCs w:val="21"/>
        </w:rPr>
        <w:t>二、</w:t>
      </w:r>
      <w:r>
        <w:rPr>
          <w:rFonts w:ascii="Arial Unicode MS" w:hAnsi="Arial Unicode MS" w:cs="Arial" w:hint="eastAsia"/>
          <w:b/>
          <w:kern w:val="0"/>
          <w:szCs w:val="21"/>
        </w:rPr>
        <w:t>基金托管人与基金管理人之间的业务监督、核查</w:t>
      </w:r>
    </w:p>
    <w:p w14:paraId="02172F4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（一）基金托管人对基金管理人的投资行为行使监督权</w:t>
      </w:r>
    </w:p>
    <w:p w14:paraId="4E7D176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基金托管人根据有关法律法规的规定和《基金合同》的约定，对下述基金投资范围、投资对象进行监督。</w:t>
      </w:r>
    </w:p>
    <w:p w14:paraId="2FF779C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本基金将投资于以下金融工具：</w:t>
      </w:r>
    </w:p>
    <w:p w14:paraId="440789F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本基金的投资范围主要为具有良好流动性的金融工具，包括国债、国债期货、地方政府债、金融债、企业债、公司债、央行票据、中期票据、短期融资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、中小企业私募债、资产支持证券、次级债、可分离交易可转债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14:paraId="70452EF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14:paraId="29285A5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0C1F229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已明确约定基金投资风格或证券选择标准的，基金管理人应按照基金托管人要求的格式提供投资品种，以便基金托管人运用相关技术系统，对基金实际投资是否符合《基金合同》关于证券选择标准的约定进行监督，对存在疑义的事项进行核查。</w:t>
      </w:r>
    </w:p>
    <w:p w14:paraId="217F947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本基金不得投资于相关法律、法规、部门规章及《基金合同》禁止投资的投资工具。</w:t>
      </w:r>
    </w:p>
    <w:p w14:paraId="366E576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基金托管人根据有关法律法规的规定及《基金合同》的约定对下述基金投融资比例进行监督：</w:t>
      </w:r>
    </w:p>
    <w:p w14:paraId="421B74D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）按法律法规的规定及《基金合同》的约定，本基金的投资资产配置比例为：</w:t>
      </w:r>
    </w:p>
    <w:p w14:paraId="325E29F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14:paraId="617C6B4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因基金规模或市场变化等因素导致投资组合不符合上述规定的，基金管理人应在合理的期限内调整基金的投资组合，以符合上述比例限定。法律法规另有规定时，从其规定。</w:t>
      </w:r>
    </w:p>
    <w:p w14:paraId="7D2C635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如法律法规或监管机构以后允许本基金投资其他品种，基金管理人在履行适当程序后，可以将其纳入投资范围，并可依据届时有效的法律法规适时合理地调整投资范围。</w:t>
      </w:r>
    </w:p>
    <w:p w14:paraId="2AED38E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）根据法律法规的规定及《基金合同》的约定，本基金投资组合遵循以下投资限制：</w:t>
      </w:r>
      <w:r>
        <w:rPr>
          <w:rFonts w:ascii="Arial Unicode MS" w:hAnsi="Arial Unicode MS" w:cs="Arial" w:hint="eastAsia"/>
          <w:kern w:val="0"/>
          <w:szCs w:val="21"/>
        </w:rPr>
        <w:t xml:space="preserve"> </w:t>
      </w:r>
    </w:p>
    <w:p w14:paraId="69AC1C3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w:t>
      </w:r>
    </w:p>
    <w:p w14:paraId="0AC3CD0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14:paraId="149CD42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5F84348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）本基金管理人管理的全部基金持有一家公司发行的证券，不超过该证券的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6DE141F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）本基金持有的全部权证，其市值不得超过基金资产净值的</w:t>
      </w:r>
      <w:r>
        <w:rPr>
          <w:rFonts w:ascii="Arial Unicode MS" w:hAnsi="Arial Unicode MS" w:cs="Arial" w:hint="eastAsia"/>
          <w:kern w:val="0"/>
          <w:szCs w:val="21"/>
        </w:rPr>
        <w:t>3</w:t>
      </w:r>
      <w:r>
        <w:rPr>
          <w:rFonts w:ascii="Arial Unicode MS" w:hAnsi="Arial Unicode MS" w:cs="Arial" w:hint="eastAsia"/>
          <w:kern w:val="0"/>
          <w:szCs w:val="21"/>
        </w:rPr>
        <w:t>％；</w:t>
      </w:r>
    </w:p>
    <w:p w14:paraId="75AC8FC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）本基金在任何交易日买入权证的总金额，不得超过上一交易日基金资产净值的</w:t>
      </w:r>
      <w:r>
        <w:rPr>
          <w:rFonts w:ascii="Arial Unicode MS" w:hAnsi="Arial Unicode MS" w:cs="Arial" w:hint="eastAsia"/>
          <w:kern w:val="0"/>
          <w:szCs w:val="21"/>
        </w:rPr>
        <w:t>0.5</w:t>
      </w:r>
      <w:r>
        <w:rPr>
          <w:rFonts w:ascii="Arial Unicode MS" w:hAnsi="Arial Unicode MS" w:cs="Arial" w:hint="eastAsia"/>
          <w:kern w:val="0"/>
          <w:szCs w:val="21"/>
        </w:rPr>
        <w:t>％；</w:t>
      </w:r>
    </w:p>
    <w:p w14:paraId="7814804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14:paraId="4589626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42900D9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9</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2B651D7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w:t>
      </w:r>
      <w:r>
        <w:rPr>
          <w:rFonts w:ascii="Arial Unicode MS" w:hAnsi="Arial Unicode MS" w:cs="Arial" w:hint="eastAsia"/>
          <w:kern w:val="0"/>
          <w:szCs w:val="21"/>
        </w:rPr>
        <w:lastRenderedPageBreak/>
        <w:t>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6129058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11</w:t>
      </w:r>
      <w:r>
        <w:rPr>
          <w:rFonts w:ascii="Arial Unicode MS" w:hAnsi="Arial Unicode MS" w:cs="Arial" w:hint="eastAsia"/>
          <w:kern w:val="0"/>
          <w:szCs w:val="21"/>
        </w:rPr>
        <w:t>）本基金管理人管理的全部基金投资于同一原始权益人的各类资产支持证券，不得超过其各类资产支持证券合计规模的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7DC5B99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12</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256E0D3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13</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14:paraId="09FD700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14</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5ABF010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w:t>
      </w:r>
      <w:r>
        <w:rPr>
          <w:rFonts w:ascii="Arial Unicode MS" w:hAnsi="Arial Unicode MS" w:cs="Arial" w:hint="eastAsia"/>
          <w:kern w:val="0"/>
          <w:szCs w:val="21"/>
        </w:rPr>
        <w:t>）本基金参与国债期货交易，需遵守下列投资比例限制：</w:t>
      </w:r>
    </w:p>
    <w:p w14:paraId="6C98210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15.1</w:t>
      </w:r>
      <w:r>
        <w:rPr>
          <w:rFonts w:ascii="Arial Unicode MS" w:hAnsi="Arial Unicode MS" w:cs="Arial" w:hint="eastAsia"/>
          <w:kern w:val="0"/>
          <w:szCs w:val="21"/>
        </w:rPr>
        <w:t>基金在任何交易日日终，持有的买入国债期货合约价值，不得超过基金资产净值的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233799B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15.2</w:t>
      </w:r>
      <w:r>
        <w:rPr>
          <w:rFonts w:ascii="Arial Unicode MS" w:hAnsi="Arial Unicode MS" w:cs="Arial" w:hint="eastAsia"/>
          <w:kern w:val="0"/>
          <w:szCs w:val="21"/>
        </w:rPr>
        <w:t>基金在任何交易日日终，持有的卖出国债期货合约价值不得超过基金持有的债券总市值的</w:t>
      </w:r>
      <w:r>
        <w:rPr>
          <w:rFonts w:ascii="Arial Unicode MS" w:hAnsi="Arial Unicode MS" w:cs="Arial" w:hint="eastAsia"/>
          <w:kern w:val="0"/>
          <w:szCs w:val="21"/>
        </w:rPr>
        <w:t>30%</w:t>
      </w:r>
      <w:r>
        <w:rPr>
          <w:rFonts w:ascii="Arial Unicode MS" w:hAnsi="Arial Unicode MS" w:cs="Arial" w:hint="eastAsia"/>
          <w:kern w:val="0"/>
          <w:szCs w:val="21"/>
        </w:rPr>
        <w:t>；</w:t>
      </w:r>
    </w:p>
    <w:p w14:paraId="2711576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15.3</w:t>
      </w:r>
      <w:r>
        <w:rPr>
          <w:rFonts w:ascii="Arial Unicode MS" w:hAnsi="Arial Unicode MS" w:cs="Arial" w:hint="eastAsia"/>
          <w:kern w:val="0"/>
          <w:szCs w:val="21"/>
        </w:rPr>
        <w:t>基金在任何交易日内交易（不包括平仓）的国债期货合约的成交金额不得超过上一交易日基金资产净值的</w:t>
      </w:r>
      <w:r>
        <w:rPr>
          <w:rFonts w:ascii="Arial Unicode MS" w:hAnsi="Arial Unicode MS" w:cs="Arial" w:hint="eastAsia"/>
          <w:kern w:val="0"/>
          <w:szCs w:val="21"/>
        </w:rPr>
        <w:t>30%</w:t>
      </w:r>
      <w:r>
        <w:rPr>
          <w:rFonts w:ascii="Arial Unicode MS" w:hAnsi="Arial Unicode MS" w:cs="Arial" w:hint="eastAsia"/>
          <w:kern w:val="0"/>
          <w:szCs w:val="21"/>
        </w:rPr>
        <w:t>；</w:t>
      </w:r>
    </w:p>
    <w:p w14:paraId="5F52D44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15.4</w:t>
      </w:r>
      <w:r>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14:paraId="07A74533" w14:textId="77777777"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16</w:t>
      </w:r>
      <w:r>
        <w:rPr>
          <w:rFonts w:asciiTheme="minorEastAsia" w:eastAsiaTheme="minorEastAsia" w:hAnsiTheme="minorEastAsia" w:hint="eastAsia"/>
          <w:bCs/>
          <w:szCs w:val="21"/>
        </w:rPr>
        <w:t>）本基金管理人管理的全部开放式基金（包括开放式基金以及处于开放期的定期开放基金）持有一家上市公司发行的可流通股票，不得超过该上市公司可流通股票的</w:t>
      </w:r>
      <w:r>
        <w:rPr>
          <w:rFonts w:asciiTheme="minorEastAsia" w:eastAsiaTheme="minorEastAsia" w:hAnsiTheme="minorEastAsia"/>
          <w:bCs/>
          <w:szCs w:val="21"/>
        </w:rPr>
        <w:t>15%</w:t>
      </w:r>
      <w:r>
        <w:rPr>
          <w:rFonts w:asciiTheme="minorEastAsia" w:eastAsiaTheme="minorEastAsia" w:hAnsiTheme="minorEastAsia" w:hint="eastAsia"/>
          <w:bCs/>
          <w:szCs w:val="21"/>
        </w:rPr>
        <w:t>；本基金管理人管理的全部投资组合持有一家上市公司发行的可流通股票，不得超过该上市公司可流通股票的</w:t>
      </w:r>
      <w:r>
        <w:rPr>
          <w:rFonts w:asciiTheme="minorEastAsia" w:eastAsiaTheme="minorEastAsia" w:hAnsiTheme="minorEastAsia"/>
          <w:bCs/>
          <w:szCs w:val="21"/>
        </w:rPr>
        <w:t>30%</w:t>
      </w:r>
      <w:r>
        <w:rPr>
          <w:rFonts w:asciiTheme="minorEastAsia" w:eastAsiaTheme="minorEastAsia" w:hAnsiTheme="minorEastAsia" w:hint="eastAsia"/>
          <w:bCs/>
          <w:szCs w:val="21"/>
        </w:rPr>
        <w:t>；</w:t>
      </w:r>
    </w:p>
    <w:p w14:paraId="371663FC" w14:textId="77777777"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17</w:t>
      </w:r>
      <w:r>
        <w:rPr>
          <w:rFonts w:asciiTheme="minorEastAsia" w:eastAsiaTheme="minorEastAsia" w:hAnsiTheme="minorEastAsia" w:hint="eastAsia"/>
          <w:bCs/>
          <w:szCs w:val="21"/>
        </w:rPr>
        <w:t>）本基金主动投资于流动性受限资产的市值合计不得超过该基金资产净值的</w:t>
      </w:r>
      <w:r>
        <w:rPr>
          <w:rFonts w:asciiTheme="minorEastAsia" w:eastAsiaTheme="minorEastAsia" w:hAnsiTheme="minorEastAsia"/>
          <w:bCs/>
          <w:szCs w:val="21"/>
        </w:rPr>
        <w:t>15%</w:t>
      </w:r>
      <w:r>
        <w:rPr>
          <w:rFonts w:asciiTheme="minorEastAsia" w:eastAsiaTheme="minorEastAsia" w:hAnsiTheme="minorEastAsia" w:hint="eastAsia"/>
          <w:bCs/>
          <w:szCs w:val="21"/>
        </w:rPr>
        <w:t>；</w:t>
      </w:r>
    </w:p>
    <w:p w14:paraId="710685B3" w14:textId="77777777"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因证券市场波动、上市公司股票停牌、基金规模变动等基金管理人之外的因素致使基金不符合前款所规定比例限制的，基金管理人不得主动新增流动性受限资产的投资；</w:t>
      </w:r>
    </w:p>
    <w:p w14:paraId="224404FD" w14:textId="77777777"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18</w:t>
      </w:r>
      <w:r>
        <w:rPr>
          <w:rFonts w:asciiTheme="minorEastAsia" w:eastAsiaTheme="minorEastAsia" w:hAnsiTheme="minorEastAsia" w:hint="eastAsia"/>
          <w:bCs/>
          <w:szCs w:val="21"/>
        </w:rPr>
        <w:t>）本基金与私募类</w:t>
      </w:r>
      <w:proofErr w:type="gramStart"/>
      <w:r>
        <w:rPr>
          <w:rFonts w:asciiTheme="minorEastAsia" w:eastAsiaTheme="minorEastAsia" w:hAnsiTheme="minorEastAsia" w:hint="eastAsia"/>
          <w:bCs/>
          <w:szCs w:val="21"/>
        </w:rPr>
        <w:t>证券资管产品</w:t>
      </w:r>
      <w:proofErr w:type="gramEnd"/>
      <w:r>
        <w:rPr>
          <w:rFonts w:asciiTheme="minorEastAsia" w:eastAsiaTheme="minorEastAsia" w:hAnsiTheme="minorEastAsia" w:hint="eastAsia"/>
          <w:bCs/>
          <w:szCs w:val="21"/>
        </w:rPr>
        <w:t>及中国证监会认定的其他主体为交易对手开展逆回购交易的，可接受质押品的资质要求应当与基金合同约定的投资范围保持一致；</w:t>
      </w:r>
    </w:p>
    <w:p w14:paraId="26801330" w14:textId="77777777"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19</w:t>
      </w:r>
      <w:r>
        <w:rPr>
          <w:rFonts w:asciiTheme="minorEastAsia" w:eastAsiaTheme="minorEastAsia" w:hAnsiTheme="minorEastAsia" w:hint="eastAsia"/>
          <w:bCs/>
          <w:szCs w:val="21"/>
        </w:rPr>
        <w:t>）法律法规及中国证监会规定的和《基金合同》约定的其他投资限制。</w:t>
      </w:r>
    </w:p>
    <w:p w14:paraId="1A6CD189" w14:textId="77777777"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除上述第</w:t>
      </w:r>
      <w:r>
        <w:rPr>
          <w:rFonts w:asciiTheme="minorEastAsia" w:eastAsiaTheme="minorEastAsia" w:hAnsiTheme="minorEastAsia"/>
          <w:bCs/>
          <w:szCs w:val="21"/>
        </w:rPr>
        <w:t>2</w:t>
      </w:r>
      <w:r>
        <w:rPr>
          <w:rFonts w:asciiTheme="minorEastAsia" w:eastAsiaTheme="minorEastAsia" w:hAnsiTheme="minorEastAsia" w:hint="eastAsia"/>
          <w:bCs/>
          <w:szCs w:val="21"/>
        </w:rPr>
        <w:t>）、</w:t>
      </w:r>
      <w:r>
        <w:rPr>
          <w:rFonts w:asciiTheme="minorEastAsia" w:eastAsiaTheme="minorEastAsia" w:hAnsiTheme="minorEastAsia"/>
          <w:bCs/>
          <w:szCs w:val="21"/>
        </w:rPr>
        <w:t>12</w:t>
      </w:r>
      <w:r>
        <w:rPr>
          <w:rFonts w:asciiTheme="minorEastAsia" w:eastAsiaTheme="minorEastAsia" w:hAnsiTheme="minorEastAsia" w:hint="eastAsia"/>
          <w:bCs/>
          <w:szCs w:val="21"/>
        </w:rPr>
        <w:t>）、</w:t>
      </w:r>
      <w:r>
        <w:rPr>
          <w:rFonts w:asciiTheme="minorEastAsia" w:eastAsiaTheme="minorEastAsia" w:hAnsiTheme="minorEastAsia"/>
          <w:bCs/>
          <w:szCs w:val="21"/>
        </w:rPr>
        <w:t>17</w:t>
      </w:r>
      <w:r>
        <w:rPr>
          <w:rFonts w:asciiTheme="minorEastAsia" w:eastAsiaTheme="minorEastAsia" w:hAnsiTheme="minorEastAsia" w:hint="eastAsia"/>
          <w:bCs/>
          <w:szCs w:val="21"/>
        </w:rPr>
        <w:t>）、</w:t>
      </w:r>
      <w:r>
        <w:rPr>
          <w:rFonts w:asciiTheme="minorEastAsia" w:eastAsiaTheme="minorEastAsia" w:hAnsiTheme="minorEastAsia"/>
          <w:bCs/>
          <w:szCs w:val="21"/>
        </w:rPr>
        <w:t>18</w:t>
      </w:r>
      <w:r>
        <w:rPr>
          <w:rFonts w:asciiTheme="minorEastAsia" w:eastAsiaTheme="minorEastAsia" w:hAnsiTheme="minorEastAsia" w:hint="eastAsia"/>
          <w:bCs/>
          <w:szCs w:val="21"/>
        </w:rPr>
        <w:t>）项外，因证券、期货市场波动、证券发行人合并、基金规模变动等基金管理人之外的因素致使基金投资比例不符合上述规定投资比例的，基金管理</w:t>
      </w:r>
      <w:r>
        <w:rPr>
          <w:rFonts w:asciiTheme="minorEastAsia" w:eastAsiaTheme="minorEastAsia" w:hAnsiTheme="minorEastAsia" w:hint="eastAsia"/>
          <w:bCs/>
          <w:szCs w:val="21"/>
        </w:rPr>
        <w:lastRenderedPageBreak/>
        <w:t>人应当在</w:t>
      </w:r>
      <w:r>
        <w:rPr>
          <w:rFonts w:asciiTheme="minorEastAsia" w:eastAsiaTheme="minorEastAsia" w:hAnsiTheme="minorEastAsia"/>
          <w:bCs/>
          <w:szCs w:val="21"/>
        </w:rPr>
        <w:t>10</w:t>
      </w:r>
      <w:r>
        <w:rPr>
          <w:rFonts w:asciiTheme="minorEastAsia" w:eastAsiaTheme="minorEastAsia" w:hAnsiTheme="minorEastAsia" w:hint="eastAsia"/>
          <w:bCs/>
          <w:szCs w:val="21"/>
        </w:rPr>
        <w:t>个交易日内进行调整，但中国证监会规定的特殊情形除外。法律法规或监管机构另有规定的，从其规定。</w:t>
      </w:r>
    </w:p>
    <w:p w14:paraId="5BAF37F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个月内使基金的投资组合比例符合基金合同的有关约定。在上述期间内，本基金的投资范围、投资策略应当符合基金合同的约定。基金托管人对基金的投资的监督与检查自本基金合同生效之日起开始。</w:t>
      </w:r>
    </w:p>
    <w:p w14:paraId="6C036F6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法律法规或监管部门取消或变更上述限制，则本基金投资可不再受相关限制或以变更后的规定为准。</w:t>
      </w:r>
    </w:p>
    <w:p w14:paraId="5AD5866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托管人对上述指标的监督义务，仅限于监督由基金管理人管理且由托管人托管的全部公</w:t>
      </w:r>
      <w:proofErr w:type="gramStart"/>
      <w:r>
        <w:rPr>
          <w:rFonts w:ascii="Arial Unicode MS" w:hAnsi="Arial Unicode MS" w:cs="Arial" w:hint="eastAsia"/>
          <w:kern w:val="0"/>
          <w:szCs w:val="21"/>
        </w:rPr>
        <w:t>募基金</w:t>
      </w:r>
      <w:proofErr w:type="gramEnd"/>
      <w:r>
        <w:rPr>
          <w:rFonts w:ascii="Arial Unicode MS" w:hAnsi="Arial Unicode MS" w:cs="Arial" w:hint="eastAsia"/>
          <w:kern w:val="0"/>
          <w:szCs w:val="21"/>
        </w:rPr>
        <w:t>及基金专</w:t>
      </w:r>
      <w:proofErr w:type="gramStart"/>
      <w:r>
        <w:rPr>
          <w:rFonts w:ascii="Arial Unicode MS" w:hAnsi="Arial Unicode MS" w:cs="Arial" w:hint="eastAsia"/>
          <w:kern w:val="0"/>
          <w:szCs w:val="21"/>
        </w:rPr>
        <w:t>户产品</w:t>
      </w:r>
      <w:proofErr w:type="gramEnd"/>
      <w:r>
        <w:rPr>
          <w:rFonts w:ascii="Arial Unicode MS" w:hAnsi="Arial Unicode MS" w:cs="Arial" w:hint="eastAsia"/>
          <w:kern w:val="0"/>
          <w:szCs w:val="21"/>
        </w:rPr>
        <w:t>是否符合上述比例限制。《基金法》及其他有关法律法规或监管部门取消上述限制的，履行适当程序后，基金不受上述限制。</w:t>
      </w:r>
    </w:p>
    <w:p w14:paraId="4C91077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除投资资产配置外，基金托管人对基金投资的监督和检查自本托管协议生效之日起开始。</w:t>
      </w:r>
    </w:p>
    <w:p w14:paraId="72D90E7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）法律法规允许的基金投资比例调整期限</w:t>
      </w:r>
    </w:p>
    <w:p w14:paraId="0C0DC79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由于证券市场波动、上市公司合并或基金规模变动等基金管理人之外的原因导致的投资组合不符合上述约定的比例，不在限制之内，但基金管理人应在</w:t>
      </w:r>
      <w:r>
        <w:rPr>
          <w:rFonts w:ascii="Arial Unicode MS" w:hAnsi="Arial Unicode MS" w:cs="Arial" w:hint="eastAsia"/>
          <w:kern w:val="0"/>
          <w:szCs w:val="21"/>
        </w:rPr>
        <w:t>10</w:t>
      </w:r>
      <w:r>
        <w:rPr>
          <w:rFonts w:ascii="Arial Unicode MS" w:hAnsi="Arial Unicode MS" w:cs="Arial" w:hint="eastAsia"/>
          <w:kern w:val="0"/>
          <w:szCs w:val="21"/>
        </w:rPr>
        <w:t>个交易日内进行调整，以达到规定的投资比例限制要求。法律法规另有规定的从其规定。</w:t>
      </w:r>
    </w:p>
    <w:p w14:paraId="07AE171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基金管理人应在出现可预见资产规模大幅变动的情况下，至少提前</w:t>
      </w:r>
      <w:r>
        <w:rPr>
          <w:rFonts w:ascii="Arial Unicode MS" w:hAnsi="Arial Unicode MS" w:cs="Arial" w:hint="eastAsia"/>
          <w:kern w:val="0"/>
          <w:szCs w:val="21"/>
        </w:rPr>
        <w:t>2</w:t>
      </w:r>
      <w:r>
        <w:rPr>
          <w:rFonts w:ascii="Arial Unicode MS" w:hAnsi="Arial Unicode MS" w:cs="Arial" w:hint="eastAsia"/>
          <w:kern w:val="0"/>
          <w:szCs w:val="21"/>
        </w:rPr>
        <w:t>个工作日正式向基金托管人发函说明基金可能的变动规模和公司应对措施，便于基金托管人实施交易监督。</w:t>
      </w:r>
    </w:p>
    <w:p w14:paraId="3CB97CA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）本基金可以按照国家的有关规定进行融资融券。</w:t>
      </w:r>
    </w:p>
    <w:p w14:paraId="32F06A6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）相关法律、法规或部门规章规定的其他比例限制。</w:t>
      </w:r>
    </w:p>
    <w:p w14:paraId="4C2E2FA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基金托管人对基金投资的监督和检查自本托管协议生效之日起开始。</w:t>
      </w:r>
    </w:p>
    <w:p w14:paraId="22E6214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基金托管人根据有关法律法规的规定及《基金合同》的约定对下述基金投资禁止行为进行监督：</w:t>
      </w:r>
      <w:r>
        <w:rPr>
          <w:rFonts w:ascii="Arial Unicode MS" w:hAnsi="Arial Unicode MS" w:cs="Arial" w:hint="eastAsia"/>
          <w:kern w:val="0"/>
          <w:szCs w:val="21"/>
        </w:rPr>
        <w:t xml:space="preserve"> </w:t>
      </w:r>
    </w:p>
    <w:p w14:paraId="7196BEC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根据法律法规的规定及《基金合同》的约定，本基金禁止从事下列行为：</w:t>
      </w:r>
    </w:p>
    <w:p w14:paraId="3F220EB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）承销证券；</w:t>
      </w:r>
    </w:p>
    <w:p w14:paraId="189C744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）违反规定向他人贷款或者提供担保；</w:t>
      </w:r>
    </w:p>
    <w:p w14:paraId="4524A44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）从事承担无限责任的投资；</w:t>
      </w:r>
    </w:p>
    <w:p w14:paraId="29BFEAC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）买卖其他基金份额，但是中国证监会另有规定的除外；</w:t>
      </w:r>
    </w:p>
    <w:p w14:paraId="429E8EB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）向其基金管理人、基金托管人出资；</w:t>
      </w:r>
    </w:p>
    <w:p w14:paraId="57D6B63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）从事内幕交易、操纵证券交易价格及其他不正当的证券交易活动；</w:t>
      </w:r>
    </w:p>
    <w:p w14:paraId="63190F6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7</w:t>
      </w:r>
      <w:r>
        <w:rPr>
          <w:rFonts w:ascii="Arial Unicode MS" w:hAnsi="Arial Unicode MS" w:cs="Arial" w:hint="eastAsia"/>
          <w:kern w:val="0"/>
          <w:szCs w:val="21"/>
        </w:rPr>
        <w:t>）法律、行政法规和中国证监会规定禁止的其他活动。</w:t>
      </w:r>
    </w:p>
    <w:p w14:paraId="536FED4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7EFA6D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如法律、行政法规或监管部门取消或调整上述禁止性规定，则本基金可不受上述规定的限制或按调整后的规定执行。</w:t>
      </w:r>
    </w:p>
    <w:p w14:paraId="0FE0A0B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基金托管人依据有关法律法规的规定和《基金合同》的约定对于基金关联投资限制进行监督。</w:t>
      </w:r>
    </w:p>
    <w:p w14:paraId="378128D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运用基金财产买卖基金管理人、基金托管人及其控股股东、实际控制人或者与其有其他重大利害关系的公司发行的证券或承销期内承销的证券，或者从事其他重大关联交易的，应当遵循基金份额持有人利益优先的原则，防范利益冲突，符合国务院证券监督管理机构的规定，并履行信息披露义务。</w:t>
      </w:r>
    </w:p>
    <w:p w14:paraId="7108ED6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基金合同》有关于基金禁止从事关联交易的规定，基金管理人和基金托管人应相互提供与本机构有控股关系的股东或与本机构有其他重大利害关系的公司名单及其更新，并加盖业务章并书面提交，确保关联交易名单真实、完整、全面。基金管理人有责任保管关联交易名单，名单变更后基金管理人应及时发送基金托管人。如果基金托管人在运作中严格遵循了监督流程，基金管理人仍违规进行关联交易，并造成基金资产损失的，由基金管理人承担责任。</w:t>
      </w:r>
    </w:p>
    <w:p w14:paraId="7E88DA8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基金托管人依据有关法律法规的规定和《基金合同》的约定对基金管理人参与银行间债券市场进行监督。</w:t>
      </w:r>
    </w:p>
    <w:p w14:paraId="6333E01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）基金托管人按以下方式对基金管理人参与银行间市场交易的交易对手的资信风险控制措施进行监督。</w:t>
      </w:r>
    </w:p>
    <w:p w14:paraId="58284F4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基金管理人向基金托管人提供其银行间债券市场交易的交易对手库，交易对手库由银行间交易会员中财务状况较好、实力雄厚、信用等级高的交易对手组成。基金管理人可以根据实际情况的变化，及时对交易对手</w:t>
      </w:r>
      <w:proofErr w:type="gramStart"/>
      <w:r>
        <w:rPr>
          <w:rFonts w:ascii="Arial Unicode MS" w:hAnsi="Arial Unicode MS" w:cs="Arial" w:hint="eastAsia"/>
          <w:kern w:val="0"/>
          <w:szCs w:val="21"/>
        </w:rPr>
        <w:t>库予以</w:t>
      </w:r>
      <w:proofErr w:type="gramEnd"/>
      <w:r>
        <w:rPr>
          <w:rFonts w:ascii="Arial Unicode MS" w:hAnsi="Arial Unicode MS" w:cs="Arial" w:hint="eastAsia"/>
          <w:kern w:val="0"/>
          <w:szCs w:val="21"/>
        </w:rPr>
        <w:t>更新和调整，并及时书面通知基金托管人。基金托管人据以对基金银行间债券市场交易的交易对手是否符合上述名单进行监督。</w:t>
      </w:r>
    </w:p>
    <w:p w14:paraId="1D766C3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）基金托管人对银行间交易市场的交易方式的</w:t>
      </w:r>
      <w:proofErr w:type="gramStart"/>
      <w:r>
        <w:rPr>
          <w:rFonts w:ascii="Arial Unicode MS" w:hAnsi="Arial Unicode MS" w:cs="Arial" w:hint="eastAsia"/>
          <w:kern w:val="0"/>
          <w:szCs w:val="21"/>
        </w:rPr>
        <w:t>控制按</w:t>
      </w:r>
      <w:proofErr w:type="gramEnd"/>
      <w:r>
        <w:rPr>
          <w:rFonts w:ascii="Arial Unicode MS" w:hAnsi="Arial Unicode MS" w:cs="Arial" w:hint="eastAsia"/>
          <w:kern w:val="0"/>
          <w:szCs w:val="21"/>
        </w:rPr>
        <w:t>如下约定进行监督。</w:t>
      </w:r>
    </w:p>
    <w:p w14:paraId="6321C1B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基金管理人应按照审慎的风险控制原则，对银行间交易对手的资信状况进行评估，控制</w:t>
      </w:r>
      <w:r>
        <w:rPr>
          <w:rFonts w:ascii="Arial Unicode MS" w:hAnsi="Arial Unicode MS" w:cs="Arial" w:hint="eastAsia"/>
          <w:kern w:val="0"/>
          <w:szCs w:val="21"/>
        </w:rPr>
        <w:lastRenderedPageBreak/>
        <w:t>交易对手的资信风险，确定与各类交易对手所适用的交易结算方式，在具体的交易中，应尽力争取对基金有利的交易方式。由于交易对手资信风险引起的损失，基金托管人不承担赔偿责任。</w:t>
      </w:r>
    </w:p>
    <w:p w14:paraId="21112D2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基金托管人对基金管理人选择存款银行进行监督。</w:t>
      </w:r>
    </w:p>
    <w:p w14:paraId="2AFDCFF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如投资银行存款，基金管理人应根据法律法规的规定及《基金合同》的约定，事先确定符合条件的所有存款银行的名单，并及时提供给基金托管人，基金管理人可以根据实际情况的变化，及时对存款银行的名单予以更新和调整，并通知基金托管人。基金托管人据此对基金投资银行存款的交易对手是否符合上述名单进行监督。</w:t>
      </w:r>
    </w:p>
    <w:p w14:paraId="6620034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存款银行的资信控制，并对投资银行存款的信用风险（包括但不限于存款银行的信用等级、存款银行的支付能力等）进行评估。对于基金投资的银行存款，由于存款银行发生信用风险事件而造成损失时，先由基金管理人负责赔偿，之后有权要求相关责任人进行赔偿。</w:t>
      </w:r>
    </w:p>
    <w:p w14:paraId="752BB99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基金托管人对基金投资中小企业私募债券、中期票据的监督责任仅限于依据本协议第二条第（一）款第</w:t>
      </w:r>
      <w:r>
        <w:rPr>
          <w:rFonts w:ascii="Arial Unicode MS" w:hAnsi="Arial Unicode MS" w:cs="Arial" w:hint="eastAsia"/>
          <w:kern w:val="0"/>
          <w:szCs w:val="21"/>
        </w:rPr>
        <w:t>2</w:t>
      </w:r>
      <w:r>
        <w:rPr>
          <w:rFonts w:ascii="Arial Unicode MS" w:hAnsi="Arial Unicode MS" w:cs="Arial" w:hint="eastAsia"/>
          <w:kern w:val="0"/>
          <w:szCs w:val="21"/>
        </w:rPr>
        <w:t>项对投资比例和投资限制进行事后监督；除此外，无其它监督责任。如发现异常情况，应及时以书面形式通知基金管理人。基金管理人应积极配合和协助基金托管人进行监督和核查。基金因投资中小企业私募债券、中期票据导致的信用风险、流动性风险，基金托管人不承担任何责任。如因基金管理</w:t>
      </w:r>
      <w:proofErr w:type="gramStart"/>
      <w:r>
        <w:rPr>
          <w:rFonts w:ascii="Arial Unicode MS" w:hAnsi="Arial Unicode MS" w:cs="Arial" w:hint="eastAsia"/>
          <w:kern w:val="0"/>
          <w:szCs w:val="21"/>
        </w:rPr>
        <w:t>人原因</w:t>
      </w:r>
      <w:proofErr w:type="gramEnd"/>
      <w:r>
        <w:rPr>
          <w:rFonts w:ascii="Arial Unicode MS" w:hAnsi="Arial Unicode MS" w:cs="Arial" w:hint="eastAsia"/>
          <w:kern w:val="0"/>
          <w:szCs w:val="21"/>
        </w:rPr>
        <w:t>导致基金出现损失的，基金托管人不承担任何责任。</w:t>
      </w:r>
    </w:p>
    <w:p w14:paraId="297C22D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管理的基金在投资中小企业私募债、中期票据前，基金管理人须根据法律、法规、监管部门的规定，制定严格的关于投资中小企业私募债、中期票据的风险控制制度和流动性风险处置预案，管理人在此承诺将严格执行该风险控制制度和流动性风险处置预案。</w:t>
      </w:r>
    </w:p>
    <w:p w14:paraId="1A522A9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5D37AB9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托管人发现基金管理人的投资运作及其他运作违反《基金法》、《基金合同》、基金托管协议等有关规定时，应及时以书面形式通知基金管理人限期纠正，基金管理人收到通知后应在下一个工作日及时核对，并以书面形式向基金托管人发出回函，进行解释或举证。</w:t>
      </w:r>
    </w:p>
    <w:p w14:paraId="3BBE41B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在限期内，基金托管人有权随时对通知事项进行复查，督促基金管理人改正。基金管理人对基金托管人通知的违规事项未能在限期内纠正的，基金托管人应报告中国证监会。</w:t>
      </w:r>
    </w:p>
    <w:p w14:paraId="0CEC6B2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积极配合和协助基金托管人依照法律法规、《基金合同》和本托管协议对基金业务的监督和核查，对基金托管人发出的书面提示，必须在规定时间内答复基金托管人并改正，或就基金托管人的疑义进行解释或举证，对基金托管人按照法律法规、《基金合同》和本托管协议的要求需向中国证监会报送基金监督报告的，基金管理人应积极配合提供相关</w:t>
      </w:r>
      <w:r>
        <w:rPr>
          <w:rFonts w:ascii="Arial Unicode MS" w:hAnsi="Arial Unicode MS" w:cs="Arial" w:hint="eastAsia"/>
          <w:kern w:val="0"/>
          <w:szCs w:val="21"/>
        </w:rPr>
        <w:lastRenderedPageBreak/>
        <w:t>数据资料和制度等。</w:t>
      </w:r>
    </w:p>
    <w:p w14:paraId="64D807FE" w14:textId="77777777" w:rsidR="004C06C5" w:rsidRDefault="00ED474B">
      <w:pPr>
        <w:adjustRightInd w:val="0"/>
        <w:snapToGrid w:val="0"/>
        <w:spacing w:line="360" w:lineRule="auto"/>
        <w:ind w:firstLineChars="200" w:firstLine="420"/>
        <w:rPr>
          <w:rFonts w:ascii="Arial Unicode MS" w:hAnsi="Arial Unicode MS" w:cs="Arial"/>
          <w:kern w:val="0"/>
          <w:szCs w:val="21"/>
        </w:rPr>
      </w:pP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托管人发现基金管理人发出但未执行的投资指令或依据交易程序已经生效的投资指令违反法律、行政法规和其他有关规定，或者违反《基金合同》约定的，应当立即通知基金管理人，并报告中国证监会。基金管理人的上述违规失信行为给基金财产或基金份额持有人造成的损失，由基金管理人承担。</w:t>
      </w:r>
    </w:p>
    <w:p w14:paraId="4EB77E0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对于必须于估值完成后方可获知的监控指标或依据交易程序已经成交的投资指令，基金托管人发现该投资指令违反法律法规或者违反《基金合同》约定的，应当立即通知基金管理人，并报告中国证监会。</w:t>
      </w:r>
    </w:p>
    <w:p w14:paraId="706ABBD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基金托管人发现基金管理人有重大违规行为，应立即报告中国证监会，同时通知基金管理人限期纠正。</w:t>
      </w:r>
    </w:p>
    <w:p w14:paraId="49B422A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1EA1754C" w14:textId="77777777" w:rsidR="004C06C5" w:rsidRDefault="00ED474B">
      <w:pPr>
        <w:adjustRightInd w:val="0"/>
        <w:snapToGrid w:val="0"/>
        <w:spacing w:line="360" w:lineRule="auto"/>
        <w:ind w:firstLineChars="200" w:firstLine="422"/>
        <w:rPr>
          <w:rFonts w:ascii="Arial Unicode MS" w:hAnsi="Arial Unicode MS" w:cs="Arial"/>
          <w:b/>
          <w:kern w:val="0"/>
          <w:szCs w:val="21"/>
        </w:rPr>
      </w:pPr>
      <w:bookmarkStart w:id="147" w:name="_Toc296541722"/>
      <w:r>
        <w:rPr>
          <w:rFonts w:ascii="Arial Unicode MS" w:hAnsi="Arial Unicode MS" w:cs="Arial" w:hint="eastAsia"/>
          <w:b/>
          <w:kern w:val="0"/>
          <w:szCs w:val="21"/>
        </w:rPr>
        <w:t>三、基金管理人对基金托管人的业务核查</w:t>
      </w:r>
      <w:bookmarkEnd w:id="147"/>
    </w:p>
    <w:p w14:paraId="331DB34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对基金托管人履行托管职责情况进行核查，核查事项包括但不限于基金托管人是否安全保管基金财产、是否分别开设基金财产的资金账户和证券账户、是否复核基金管理人计算的基金资产净值和基金份额净值、是否根据管理人指令办理清算交收、进行相关信息披露和监督基金投资运作等行为。</w:t>
      </w:r>
    </w:p>
    <w:p w14:paraId="1573C6B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并以书面形式向基金管理人发出回函。在限期内，基金管理人有权随时对通知事项进行复查，督促基金托管人改正。基金托管人对基金管理人通知的违规事项未能在限期内纠正的，基金管理人应报告中国证监会。基金管理人发现基金托管人有重大违规行为，应立即报告中国证监会和银行业监督管理机构，同时通知基金托管人限期纠正。</w:t>
      </w:r>
    </w:p>
    <w:p w14:paraId="159B5A7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基金托管人应积极配合基金管理人的核查行为，包括但不限于：提交相关资料以</w:t>
      </w:r>
      <w:proofErr w:type="gramStart"/>
      <w:r>
        <w:rPr>
          <w:rFonts w:ascii="Arial Unicode MS" w:hAnsi="Arial Unicode MS" w:cs="Arial" w:hint="eastAsia"/>
          <w:kern w:val="0"/>
          <w:szCs w:val="21"/>
        </w:rPr>
        <w:t>供基金</w:t>
      </w:r>
      <w:proofErr w:type="gramEnd"/>
      <w:r>
        <w:rPr>
          <w:rFonts w:ascii="Arial Unicode MS" w:hAnsi="Arial Unicode MS" w:cs="Arial" w:hint="eastAsia"/>
          <w:kern w:val="0"/>
          <w:szCs w:val="21"/>
        </w:rPr>
        <w:t>管理人核查托管财产的完整性和真实性，在规定时间内答复基金管理人并改正。</w:t>
      </w:r>
    </w:p>
    <w:p w14:paraId="03EA1DA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477FB59B" w14:textId="77777777"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b/>
          <w:kern w:val="0"/>
          <w:szCs w:val="21"/>
        </w:rPr>
        <w:t>四、基金财产的保管</w:t>
      </w:r>
      <w:bookmarkStart w:id="148" w:name="_Toc37159173"/>
      <w:bookmarkStart w:id="149" w:name="_Toc77662997"/>
    </w:p>
    <w:p w14:paraId="0966C86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（一）基金财产保管的原则</w:t>
      </w:r>
    </w:p>
    <w:p w14:paraId="47233A7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基金财产应独立于基金管理人、基金托管人的固有财产。</w:t>
      </w:r>
    </w:p>
    <w:p w14:paraId="2D86A44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基金托管人应按本协议规定安全保管托管财产。未经基金管理人的指令，不得自行运用、处分、分配基金的任何财产（托管人主动扣收的</w:t>
      </w:r>
      <w:proofErr w:type="gramStart"/>
      <w:r>
        <w:rPr>
          <w:rFonts w:ascii="Arial Unicode MS" w:hAnsi="Arial Unicode MS" w:cs="Arial" w:hint="eastAsia"/>
          <w:kern w:val="0"/>
          <w:szCs w:val="21"/>
        </w:rPr>
        <w:t>汇划费除外</w:t>
      </w:r>
      <w:proofErr w:type="gramEnd"/>
      <w:r>
        <w:rPr>
          <w:rFonts w:ascii="Arial Unicode MS" w:hAnsi="Arial Unicode MS" w:cs="Arial" w:hint="eastAsia"/>
          <w:kern w:val="0"/>
          <w:szCs w:val="21"/>
        </w:rPr>
        <w:t>）。托管人不对处于自身实际控制之外的账户及财产承担责任。</w:t>
      </w:r>
    </w:p>
    <w:p w14:paraId="2159D2E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基金托管人按照规定为托管的基金财产开设资金账户和证券账户。</w:t>
      </w:r>
    </w:p>
    <w:p w14:paraId="0DFB97F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基金托管人对所托管的不同基金财产分别设置账户，与基金托管人的其他业务和其他基金的托管业务实行严格的分账管理，确保基金财产的完整与独立。</w:t>
      </w:r>
    </w:p>
    <w:p w14:paraId="0802C31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对于因基金认（申）购、基金投资过程中产生的应收财产，应由基金管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w:t>
      </w:r>
    </w:p>
    <w:p w14:paraId="6D031EB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（二）募集资金的验证</w:t>
      </w:r>
    </w:p>
    <w:p w14:paraId="2BBD8E9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募集期内销售机构按销售与服务代理协议的约定，将认购资金划入基金管理人在具有托管资格的商业银行开设的“富荣基金管理有限公司基金认购专户”。该账户由基金管理人开立并管理。基金募集期满，募集的基金份额总额、基金募集金额、基金份额持有人人数符合《基金法》、《运作办法》等有关规定后，由基金管理人聘请具有从事证券业务资格的会计师事务所进行验资，出具验资报告，出具的验资报告应由参加验资的</w:t>
      </w:r>
      <w:r>
        <w:rPr>
          <w:rFonts w:ascii="Arial Unicode MS" w:hAnsi="Arial Unicode MS" w:cs="Arial" w:hint="eastAsia"/>
          <w:kern w:val="0"/>
          <w:szCs w:val="21"/>
        </w:rPr>
        <w:t>2</w:t>
      </w:r>
      <w:r>
        <w:rPr>
          <w:rFonts w:ascii="Arial Unicode MS" w:hAnsi="Arial Unicode MS" w:cs="Arial" w:hint="eastAsia"/>
          <w:kern w:val="0"/>
          <w:szCs w:val="21"/>
        </w:rPr>
        <w:t>名以上（含</w:t>
      </w:r>
      <w:r>
        <w:rPr>
          <w:rFonts w:ascii="Arial Unicode MS" w:hAnsi="Arial Unicode MS" w:cs="Arial" w:hint="eastAsia"/>
          <w:kern w:val="0"/>
          <w:szCs w:val="21"/>
        </w:rPr>
        <w:t>2</w:t>
      </w:r>
      <w:r>
        <w:rPr>
          <w:rFonts w:ascii="Arial Unicode MS" w:hAnsi="Arial Unicode MS" w:cs="Arial" w:hint="eastAsia"/>
          <w:kern w:val="0"/>
          <w:szCs w:val="21"/>
        </w:rPr>
        <w:t>名）中国注册会计师签字方为有效。验资完成，基金管理人应将募集的属于本基金财产的全部资金划入基金托管人为基金开立的资产托管专户中，并确保划入的资金与</w:t>
      </w:r>
      <w:proofErr w:type="gramStart"/>
      <w:r>
        <w:rPr>
          <w:rFonts w:ascii="Arial Unicode MS" w:hAnsi="Arial Unicode MS" w:cs="Arial" w:hint="eastAsia"/>
          <w:kern w:val="0"/>
          <w:szCs w:val="21"/>
        </w:rPr>
        <w:t>验资金额相</w:t>
      </w:r>
      <w:proofErr w:type="gramEnd"/>
      <w:r>
        <w:rPr>
          <w:rFonts w:ascii="Arial Unicode MS" w:hAnsi="Arial Unicode MS" w:cs="Arial" w:hint="eastAsia"/>
          <w:kern w:val="0"/>
          <w:szCs w:val="21"/>
        </w:rPr>
        <w:t>一致。基金托管人收到有效认购资金当日以书面形式确认资金到账情况，并及时将资金到账凭证传真给基金管理人，双方进行账务处理。</w:t>
      </w:r>
    </w:p>
    <w:p w14:paraId="221447D8" w14:textId="77777777" w:rsidR="004C06C5" w:rsidRDefault="00ED474B">
      <w:pPr>
        <w:adjustRightInd w:val="0"/>
        <w:snapToGrid w:val="0"/>
        <w:spacing w:line="360" w:lineRule="auto"/>
        <w:ind w:firstLineChars="200" w:firstLine="420"/>
        <w:rPr>
          <w:rFonts w:ascii="Arial Unicode MS" w:hAnsi="Arial Unicode MS" w:cs="Arial"/>
          <w:kern w:val="0"/>
          <w:szCs w:val="21"/>
        </w:rPr>
      </w:pP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募集期限届满，未能达到《基金合同》生效的条件，由基金管理人按规定办理退款事宜。</w:t>
      </w:r>
    </w:p>
    <w:p w14:paraId="7F14EF2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（三）基金资产托管专户的开立和管理</w:t>
      </w:r>
    </w:p>
    <w:p w14:paraId="6127822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基金托管人以基金托管人的名义或以基金的名义在其营业机构开设资产托管专户，并根据基金管理人合法合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的有效指令办理资金收付。基金管理人应根据法律法规及托管行的相关要求，提供开户所需的资料并提供其他必要协助。本基金的资产托管专户的预留印鉴的印章由基金托管人、刻制、保管和使用，或使用托管人托管印鉴为预留印鉴。</w:t>
      </w:r>
    </w:p>
    <w:p w14:paraId="43B9346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一切货币收支活动，均需通过基金托管人或基金的资产托管专户进行。基金的资产托管专户的开立和使用，限于满足开展本基金业务的需要。除因本基金业务需要，基金托管人和基金管理人不得假借本基金的名义开立其他任何银行账户；亦不得使用以基金名义开立的银行账户进行本基金业务以外的活动。</w:t>
      </w:r>
    </w:p>
    <w:p w14:paraId="331B9D7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资产托管专户的管理应符合《人民币银行结算账户管理办法》、《现金管理暂行条例》、</w:t>
      </w:r>
      <w:r>
        <w:rPr>
          <w:rFonts w:ascii="Arial Unicode MS" w:hAnsi="Arial Unicode MS" w:cs="Arial" w:hint="eastAsia"/>
          <w:kern w:val="0"/>
          <w:szCs w:val="21"/>
        </w:rPr>
        <w:lastRenderedPageBreak/>
        <w:t>《人民币利率管理规定》、《利率管理暂行规定》、《支付结算办法》以及银行业监督管理机构的其他有关规定。</w:t>
      </w:r>
    </w:p>
    <w:p w14:paraId="4574E6D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（四）基金证券账户与证券交易资金账户的开设和管理</w:t>
      </w:r>
    </w:p>
    <w:p w14:paraId="30C80B8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基金托管人以基金托管人和本基金联名的方式在中国证券登记结算有限公司上海分公司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深圳分公司开立专门的证券账户。</w:t>
      </w:r>
    </w:p>
    <w:p w14:paraId="056E78C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基金证券账户的开立和使用，限于满足开展本基金业务的需要。基金托管人和基金管理人不得出借和未经对方同意擅自转让本基金的任何证券账户；亦不得使用本基金的任何证券账户进行本基金业务以外的活动。</w:t>
      </w:r>
    </w:p>
    <w:p w14:paraId="7A1C627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基金证券账户的开立由基金托管人负责，管理和运用由基金管理人负责。</w:t>
      </w:r>
    </w:p>
    <w:p w14:paraId="2DFAC9A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基金托管人保管证券账户卡原件。</w:t>
      </w:r>
    </w:p>
    <w:p w14:paraId="0916AB5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基金托管人以基金托管人的名义在中国证券登记结算有限责任公司上海分公司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开立结算备付金账户，基金托管人代表所托管的基金完成与中国证券登记结算有限责任公司的一级法人清算工作，基金管理人应予以积极协助。结算备付金、证券结算保证金等的收取按照中国证券登记结算有限责任公司的规定和基金托管人为履行结算参与人的义务所制定的业务规则执行。</w:t>
      </w:r>
    </w:p>
    <w:p w14:paraId="45B8E24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（五）银行间市场债券托管和资金结算专户的开立和管理及市场准入备案</w:t>
      </w:r>
    </w:p>
    <w:p w14:paraId="60CCBEC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在符合监管机构要求的情况下，基金管理人负责以基金的名义申请并取得进入全国银行间同业拆借市场的交易资格，并代表基金进行交易；基金托管人根据中国人民银行、中央国债登记结算有限责任公司、银行间市场清算所股份有限公司的有关规定，以本基金的名义分别在中央国债登记结算有限责任公司、银行间市场清算所股份有限公司开立债券托管账户和资金结算账户，并代表基金进行银行间市场债券交易的结算。基金管理人和基金托管人应共同负责完成银行间债券市场准入备案。</w:t>
      </w:r>
    </w:p>
    <w:p w14:paraId="29C029C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（六）其他账户的开设和管理</w:t>
      </w:r>
    </w:p>
    <w:p w14:paraId="4C10257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因业务发展而需要开立的其它账户，可以根据《基金合同》或有关法律法规的规定，经基金管理人和基金托管人协商一致后，由基金托管人负责为基金开立。新账户按有关规则使用并管理。</w:t>
      </w:r>
    </w:p>
    <w:p w14:paraId="227B16F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法律、法规等有关规定对相关账户的开立和管理另有规定的，从其规定办理。</w:t>
      </w:r>
    </w:p>
    <w:p w14:paraId="672C9A1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（七）基金投资银行存款账户的开立和管理</w:t>
      </w:r>
    </w:p>
    <w:p w14:paraId="351FF2B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基金投资银行定期存款，基金管理人与基金托管人应比照证监会《货币市场基金监督管理办法》的规定，就本基金投资银行存款业务签订书面协议。</w:t>
      </w:r>
    </w:p>
    <w:p w14:paraId="25B0381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基金投资银行定期存款应由基金管理人与存款银行总行或其授权分行签订总体合作协议，并将资金存放于存款银行总行或其授权分行指定的分支机构。</w:t>
      </w:r>
    </w:p>
    <w:p w14:paraId="7463C43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存款账户必须以基金名义开立，账户名称为基金名称，存款账户开户文件上加盖预留印</w:t>
      </w:r>
      <w:r>
        <w:rPr>
          <w:rFonts w:ascii="Arial Unicode MS" w:hAnsi="Arial Unicode MS" w:cs="Arial" w:hint="eastAsia"/>
          <w:kern w:val="0"/>
          <w:szCs w:val="21"/>
        </w:rPr>
        <w:lastRenderedPageBreak/>
        <w:t>鉴及基金管理人公章。</w:t>
      </w:r>
    </w:p>
    <w:p w14:paraId="326C066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本基金投资银行存款时，基金管理人应当与存款银行签订具体存款协议，明确存款的类型、期限、利率、金额、账号、对账方式、支取方式、账户管理等细则。</w:t>
      </w:r>
    </w:p>
    <w:p w14:paraId="753E070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为防范特殊情况下的流动性风险，定期存款协议中应当约定提前支取条款。</w:t>
      </w:r>
    </w:p>
    <w:p w14:paraId="679FF26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基金所投资定期存款存续期间，基金管理人、基金托管人应当与存款银行建立定期对账机制，确保基金银行存款业务账目及核对的真实、准确。</w:t>
      </w:r>
    </w:p>
    <w:p w14:paraId="7E22497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（八）基金财产投资的有关实物证券、银行定期存款存单等有价凭证的保管</w:t>
      </w:r>
    </w:p>
    <w:p w14:paraId="0469D02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基金财产投资的有关实物证券由基金托管人存放于基金托管人的保管库；其中实物证券也可存入中央国债登记结算有限责任公司或中国证券登记结算有限责任公司上海分公司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实物证券、银行定期存款存单对应的财产不承担保管责任。</w:t>
      </w:r>
    </w:p>
    <w:p w14:paraId="6A62FAF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（九）与基金财产有关的重大合同的保管</w:t>
      </w:r>
    </w:p>
    <w:p w14:paraId="724312F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基金托管人至少各持有一份正本的原件。基金管理人在合同签署后</w:t>
      </w:r>
      <w:r>
        <w:rPr>
          <w:rFonts w:ascii="Arial Unicode MS" w:hAnsi="Arial Unicode MS" w:cs="Arial" w:hint="eastAsia"/>
          <w:kern w:val="0"/>
          <w:szCs w:val="21"/>
        </w:rPr>
        <w:t>5</w:t>
      </w:r>
      <w:r>
        <w:rPr>
          <w:rFonts w:ascii="Arial Unicode MS" w:hAnsi="Arial Unicode MS" w:cs="Arial" w:hint="eastAsia"/>
          <w:kern w:val="0"/>
          <w:szCs w:val="21"/>
        </w:rPr>
        <w:t>个工作日内通过专人送达、挂号邮寄等安全方式将合同原件送达基金托管人处。合同原件应存放于基金管理人和基金托管人各自文件保管部门</w:t>
      </w:r>
      <w:r>
        <w:rPr>
          <w:rFonts w:ascii="Arial Unicode MS" w:hAnsi="Arial Unicode MS" w:cs="Arial" w:hint="eastAsia"/>
          <w:kern w:val="0"/>
          <w:szCs w:val="21"/>
        </w:rPr>
        <w:t>15</w:t>
      </w:r>
      <w:r>
        <w:rPr>
          <w:rFonts w:ascii="Arial Unicode MS" w:hAnsi="Arial Unicode MS" w:cs="Arial" w:hint="eastAsia"/>
          <w:kern w:val="0"/>
          <w:szCs w:val="21"/>
        </w:rPr>
        <w:t>年以上。</w:t>
      </w:r>
    </w:p>
    <w:bookmarkEnd w:id="148"/>
    <w:bookmarkEnd w:id="149"/>
    <w:p w14:paraId="123CBA19" w14:textId="77777777"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50" w:name="_Toc77663017"/>
    </w:p>
    <w:bookmarkEnd w:id="150"/>
    <w:p w14:paraId="3EBC157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（一）基金资产净值的计算、复核的时间和程序</w:t>
      </w:r>
    </w:p>
    <w:p w14:paraId="5091566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基金资产净值是指基金资产总值减去负债后的价值。基金份额净值是指计算日基金资产净值除以该计算日基金份额总份额后的数值。基金份额净值的计算保留到小数点后</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 xml:space="preserve">  </w:t>
      </w:r>
      <w:r>
        <w:rPr>
          <w:rFonts w:ascii="Arial Unicode MS" w:hAnsi="Arial Unicode MS" w:cs="Arial" w:hint="eastAsia"/>
          <w:kern w:val="0"/>
          <w:szCs w:val="21"/>
        </w:rPr>
        <w:t>，小数点后第</w:t>
      </w:r>
      <w:r>
        <w:rPr>
          <w:rFonts w:ascii="Arial Unicode MS" w:hAnsi="Arial Unicode MS" w:cs="Arial" w:hint="eastAsia"/>
          <w:kern w:val="0"/>
          <w:szCs w:val="21"/>
        </w:rPr>
        <w:t>5</w:t>
      </w:r>
      <w:r>
        <w:rPr>
          <w:rFonts w:ascii="Arial Unicode MS" w:hAnsi="Arial Unicode MS" w:cs="Arial" w:hint="eastAsia"/>
          <w:kern w:val="0"/>
          <w:szCs w:val="21"/>
        </w:rPr>
        <w:t>位四舍五入，由此产生的误差计入基金财产。</w:t>
      </w:r>
    </w:p>
    <w:p w14:paraId="72AC2F7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每个工作日，基金管理人应对基金资产估值。估值原则应符合《基金合同》、《证券投资基金会计核算业务指引》及其他法律、法规的规定。用于基金信息披露的基金资产净值和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52A4D83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根据《基金法》，基金管理人计算并公告基金资产净值，基金托管人复核、审查基金管理人计算的基金资产净值。本基金的会计责任方是基金管理人，就与本基金有关的会计问题，</w:t>
      </w:r>
      <w:r>
        <w:rPr>
          <w:rFonts w:ascii="Arial Unicode MS" w:hAnsi="Arial Unicode MS" w:cs="Arial" w:hint="eastAsia"/>
          <w:kern w:val="0"/>
          <w:szCs w:val="21"/>
        </w:rPr>
        <w:lastRenderedPageBreak/>
        <w:t>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1907B1F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（二）基金资产估值方法</w:t>
      </w:r>
    </w:p>
    <w:p w14:paraId="574401F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1. </w:t>
      </w:r>
      <w:r>
        <w:rPr>
          <w:rFonts w:ascii="Arial Unicode MS" w:hAnsi="Arial Unicode MS" w:cs="Arial" w:hint="eastAsia"/>
          <w:kern w:val="0"/>
          <w:szCs w:val="21"/>
        </w:rPr>
        <w:t>估值日</w:t>
      </w:r>
    </w:p>
    <w:p w14:paraId="670D20E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本基金的估值日为本基金相关的证券交易场所的交易日以及国家法律法规规定需要对外披露基金净值的</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日。</w:t>
      </w:r>
    </w:p>
    <w:p w14:paraId="7DB3F72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估值对象</w:t>
      </w:r>
    </w:p>
    <w:p w14:paraId="7C1DD76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基金所拥有的股票、债券、权证、期货合约和银行存款本息、应收款项、其它投资等资产及负债。</w:t>
      </w:r>
    </w:p>
    <w:p w14:paraId="1FDD7FD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估值方法</w:t>
      </w:r>
    </w:p>
    <w:p w14:paraId="0F7DDA2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本基金的估值方法为：</w:t>
      </w:r>
    </w:p>
    <w:p w14:paraId="6A26165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）证券交易所上市的有价证券的估值</w:t>
      </w:r>
    </w:p>
    <w:p w14:paraId="5233756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①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B2B9E9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②交易所上市交易或挂牌转让的固定收益品种（本合同另有规定的除外），选取估值日第三方估值机构提供的相应品种对应的估值净价估值，具体估值机构由基金管理人与托管人另行协商约定；</w:t>
      </w:r>
    </w:p>
    <w:p w14:paraId="736F430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③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E6BEE7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④交易所上市不存在活跃市场的有价证券，采用估值技术确定公允价值。交易所上市的资产支持证券，采用估值技术确定公允价值，在估值技术难以可靠计量公允价值的情况下，按成本估值。</w:t>
      </w:r>
    </w:p>
    <w:p w14:paraId="5DA718D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）首次公开发行未上市的债券，采用估值技术确定公允价值，在估值技术难以可靠计量公允价值的情况下，按成本估值。</w:t>
      </w:r>
    </w:p>
    <w:p w14:paraId="6E70443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3</w:t>
      </w:r>
      <w:r>
        <w:rPr>
          <w:rFonts w:ascii="Arial Unicode MS" w:hAnsi="Arial Unicode MS" w:cs="Arial" w:hint="eastAsia"/>
          <w:kern w:val="0"/>
          <w:szCs w:val="21"/>
        </w:rPr>
        <w:t>）全国银行间债券市场交易的债券、资产支持证券等固定收益品种，采用估值技术确定公允价值。</w:t>
      </w:r>
    </w:p>
    <w:p w14:paraId="63F5216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）同一债券同时在两个或两个以上市场交易的，按债券所处的市场分别估值。</w:t>
      </w:r>
    </w:p>
    <w:p w14:paraId="4E106F1F"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）中小企业私募债券，采用估值技术确定公允价值。在估值技术难以可靠计量公允价值的情况下，按成本估值。</w:t>
      </w:r>
    </w:p>
    <w:p w14:paraId="6783E34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）国债期货合约按照结算价估值，如估值日无结算价且最近交易日后经济环境未发生重大变化，按最近交易日结算价估值。</w:t>
      </w:r>
    </w:p>
    <w:p w14:paraId="49B24380" w14:textId="77777777" w:rsidR="004C06C5" w:rsidRDefault="00ED474B">
      <w:pPr>
        <w:autoSpaceDE w:val="0"/>
        <w:autoSpaceDN w:val="0"/>
        <w:spacing w:line="360" w:lineRule="auto"/>
        <w:ind w:firstLineChars="200" w:firstLine="420"/>
        <w:textAlignment w:val="bottom"/>
        <w:rPr>
          <w:rFonts w:asciiTheme="minorEastAsia" w:eastAsiaTheme="minorEastAsia" w:hAnsiTheme="minorEastAsia"/>
          <w:bCs/>
          <w:szCs w:val="21"/>
        </w:rPr>
      </w:pPr>
      <w:r>
        <w:rPr>
          <w:rFonts w:asciiTheme="minorEastAsia" w:eastAsiaTheme="minorEastAsia" w:hAnsiTheme="minorEastAsia" w:hint="eastAsia"/>
          <w:bCs/>
          <w:szCs w:val="21"/>
        </w:rPr>
        <w:t>（</w:t>
      </w:r>
      <w:r>
        <w:rPr>
          <w:rFonts w:asciiTheme="minorEastAsia" w:eastAsiaTheme="minorEastAsia" w:hAnsiTheme="minorEastAsia"/>
          <w:bCs/>
          <w:szCs w:val="21"/>
        </w:rPr>
        <w:t>7</w:t>
      </w:r>
      <w:r>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14:paraId="56D46E4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8</w:t>
      </w:r>
      <w:r>
        <w:rPr>
          <w:rFonts w:ascii="Arial Unicode MS" w:hAnsi="Arial Unicode MS" w:cs="Arial" w:hint="eastAsia"/>
          <w:kern w:val="0"/>
          <w:szCs w:val="21"/>
        </w:rPr>
        <w:t>）如有确凿证据表明按上述方法进行估值不能客观反映其公允价值的，基金管理人可根据具体情况与基金托管人商定后，按最能反映公允价值的价格估值。</w:t>
      </w:r>
    </w:p>
    <w:p w14:paraId="2E96648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9</w:t>
      </w:r>
      <w:r>
        <w:rPr>
          <w:rFonts w:ascii="Arial Unicode MS" w:hAnsi="Arial Unicode MS" w:cs="Arial" w:hint="eastAsia"/>
          <w:kern w:val="0"/>
          <w:szCs w:val="21"/>
        </w:rPr>
        <w:t>）相关法律法规以及监管部门有强制规定的，从其规定。如有新增事项，按国家最新规定估值。</w:t>
      </w:r>
    </w:p>
    <w:p w14:paraId="5A9BF36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BD668A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B79902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（三）估值程序</w:t>
      </w:r>
    </w:p>
    <w:p w14:paraId="619C1EE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各类基金份额净值是按照每个工作日闭市后，基金资产净值除以当日该类基金份额的余额数量计算，精确到</w:t>
      </w:r>
      <w:r>
        <w:rPr>
          <w:rFonts w:ascii="Arial Unicode MS" w:hAnsi="Arial Unicode MS" w:cs="Arial" w:hint="eastAsia"/>
          <w:kern w:val="0"/>
          <w:szCs w:val="21"/>
        </w:rPr>
        <w:t>0.0001</w:t>
      </w:r>
      <w:r>
        <w:rPr>
          <w:rFonts w:ascii="Arial Unicode MS" w:hAnsi="Arial Unicode MS" w:cs="Arial" w:hint="eastAsia"/>
          <w:kern w:val="0"/>
          <w:szCs w:val="21"/>
        </w:rPr>
        <w:t>元，小数点后第</w:t>
      </w:r>
      <w:r>
        <w:rPr>
          <w:rFonts w:ascii="Arial Unicode MS" w:hAnsi="Arial Unicode MS" w:cs="Arial" w:hint="eastAsia"/>
          <w:kern w:val="0"/>
          <w:szCs w:val="21"/>
        </w:rPr>
        <w:t>5</w:t>
      </w:r>
      <w:r>
        <w:rPr>
          <w:rFonts w:ascii="Arial Unicode MS" w:hAnsi="Arial Unicode MS" w:cs="Arial" w:hint="eastAsia"/>
          <w:kern w:val="0"/>
          <w:szCs w:val="21"/>
        </w:rPr>
        <w:t>位四舍五入。国家另有规定的，从其规定。</w:t>
      </w:r>
    </w:p>
    <w:p w14:paraId="3D5B667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基金管理人每个工作日计算基金资产净值及各类基金份额净值，并按规定公告。</w:t>
      </w:r>
    </w:p>
    <w:p w14:paraId="7677443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w:t>
      </w:r>
      <w:proofErr w:type="gramStart"/>
      <w:r>
        <w:rPr>
          <w:rFonts w:ascii="Arial Unicode MS" w:hAnsi="Arial Unicode MS" w:cs="Arial" w:hint="eastAsia"/>
          <w:kern w:val="0"/>
          <w:szCs w:val="21"/>
        </w:rPr>
        <w:t>应每个</w:t>
      </w:r>
      <w:proofErr w:type="gramEnd"/>
      <w:r>
        <w:rPr>
          <w:rFonts w:ascii="Arial Unicode MS" w:hAnsi="Arial Unicode MS" w:cs="Arial" w:hint="eastAsia"/>
          <w:kern w:val="0"/>
          <w:szCs w:val="21"/>
        </w:rPr>
        <w:t>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5881C3E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（四）估值错误的处理</w:t>
      </w:r>
    </w:p>
    <w:p w14:paraId="05457CE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Pr>
          <w:rFonts w:ascii="Arial Unicode MS" w:hAnsi="Arial Unicode MS" w:cs="Arial" w:hint="eastAsia"/>
          <w:kern w:val="0"/>
          <w:szCs w:val="21"/>
        </w:rPr>
        <w:t>4</w:t>
      </w:r>
      <w:r>
        <w:rPr>
          <w:rFonts w:ascii="Arial Unicode MS" w:hAnsi="Arial Unicode MS" w:cs="Arial" w:hint="eastAsia"/>
          <w:kern w:val="0"/>
          <w:szCs w:val="21"/>
        </w:rPr>
        <w:t>位以内</w:t>
      </w:r>
      <w:r>
        <w:rPr>
          <w:rFonts w:ascii="Arial Unicode MS" w:hAnsi="Arial Unicode MS" w:cs="Arial" w:hint="eastAsia"/>
          <w:kern w:val="0"/>
          <w:szCs w:val="21"/>
        </w:rPr>
        <w:t>(</w:t>
      </w:r>
      <w:r>
        <w:rPr>
          <w:rFonts w:ascii="Arial Unicode MS" w:hAnsi="Arial Unicode MS" w:cs="Arial" w:hint="eastAsia"/>
          <w:kern w:val="0"/>
          <w:szCs w:val="21"/>
        </w:rPr>
        <w:t>含第</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w:t>
      </w:r>
      <w:r>
        <w:rPr>
          <w:rFonts w:ascii="Arial Unicode MS" w:hAnsi="Arial Unicode MS" w:cs="Arial" w:hint="eastAsia"/>
          <w:kern w:val="0"/>
          <w:szCs w:val="21"/>
        </w:rPr>
        <w:t>发生估值错误时，视为该类基金份额净值错误。</w:t>
      </w:r>
    </w:p>
    <w:p w14:paraId="55D5EA7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本基金合同的当事人应按照以下约定处理：</w:t>
      </w:r>
    </w:p>
    <w:p w14:paraId="0A9169D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估值错误类型</w:t>
      </w:r>
    </w:p>
    <w:p w14:paraId="0796524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的直接损失按下述“估值错误处理原则”给予赔偿，承担赔偿责任。</w:t>
      </w:r>
    </w:p>
    <w:p w14:paraId="2CDFE46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上述估值错误的主要类型包括但不限于：资料申报差错、数据传输差错、数据计算差错、系统故障差错、下达指令差错等。</w:t>
      </w:r>
    </w:p>
    <w:p w14:paraId="244954F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估值错误处理原则</w:t>
      </w:r>
    </w:p>
    <w:p w14:paraId="2C4DB85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CA599F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14:paraId="380FEFE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返还或不全部返还不当得利造成其他当事人的利益损失</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672FE4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）估值错误调整采用尽量恢复至假设未发生估值错误的正确情形的方式。</w:t>
      </w:r>
    </w:p>
    <w:p w14:paraId="1490EA3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估值错误处理程序</w:t>
      </w:r>
    </w:p>
    <w:p w14:paraId="167526D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估值错误被发现后，有关的当事人应当及时进行处理，处理的程序如下：</w:t>
      </w:r>
    </w:p>
    <w:p w14:paraId="275F625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）查明估值错误发生的原因，列明所有的当事人，并根据估值错误发生的原因确定估值错误的责任方；</w:t>
      </w:r>
    </w:p>
    <w:p w14:paraId="114D715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）根据估值错误处理原则或当事人协商的方法对因估值错误造成的损失进行评估；</w:t>
      </w:r>
    </w:p>
    <w:p w14:paraId="6301CB2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）根据估值错误处理原则或当事人协商的方法由估值错误的责任方进行更正和赔偿</w:t>
      </w:r>
      <w:r>
        <w:rPr>
          <w:rFonts w:ascii="Arial Unicode MS" w:hAnsi="Arial Unicode MS" w:cs="Arial" w:hint="eastAsia"/>
          <w:kern w:val="0"/>
          <w:szCs w:val="21"/>
        </w:rPr>
        <w:lastRenderedPageBreak/>
        <w:t>损失；</w:t>
      </w:r>
    </w:p>
    <w:p w14:paraId="56DA977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14:paraId="1AF282D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基金份额净值估值错误处理的方法如下：</w:t>
      </w:r>
    </w:p>
    <w:p w14:paraId="6491F8D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）基金份额净值计算出现错误时，基金管理人应当立即予以纠正，通报基金托管人，并采取合理的措施防止损失进一步扩大。</w:t>
      </w:r>
    </w:p>
    <w:p w14:paraId="4F04840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）错误偏差达到该类基金份额净值的</w:t>
      </w:r>
      <w:r>
        <w:rPr>
          <w:rFonts w:ascii="Arial Unicode MS" w:hAnsi="Arial Unicode MS" w:cs="Arial" w:hint="eastAsia"/>
          <w:kern w:val="0"/>
          <w:szCs w:val="21"/>
        </w:rPr>
        <w:t>0.25%</w:t>
      </w:r>
      <w:r>
        <w:rPr>
          <w:rFonts w:ascii="Arial Unicode MS" w:hAnsi="Arial Unicode MS" w:cs="Arial" w:hint="eastAsia"/>
          <w:kern w:val="0"/>
          <w:szCs w:val="21"/>
        </w:rPr>
        <w:t>时，基金管理人应当通报基金托管人并报中国证监会备案；错误偏差达到该类基金份额净值的</w:t>
      </w:r>
      <w:r>
        <w:rPr>
          <w:rFonts w:ascii="Arial Unicode MS" w:hAnsi="Arial Unicode MS" w:cs="Arial" w:hint="eastAsia"/>
          <w:kern w:val="0"/>
          <w:szCs w:val="21"/>
        </w:rPr>
        <w:t>0.5%</w:t>
      </w:r>
      <w:r>
        <w:rPr>
          <w:rFonts w:ascii="Arial Unicode MS" w:hAnsi="Arial Unicode MS" w:cs="Arial" w:hint="eastAsia"/>
          <w:kern w:val="0"/>
          <w:szCs w:val="21"/>
        </w:rPr>
        <w:t>时，基金管理人应当公告。</w:t>
      </w:r>
    </w:p>
    <w:p w14:paraId="7B491F2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）前述内容如法律法规或监管机关另有规定的，从其规定处理。</w:t>
      </w:r>
    </w:p>
    <w:p w14:paraId="3F3C567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（五）暂停估值的情形</w:t>
      </w:r>
    </w:p>
    <w:p w14:paraId="08CDB12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1. </w:t>
      </w:r>
      <w:r>
        <w:rPr>
          <w:rFonts w:ascii="Arial Unicode MS" w:hAnsi="Arial Unicode MS" w:cs="Arial" w:hint="eastAsia"/>
          <w:kern w:val="0"/>
          <w:szCs w:val="21"/>
        </w:rPr>
        <w:t>基金投资所涉及的证券交易市场遇法定节假日或因其他原因暂停营业时；</w:t>
      </w:r>
    </w:p>
    <w:p w14:paraId="561104A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因不可抗力致使基金管理人、基金托管人无法准确评估基金资产价值时；</w:t>
      </w:r>
    </w:p>
    <w:p w14:paraId="65ED117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中国证监会和基金合同认定的其它情形。</w:t>
      </w:r>
    </w:p>
    <w:p w14:paraId="52C44AB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（六）基金账册的建立</w:t>
      </w:r>
    </w:p>
    <w:p w14:paraId="4F74113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32C4918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3A0F5370"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（七）基金定期报告的编制和复核</w:t>
      </w:r>
    </w:p>
    <w:p w14:paraId="7900CB6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基金财务报表由基金管理人和基金托管人每</w:t>
      </w:r>
      <w:proofErr w:type="gramStart"/>
      <w:r>
        <w:rPr>
          <w:rFonts w:ascii="Arial Unicode MS" w:hAnsi="Arial Unicode MS" w:cs="Arial" w:hint="eastAsia"/>
          <w:kern w:val="0"/>
          <w:szCs w:val="21"/>
        </w:rPr>
        <w:t>月分别独立</w:t>
      </w:r>
      <w:proofErr w:type="gramEnd"/>
      <w:r>
        <w:rPr>
          <w:rFonts w:ascii="Arial Unicode MS" w:hAnsi="Arial Unicode MS" w:cs="Arial" w:hint="eastAsia"/>
          <w:kern w:val="0"/>
          <w:szCs w:val="21"/>
        </w:rPr>
        <w:t>编制。月度报表的编制，应于每月终了后</w:t>
      </w:r>
      <w:r>
        <w:rPr>
          <w:rFonts w:ascii="Arial Unicode MS" w:hAnsi="Arial Unicode MS" w:cs="Arial" w:hint="eastAsia"/>
          <w:kern w:val="0"/>
          <w:szCs w:val="21"/>
        </w:rPr>
        <w:t>5</w:t>
      </w:r>
      <w:r>
        <w:rPr>
          <w:rFonts w:ascii="Arial Unicode MS" w:hAnsi="Arial Unicode MS" w:cs="Arial" w:hint="eastAsia"/>
          <w:kern w:val="0"/>
          <w:szCs w:val="21"/>
        </w:rPr>
        <w:t>个工作日内完成。</w:t>
      </w:r>
    </w:p>
    <w:p w14:paraId="2E87EE7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在《基金合同》生效后每六个月结束之日起</w:t>
      </w:r>
      <w:r>
        <w:rPr>
          <w:rFonts w:ascii="Arial Unicode MS" w:hAnsi="Arial Unicode MS" w:cs="Arial" w:hint="eastAsia"/>
          <w:kern w:val="0"/>
          <w:szCs w:val="21"/>
        </w:rPr>
        <w:t>45</w:t>
      </w:r>
      <w:r>
        <w:rPr>
          <w:rFonts w:ascii="Arial Unicode MS" w:hAnsi="Arial Unicode MS" w:cs="Arial" w:hint="eastAsia"/>
          <w:kern w:val="0"/>
          <w:szCs w:val="21"/>
        </w:rPr>
        <w:t>日内，基金管理人对招募说明书更新一次并登载在网站上，并将更新后的招募说明书摘要登载在指定媒体上。基金管理人在每个季度结束之日起</w:t>
      </w:r>
      <w:r>
        <w:rPr>
          <w:rFonts w:ascii="Arial Unicode MS" w:hAnsi="Arial Unicode MS" w:cs="Arial" w:hint="eastAsia"/>
          <w:kern w:val="0"/>
          <w:szCs w:val="21"/>
        </w:rPr>
        <w:t>15</w:t>
      </w:r>
      <w:r>
        <w:rPr>
          <w:rFonts w:ascii="Arial Unicode MS" w:hAnsi="Arial Unicode MS" w:cs="Arial" w:hint="eastAsia"/>
          <w:kern w:val="0"/>
          <w:szCs w:val="21"/>
        </w:rPr>
        <w:t>个工作日内完成季度报告编制并公告；在会计年度半年终了后两个月内完成中期报告编制并公告；在会计年度结束后三个月内完成年度报告编制并公告。</w:t>
      </w:r>
    </w:p>
    <w:p w14:paraId="2FD4CA3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基金管理人在</w:t>
      </w:r>
      <w:r>
        <w:rPr>
          <w:rFonts w:ascii="Arial Unicode MS" w:hAnsi="Arial Unicode MS" w:cs="Arial" w:hint="eastAsia"/>
          <w:kern w:val="0"/>
          <w:szCs w:val="21"/>
        </w:rPr>
        <w:t>5</w:t>
      </w:r>
      <w:r>
        <w:rPr>
          <w:rFonts w:ascii="Arial Unicode MS" w:hAnsi="Arial Unicode MS" w:cs="Arial" w:hint="eastAsia"/>
          <w:kern w:val="0"/>
          <w:szCs w:val="21"/>
        </w:rPr>
        <w:t>个工作日内完成月度报告，在月度报告完成当日，对报告加盖公章后，</w:t>
      </w:r>
      <w:r>
        <w:rPr>
          <w:rFonts w:ascii="Arial Unicode MS" w:hAnsi="Arial Unicode MS" w:cs="Arial" w:hint="eastAsia"/>
          <w:kern w:val="0"/>
          <w:szCs w:val="21"/>
        </w:rPr>
        <w:lastRenderedPageBreak/>
        <w:t>以加密传真方式将有关报告提供基金托管人复核；基金托管人在</w:t>
      </w:r>
      <w:r>
        <w:rPr>
          <w:rFonts w:ascii="Arial Unicode MS" w:hAnsi="Arial Unicode MS" w:cs="Arial" w:hint="eastAsia"/>
          <w:kern w:val="0"/>
          <w:szCs w:val="21"/>
        </w:rPr>
        <w:t>3</w:t>
      </w:r>
      <w:r>
        <w:rPr>
          <w:rFonts w:ascii="Arial Unicode MS" w:hAnsi="Arial Unicode MS" w:cs="Arial" w:hint="eastAsia"/>
          <w:kern w:val="0"/>
          <w:szCs w:val="21"/>
        </w:rPr>
        <w:t>个工作日内进行复核，并将复核结果及时书面通知基金管理人。基金管理人在</w:t>
      </w:r>
      <w:r>
        <w:rPr>
          <w:rFonts w:ascii="Arial Unicode MS" w:hAnsi="Arial Unicode MS" w:cs="Arial" w:hint="eastAsia"/>
          <w:kern w:val="0"/>
          <w:szCs w:val="21"/>
        </w:rPr>
        <w:t>7</w:t>
      </w:r>
      <w:r>
        <w:rPr>
          <w:rFonts w:ascii="Arial Unicode MS" w:hAnsi="Arial Unicode MS" w:cs="Arial" w:hint="eastAsia"/>
          <w:kern w:val="0"/>
          <w:szCs w:val="21"/>
        </w:rPr>
        <w:t>个工作日内完成季度报告，在季度报告完成当日，将有关报告提供基金托管人复核，基金托管人在收到后</w:t>
      </w:r>
      <w:r>
        <w:rPr>
          <w:rFonts w:ascii="Arial Unicode MS" w:hAnsi="Arial Unicode MS" w:cs="Arial" w:hint="eastAsia"/>
          <w:kern w:val="0"/>
          <w:szCs w:val="21"/>
        </w:rPr>
        <w:t>7</w:t>
      </w:r>
      <w:r>
        <w:rPr>
          <w:rFonts w:ascii="Arial Unicode MS" w:hAnsi="Arial Unicode MS" w:cs="Arial" w:hint="eastAsia"/>
          <w:kern w:val="0"/>
          <w:szCs w:val="21"/>
        </w:rPr>
        <w:t>个工作日内进行复核，并将复核结果书面通知基金管理人。基金管理人在</w:t>
      </w:r>
      <w:r>
        <w:rPr>
          <w:rFonts w:ascii="Arial Unicode MS" w:hAnsi="Arial Unicode MS" w:cs="Arial" w:hint="eastAsia"/>
          <w:kern w:val="0"/>
          <w:szCs w:val="21"/>
        </w:rPr>
        <w:t>30</w:t>
      </w:r>
      <w:r>
        <w:rPr>
          <w:rFonts w:ascii="Arial Unicode MS" w:hAnsi="Arial Unicode MS" w:cs="Arial" w:hint="eastAsia"/>
          <w:kern w:val="0"/>
          <w:szCs w:val="21"/>
        </w:rPr>
        <w:t>日内完成半年度报告，在中期</w:t>
      </w:r>
      <w:proofErr w:type="gramStart"/>
      <w:r>
        <w:rPr>
          <w:rFonts w:ascii="Arial Unicode MS" w:hAnsi="Arial Unicode MS" w:cs="Arial" w:hint="eastAsia"/>
          <w:kern w:val="0"/>
          <w:szCs w:val="21"/>
        </w:rPr>
        <w:t>报完成</w:t>
      </w:r>
      <w:proofErr w:type="gramEnd"/>
      <w:r>
        <w:rPr>
          <w:rFonts w:ascii="Arial Unicode MS" w:hAnsi="Arial Unicode MS" w:cs="Arial" w:hint="eastAsia"/>
          <w:kern w:val="0"/>
          <w:szCs w:val="21"/>
        </w:rPr>
        <w:t>当日，将有关报告提供基金托管人复核，基金托管人在收到后</w:t>
      </w:r>
      <w:r>
        <w:rPr>
          <w:rFonts w:ascii="Arial Unicode MS" w:hAnsi="Arial Unicode MS" w:cs="Arial" w:hint="eastAsia"/>
          <w:kern w:val="0"/>
          <w:szCs w:val="21"/>
        </w:rPr>
        <w:t>30</w:t>
      </w:r>
      <w:r>
        <w:rPr>
          <w:rFonts w:ascii="Arial Unicode MS" w:hAnsi="Arial Unicode MS" w:cs="Arial" w:hint="eastAsia"/>
          <w:kern w:val="0"/>
          <w:szCs w:val="21"/>
        </w:rPr>
        <w:t>日内进行复核，并将复核结果书面通知基金管理人。基金管理人在</w:t>
      </w:r>
      <w:r>
        <w:rPr>
          <w:rFonts w:ascii="Arial Unicode MS" w:hAnsi="Arial Unicode MS" w:cs="Arial" w:hint="eastAsia"/>
          <w:kern w:val="0"/>
          <w:szCs w:val="21"/>
        </w:rPr>
        <w:t>45</w:t>
      </w:r>
      <w:r>
        <w:rPr>
          <w:rFonts w:ascii="Arial Unicode MS" w:hAnsi="Arial Unicode MS" w:cs="Arial" w:hint="eastAsia"/>
          <w:kern w:val="0"/>
          <w:szCs w:val="21"/>
        </w:rPr>
        <w:t>日内完成年度报告，在年度报告完成当日，将有关报告提供基金托管人复核，基金托管人在收到后</w:t>
      </w:r>
      <w:r>
        <w:rPr>
          <w:rFonts w:ascii="Arial Unicode MS" w:hAnsi="Arial Unicode MS" w:cs="Arial" w:hint="eastAsia"/>
          <w:kern w:val="0"/>
          <w:szCs w:val="21"/>
        </w:rPr>
        <w:t>45</w:t>
      </w:r>
      <w:r>
        <w:rPr>
          <w:rFonts w:ascii="Arial Unicode MS" w:hAnsi="Arial Unicode MS" w:cs="Arial" w:hint="eastAsia"/>
          <w:kern w:val="0"/>
          <w:szCs w:val="21"/>
        </w:rPr>
        <w:t>日内复核，并将复核结果书面通知基金管理人。</w:t>
      </w:r>
    </w:p>
    <w:p w14:paraId="115E582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在复核过程中，发现相关各方的报表存在不符时，基金管理人和基金托管人应共同查明原因，进行调整，调整以相关各方认可的账务处理方式为准。核对无误后，基金托管人在基金管理人提供的报告上加盖印鉴或者出具加盖托管业务部门业务章的复核意见书，相关各方各自留存一份。如果基金管理人与基金托管人不能</w:t>
      </w:r>
      <w:proofErr w:type="gramStart"/>
      <w:r>
        <w:rPr>
          <w:rFonts w:ascii="Arial Unicode MS" w:hAnsi="Arial Unicode MS" w:cs="Arial" w:hint="eastAsia"/>
          <w:kern w:val="0"/>
          <w:szCs w:val="21"/>
        </w:rPr>
        <w:t>于应当</w:t>
      </w:r>
      <w:proofErr w:type="gramEnd"/>
      <w:r>
        <w:rPr>
          <w:rFonts w:ascii="Arial Unicode MS" w:hAnsi="Arial Unicode MS" w:cs="Arial" w:hint="eastAsia"/>
          <w:kern w:val="0"/>
          <w:szCs w:val="21"/>
        </w:rPr>
        <w:t>发布公告之日之前就相关报表达成一致，基金管理人有权按照其编制的报表对外发布公告，基金托管人有权就相关情况报证监会备案。</w:t>
      </w:r>
    </w:p>
    <w:p w14:paraId="6B69990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基金托管人在对财务会计报告、中期报告或年度报告复核完毕后，需盖章确认或出具相应的复核确认书，以</w:t>
      </w:r>
      <w:proofErr w:type="gramStart"/>
      <w:r>
        <w:rPr>
          <w:rFonts w:ascii="Arial Unicode MS" w:hAnsi="Arial Unicode MS" w:cs="Arial" w:hint="eastAsia"/>
          <w:kern w:val="0"/>
          <w:szCs w:val="21"/>
        </w:rPr>
        <w:t>备有权</w:t>
      </w:r>
      <w:proofErr w:type="gramEnd"/>
      <w:r>
        <w:rPr>
          <w:rFonts w:ascii="Arial Unicode MS" w:hAnsi="Arial Unicode MS" w:cs="Arial" w:hint="eastAsia"/>
          <w:kern w:val="0"/>
          <w:szCs w:val="21"/>
        </w:rPr>
        <w:t>机构对相关文件审核时提示。</w:t>
      </w:r>
    </w:p>
    <w:p w14:paraId="4D2083D9" w14:textId="77777777" w:rsidR="004C06C5" w:rsidRDefault="00ED474B">
      <w:pPr>
        <w:adjustRightInd w:val="0"/>
        <w:snapToGrid w:val="0"/>
        <w:spacing w:line="360" w:lineRule="auto"/>
        <w:ind w:firstLineChars="200" w:firstLine="422"/>
        <w:rPr>
          <w:rFonts w:ascii="Arial Unicode MS" w:hAnsi="Arial Unicode MS" w:cs="Arial"/>
          <w:b/>
          <w:szCs w:val="21"/>
        </w:rPr>
      </w:pPr>
      <w:bookmarkStart w:id="151" w:name="_Hlt47837242"/>
      <w:bookmarkEnd w:id="151"/>
      <w:r>
        <w:rPr>
          <w:rFonts w:ascii="Arial Unicode MS" w:hAnsi="Arial Unicode MS" w:cs="Arial"/>
          <w:b/>
          <w:szCs w:val="21"/>
        </w:rPr>
        <w:t>六、基金份额持有人名册的保管</w:t>
      </w:r>
    </w:p>
    <w:p w14:paraId="736F01A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基金管理人妥善保管的基金份额持有人名册，包括《基金合同》生效日、《基金合同》终止日、基金份额持有人大会权利登记日、每年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w:t>
      </w:r>
      <w:r>
        <w:rPr>
          <w:rFonts w:ascii="Arial Unicode MS" w:hAnsi="Arial Unicode MS" w:cs="Arial" w:hint="eastAsia"/>
          <w:kern w:val="0"/>
          <w:szCs w:val="21"/>
        </w:rPr>
        <w:t>12</w:t>
      </w:r>
      <w:r>
        <w:rPr>
          <w:rFonts w:ascii="Arial Unicode MS" w:hAnsi="Arial Unicode MS" w:cs="Arial" w:hint="eastAsia"/>
          <w:kern w:val="0"/>
          <w:szCs w:val="21"/>
        </w:rPr>
        <w:t>月</w:t>
      </w:r>
      <w:r>
        <w:rPr>
          <w:rFonts w:ascii="Arial Unicode MS" w:hAnsi="Arial Unicode MS" w:cs="Arial" w:hint="eastAsia"/>
          <w:kern w:val="0"/>
          <w:szCs w:val="21"/>
        </w:rPr>
        <w:t>31</w:t>
      </w:r>
      <w:r>
        <w:rPr>
          <w:rFonts w:ascii="Arial Unicode MS" w:hAnsi="Arial Unicode MS" w:cs="Arial" w:hint="eastAsia"/>
          <w:kern w:val="0"/>
          <w:szCs w:val="21"/>
        </w:rPr>
        <w:t>日的基金份额持有人名册。基金份额持有人名册的内容必须包括基金份额持有人的名称和持有的基金份额。</w:t>
      </w:r>
    </w:p>
    <w:p w14:paraId="049F847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基金份额持有人名册由基金的基金注册登记机构根据基金管理人的指令编制和保管，基金管理人应按照目前相关规则保管基金份额持有人名册。保管方式可以采用电子或文档的形式。保管期限为</w:t>
      </w:r>
      <w:r>
        <w:rPr>
          <w:rFonts w:ascii="Arial Unicode MS" w:hAnsi="Arial Unicode MS" w:cs="Arial" w:hint="eastAsia"/>
          <w:kern w:val="0"/>
          <w:szCs w:val="21"/>
        </w:rPr>
        <w:t>15</w:t>
      </w:r>
      <w:r>
        <w:rPr>
          <w:rFonts w:ascii="Arial Unicode MS" w:hAnsi="Arial Unicode MS" w:cs="Arial" w:hint="eastAsia"/>
          <w:kern w:val="0"/>
          <w:szCs w:val="21"/>
        </w:rPr>
        <w:t>年。</w:t>
      </w:r>
    </w:p>
    <w:p w14:paraId="76A99B9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在基金托管人编制半年报和年报前，基金管理人应将每年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w:t>
      </w:r>
      <w:r>
        <w:rPr>
          <w:rFonts w:ascii="Arial Unicode MS" w:hAnsi="Arial Unicode MS" w:cs="Arial" w:hint="eastAsia"/>
          <w:kern w:val="0"/>
          <w:szCs w:val="21"/>
        </w:rPr>
        <w:t>12</w:t>
      </w:r>
      <w:r>
        <w:rPr>
          <w:rFonts w:ascii="Arial Unicode MS" w:hAnsi="Arial Unicode MS" w:cs="Arial" w:hint="eastAsia"/>
          <w:kern w:val="0"/>
          <w:szCs w:val="21"/>
        </w:rPr>
        <w:t>月</w:t>
      </w:r>
      <w:r>
        <w:rPr>
          <w:rFonts w:ascii="Arial Unicode MS" w:hAnsi="Arial Unicode MS" w:cs="Arial" w:hint="eastAsia"/>
          <w:kern w:val="0"/>
          <w:szCs w:val="21"/>
        </w:rPr>
        <w:t>31</w:t>
      </w:r>
      <w:r>
        <w:rPr>
          <w:rFonts w:ascii="Arial Unicode MS" w:hAnsi="Arial Unicode MS" w:cs="Arial" w:hint="eastAsia"/>
          <w:kern w:val="0"/>
          <w:szCs w:val="21"/>
        </w:rPr>
        <w:t>日的基金持有人名册送交基金托管人，文件方式可以采用电子或文档的形式并且保证其的真实、准确、完整。基金托管人应妥善保管，不得将持有人名册用于基金托管业务以外的其他用途。</w:t>
      </w:r>
    </w:p>
    <w:p w14:paraId="63C24824" w14:textId="77777777"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七、争议解决方式</w:t>
      </w:r>
    </w:p>
    <w:p w14:paraId="2F56831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（一）本协议适用中华人民共和国法律（为本协议之目的，在此不包括香港、澳门特别行政区和台湾地区法律），并从其解释。</w:t>
      </w:r>
    </w:p>
    <w:p w14:paraId="24EFE66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（二）相关各方当事人同意，因本协议而产生的或与本协议有关的一切争议，除经友好协商可以解决的，应提交华南国际经济贸易仲裁委员会，根据该会届时有效的仲裁规则进行</w:t>
      </w:r>
      <w:r>
        <w:rPr>
          <w:rFonts w:ascii="Arial Unicode MS" w:hAnsi="Arial Unicode MS" w:cs="Arial" w:hint="eastAsia"/>
          <w:kern w:val="0"/>
          <w:szCs w:val="21"/>
        </w:rPr>
        <w:lastRenderedPageBreak/>
        <w:t>仲裁，仲裁的地点在深圳，仲裁裁决是终局性的并对相关各方均有约束力，仲裁费用由败诉方承担。</w:t>
      </w:r>
    </w:p>
    <w:p w14:paraId="2267614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争议处理期间，相关各方当事人应恪守基金管理人和基金托管人职责，继续忠实、勤勉、尽责地履行《基金合同》和本托管协议规定的义务，维护基金份额持有人的合法权益。</w:t>
      </w:r>
    </w:p>
    <w:p w14:paraId="730BA26D" w14:textId="77777777"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八、</w:t>
      </w:r>
      <w:r>
        <w:rPr>
          <w:rFonts w:ascii="Arial Unicode MS" w:hAnsi="Arial Unicode MS" w:cs="Arial" w:hint="eastAsia"/>
          <w:b/>
          <w:szCs w:val="21"/>
        </w:rPr>
        <w:t>基金托管协议的变更、终止与基金财产的清算</w:t>
      </w:r>
    </w:p>
    <w:p w14:paraId="2063344C" w14:textId="77777777" w:rsidR="004C06C5" w:rsidRDefault="00ED474B">
      <w:pPr>
        <w:adjustRightInd w:val="0"/>
        <w:snapToGrid w:val="0"/>
        <w:spacing w:line="360" w:lineRule="auto"/>
        <w:ind w:firstLineChars="200" w:firstLine="420"/>
        <w:rPr>
          <w:rFonts w:ascii="Arial Unicode MS" w:hAnsi="Arial Unicode MS" w:cs="Arial"/>
          <w:kern w:val="0"/>
          <w:szCs w:val="21"/>
        </w:rPr>
      </w:pPr>
      <w:bookmarkStart w:id="152" w:name="_Toc510842757"/>
      <w:r>
        <w:rPr>
          <w:rFonts w:ascii="Arial Unicode MS" w:hAnsi="Arial Unicode MS" w:cs="Arial" w:hint="eastAsia"/>
          <w:kern w:val="0"/>
          <w:szCs w:val="21"/>
        </w:rPr>
        <w:t>（一）托管协议的变更与终止</w:t>
      </w:r>
    </w:p>
    <w:p w14:paraId="18DA157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托管协议的变更程序</w:t>
      </w:r>
    </w:p>
    <w:p w14:paraId="01761F2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协议双方当事人经协商一致，可以对协议的内容进行变更。变更后的托管协议，其内容不得与《基金合同》的规定有任何冲突，并需经基金管理人、基金托管人加盖公章或合同专用章以及双方法定代表人或授权代理人签字（或盖章）确认。基金托管协议的变更报中国证监会核准后生效。</w:t>
      </w:r>
    </w:p>
    <w:p w14:paraId="2B9588A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基金托管协议终止的情形</w:t>
      </w:r>
    </w:p>
    <w:p w14:paraId="22A89A6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发生以下情况，本托管协议终止：</w:t>
      </w:r>
    </w:p>
    <w:p w14:paraId="3938530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w:t>
      </w:r>
    </w:p>
    <w:p w14:paraId="40D6CB9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）基金托管人解散、依法被撤销、破产或有其他基金托管人接管基金资产；</w:t>
      </w:r>
    </w:p>
    <w:p w14:paraId="0B4D21F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）基金管理人解散、依法被撤销、破产或有其他基金管理人接管基金管理权；</w:t>
      </w:r>
    </w:p>
    <w:p w14:paraId="291BFC5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）发生法律法规或《基金合同》规定的终止事项。</w:t>
      </w:r>
    </w:p>
    <w:p w14:paraId="31AC244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（二）基金财产的清算</w:t>
      </w:r>
    </w:p>
    <w:p w14:paraId="33F91BC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14:paraId="76AC570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w:t>
      </w:r>
      <w:r>
        <w:rPr>
          <w:rFonts w:ascii="Arial Unicode MS" w:hAnsi="Arial Unicode MS" w:cs="Arial" w:hint="eastAsia"/>
          <w:szCs w:val="21"/>
        </w:rPr>
        <w:t>具有证券、期货相关业务资格的</w:t>
      </w:r>
      <w:r>
        <w:rPr>
          <w:rFonts w:ascii="Arial Unicode MS" w:hAnsi="Arial Unicode MS" w:cs="Arial" w:hint="eastAsia"/>
          <w:kern w:val="0"/>
          <w:szCs w:val="21"/>
        </w:rPr>
        <w:t>注册会计师、律师以及中国证监会指定的人员组成。基金财产清算小组可以聘用必要的工作人员。</w:t>
      </w:r>
    </w:p>
    <w:p w14:paraId="4C943D7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14:paraId="6E0659B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基金财产清算程序：</w:t>
      </w:r>
      <w:r>
        <w:rPr>
          <w:rFonts w:ascii="Arial Unicode MS" w:hAnsi="Arial Unicode MS" w:cs="Arial" w:hint="eastAsia"/>
          <w:kern w:val="0"/>
          <w:szCs w:val="21"/>
        </w:rPr>
        <w:tab/>
      </w:r>
    </w:p>
    <w:p w14:paraId="04AD964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）《基金合同》终止后，由基金财产清算小组统一接管基金；</w:t>
      </w:r>
    </w:p>
    <w:p w14:paraId="126A195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14:paraId="0B5B4E1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14:paraId="48CF8B44"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14:paraId="5D1E916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会计师事务所对清算报告进行外部审计，聘请律师事务所对清算报告出具法律意见书；</w:t>
      </w:r>
    </w:p>
    <w:p w14:paraId="78BD3D9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）将清算报告报告中国证监会备案并公告；</w:t>
      </w:r>
    </w:p>
    <w:p w14:paraId="0EF0988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）对基金财产进行分配；</w:t>
      </w:r>
    </w:p>
    <w:p w14:paraId="3F1868C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5. </w:t>
      </w:r>
      <w:r>
        <w:rPr>
          <w:rFonts w:ascii="Arial Unicode MS" w:hAnsi="Arial Unicode MS" w:cs="Arial" w:hint="eastAsia"/>
          <w:kern w:val="0"/>
          <w:szCs w:val="21"/>
        </w:rPr>
        <w:t>基金财产清算的期限为</w:t>
      </w:r>
      <w:r>
        <w:rPr>
          <w:rFonts w:ascii="Arial Unicode MS" w:hAnsi="Arial Unicode MS" w:cs="Arial" w:hint="eastAsia"/>
          <w:kern w:val="0"/>
          <w:szCs w:val="21"/>
        </w:rPr>
        <w:t>6</w:t>
      </w:r>
      <w:r>
        <w:rPr>
          <w:rFonts w:ascii="Arial Unicode MS" w:hAnsi="Arial Unicode MS" w:cs="Arial" w:hint="eastAsia"/>
          <w:kern w:val="0"/>
          <w:szCs w:val="21"/>
        </w:rPr>
        <w:t>个月，但因本基金所持证券的流动性受到限制而不能及时变现的，清算期限相应顺延。</w:t>
      </w:r>
    </w:p>
    <w:p w14:paraId="26779BA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清算费用</w:t>
      </w:r>
    </w:p>
    <w:p w14:paraId="559BA3A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清算费用是指基金清算小组在进行基金清算过程中发生的所有合理费用，清算费用由基金清算小组优先从基金财产中支付。</w:t>
      </w:r>
    </w:p>
    <w:p w14:paraId="4EE1D77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7. </w:t>
      </w:r>
      <w:r>
        <w:rPr>
          <w:rFonts w:ascii="Arial Unicode MS" w:hAnsi="Arial Unicode MS" w:cs="Arial" w:hint="eastAsia"/>
          <w:kern w:val="0"/>
          <w:szCs w:val="21"/>
        </w:rPr>
        <w:t>基金财产清算剩余资产的分配</w:t>
      </w:r>
    </w:p>
    <w:p w14:paraId="4912F67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14:paraId="7786536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（三）基金财产清算的公告</w:t>
      </w:r>
    </w:p>
    <w:p w14:paraId="773B63C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清算过程中的有关重大事项须及时公告；基金财产清算报告经</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会计师事务所审计并由律师事务所出具法律意见书后报中国证监会备案并公告。基金财产清算公告于《基金合同》终止并报中国证监会备案后</w:t>
      </w:r>
      <w:r>
        <w:rPr>
          <w:rFonts w:ascii="Arial Unicode MS" w:hAnsi="Arial Unicode MS" w:cs="Arial" w:hint="eastAsia"/>
          <w:kern w:val="0"/>
          <w:szCs w:val="21"/>
        </w:rPr>
        <w:t>5</w:t>
      </w:r>
      <w:r>
        <w:rPr>
          <w:rFonts w:ascii="Arial Unicode MS" w:hAnsi="Arial Unicode MS" w:cs="Arial" w:hint="eastAsia"/>
          <w:kern w:val="0"/>
          <w:szCs w:val="21"/>
        </w:rPr>
        <w:t>个工作日内由基金财产清算小组进行公告。</w:t>
      </w:r>
    </w:p>
    <w:p w14:paraId="3C6F816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（四）基金财产清算账册及文件的保存</w:t>
      </w:r>
    </w:p>
    <w:p w14:paraId="1CC49B4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hint="eastAsia"/>
          <w:kern w:val="0"/>
          <w:szCs w:val="21"/>
        </w:rPr>
        <w:t>年以上。</w:t>
      </w:r>
    </w:p>
    <w:p w14:paraId="3D8679A4" w14:textId="77777777" w:rsidR="004C06C5" w:rsidRDefault="00ED474B">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cs="Arial"/>
          <w:szCs w:val="21"/>
        </w:rPr>
        <w:br w:type="page"/>
      </w:r>
      <w:bookmarkStart w:id="153" w:name="_Toc12357176"/>
      <w:bookmarkStart w:id="154" w:name="_Toc21073396"/>
      <w:bookmarkStart w:id="155" w:name="_Toc147463123"/>
      <w:bookmarkStart w:id="156" w:name="_Toc214873621"/>
      <w:bookmarkStart w:id="157" w:name="_Toc317088165"/>
      <w:bookmarkStart w:id="158" w:name="_Toc317088554"/>
      <w:bookmarkStart w:id="159" w:name="_Toc320887659"/>
      <w:bookmarkStart w:id="160" w:name="_Toc335232708"/>
      <w:bookmarkStart w:id="161" w:name="_Toc1464075"/>
      <w:bookmarkEnd w:id="152"/>
      <w:r>
        <w:rPr>
          <w:rFonts w:ascii="Arial Unicode MS" w:eastAsia="宋体" w:hAnsi="Arial Unicode MS" w:cs="Arial"/>
          <w:b/>
          <w:bCs/>
          <w:sz w:val="28"/>
          <w:szCs w:val="28"/>
        </w:rPr>
        <w:lastRenderedPageBreak/>
        <w:t>第二十部分</w:t>
      </w:r>
      <w:r>
        <w:rPr>
          <w:rFonts w:ascii="Arial Unicode MS" w:eastAsia="宋体" w:hAnsi="Arial Unicode MS" w:cs="Arial"/>
          <w:b/>
          <w:bCs/>
          <w:sz w:val="28"/>
          <w:szCs w:val="28"/>
        </w:rPr>
        <w:t xml:space="preserve">  </w:t>
      </w:r>
      <w:bookmarkEnd w:id="153"/>
      <w:bookmarkEnd w:id="154"/>
      <w:bookmarkEnd w:id="155"/>
      <w:r>
        <w:rPr>
          <w:rFonts w:ascii="Arial Unicode MS" w:eastAsia="宋体" w:hAnsi="Arial Unicode MS" w:cs="Arial"/>
          <w:b/>
          <w:bCs/>
          <w:sz w:val="28"/>
          <w:szCs w:val="28"/>
        </w:rPr>
        <w:t>对基金份额持有人的服务</w:t>
      </w:r>
      <w:bookmarkEnd w:id="156"/>
      <w:bookmarkEnd w:id="157"/>
      <w:bookmarkEnd w:id="158"/>
      <w:bookmarkEnd w:id="159"/>
      <w:bookmarkEnd w:id="160"/>
      <w:bookmarkEnd w:id="161"/>
    </w:p>
    <w:p w14:paraId="6AF569E8"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基金管理人承诺为基金份额持有人提供一系列服务，基金管理人根据基金份额持有人的需要和市场的变化，有权增加或变更服务项目。主要服务内容如下：</w:t>
      </w:r>
    </w:p>
    <w:p w14:paraId="63ECE79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（一）电话人工咨询服务</w:t>
      </w:r>
    </w:p>
    <w:p w14:paraId="127E2F1B"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投资者可以通过拨打基金管理人客服热线转人工坐席，进行基金业务的相关咨询，人工坐席服务时间为每周一至周五上午</w:t>
      </w:r>
      <w:r>
        <w:rPr>
          <w:rFonts w:ascii="Arial Unicode MS" w:hAnsi="Arial Unicode MS" w:cs="Arial"/>
          <w:kern w:val="0"/>
          <w:szCs w:val="21"/>
        </w:rPr>
        <w:t>9:00-11:30</w:t>
      </w:r>
      <w:r>
        <w:rPr>
          <w:rFonts w:ascii="Arial Unicode MS" w:hAnsi="Arial Unicode MS" w:cs="Arial" w:hint="eastAsia"/>
          <w:kern w:val="0"/>
          <w:szCs w:val="21"/>
        </w:rPr>
        <w:t>，下午</w:t>
      </w:r>
      <w:r>
        <w:rPr>
          <w:rFonts w:ascii="Arial Unicode MS" w:hAnsi="Arial Unicode MS" w:cs="Arial"/>
          <w:kern w:val="0"/>
          <w:szCs w:val="21"/>
        </w:rPr>
        <w:t>13:00-17:00</w:t>
      </w:r>
      <w:r>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14:paraId="0DE1D3B6"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（二）自助查询服务</w:t>
      </w:r>
    </w:p>
    <w:p w14:paraId="2B83A9B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14:paraId="7513691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（三）邮件咨询服务</w:t>
      </w:r>
    </w:p>
    <w:p w14:paraId="04B452E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投资者可通过电子邮件的形式向基金管理人提出疑问，针对投资者的问题，基金管理人将设有专员进行及时回复。</w:t>
      </w:r>
    </w:p>
    <w:p w14:paraId="14DC576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（四）免费信息订阅服务</w:t>
      </w:r>
    </w:p>
    <w:p w14:paraId="641115A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7E798E3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（五）资料邮寄服务</w:t>
      </w:r>
    </w:p>
    <w:p w14:paraId="18511A2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基金管理人可免费为基金投资人提供基金持有证明和交易对账单邮寄服务。投资者可根据需要，通过基金管理人网站或客服热线定制、修改或取消该服务。</w:t>
      </w:r>
    </w:p>
    <w:p w14:paraId="7A6481D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（六）客户投诉受理服务</w:t>
      </w:r>
    </w:p>
    <w:p w14:paraId="7CD6CA42"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投资人可以通过客服热线、书信、电子邮件等渠道，对基金管理人和销售机构所提供的服务进行投诉。</w:t>
      </w:r>
    </w:p>
    <w:p w14:paraId="571A3133"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对于工作日期间受理的投诉，以“及时回复”为处理原则，对于不能及时回复的投诉，基金管理人承诺在</w:t>
      </w:r>
      <w:r>
        <w:rPr>
          <w:rFonts w:ascii="Arial Unicode MS" w:hAnsi="Arial Unicode MS" w:cs="Arial"/>
          <w:kern w:val="0"/>
          <w:szCs w:val="21"/>
        </w:rPr>
        <w:t xml:space="preserve"> 3 </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工作日之内对基金投资人的投诉做出回复。对于非工作日提出的投诉，基金管理人将在顺延到下</w:t>
      </w:r>
      <w:r>
        <w:rPr>
          <w:rFonts w:ascii="Arial Unicode MS" w:hAnsi="Arial Unicode MS" w:cs="Arial"/>
          <w:kern w:val="0"/>
          <w:szCs w:val="21"/>
        </w:rPr>
        <w:t xml:space="preserve"> 1 </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工作日进行回复。</w:t>
      </w:r>
    </w:p>
    <w:p w14:paraId="22DE48A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（七）基金管理人联系方式</w:t>
      </w:r>
      <w:r>
        <w:rPr>
          <w:rFonts w:ascii="Arial Unicode MS" w:hAnsi="Arial Unicode MS" w:cs="Arial"/>
          <w:kern w:val="0"/>
          <w:szCs w:val="21"/>
        </w:rPr>
        <w:t xml:space="preserve"> </w:t>
      </w:r>
    </w:p>
    <w:p w14:paraId="4496AB7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公司</w:t>
      </w:r>
      <w:r>
        <w:rPr>
          <w:rFonts w:ascii="Arial Unicode MS" w:hAnsi="Arial Unicode MS" w:cs="Arial"/>
          <w:kern w:val="0"/>
          <w:szCs w:val="21"/>
        </w:rPr>
        <w:t>网址：</w:t>
      </w:r>
      <w:r>
        <w:rPr>
          <w:rFonts w:ascii="Arial Unicode MS" w:hAnsi="Arial Unicode MS" w:cs="Arial"/>
          <w:kern w:val="0"/>
          <w:szCs w:val="21"/>
        </w:rPr>
        <w:t xml:space="preserve"> www.</w:t>
      </w:r>
      <w:r>
        <w:rPr>
          <w:rFonts w:ascii="Arial Unicode MS" w:hAnsi="Arial Unicode MS" w:cs="Arial" w:hint="eastAsia"/>
          <w:kern w:val="0"/>
          <w:szCs w:val="21"/>
        </w:rPr>
        <w:t>furamc</w:t>
      </w:r>
      <w:r>
        <w:rPr>
          <w:rFonts w:ascii="Arial Unicode MS" w:hAnsi="Arial Unicode MS" w:cs="Arial"/>
          <w:kern w:val="0"/>
          <w:szCs w:val="21"/>
        </w:rPr>
        <w:t xml:space="preserve">.com </w:t>
      </w:r>
      <w:r>
        <w:rPr>
          <w:rFonts w:ascii="Arial Unicode MS" w:hAnsi="Arial Unicode MS" w:cs="Arial" w:hint="eastAsia"/>
          <w:kern w:val="0"/>
          <w:szCs w:val="21"/>
        </w:rPr>
        <w:t>.</w:t>
      </w:r>
      <w:proofErr w:type="spellStart"/>
      <w:r>
        <w:rPr>
          <w:rFonts w:ascii="Arial Unicode MS" w:hAnsi="Arial Unicode MS" w:cs="Arial" w:hint="eastAsia"/>
          <w:kern w:val="0"/>
          <w:szCs w:val="21"/>
        </w:rPr>
        <w:t>cn</w:t>
      </w:r>
      <w:proofErr w:type="spellEnd"/>
    </w:p>
    <w:p w14:paraId="633D3B9D"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lastRenderedPageBreak/>
        <w:t>电子信箱：</w:t>
      </w:r>
      <w:r>
        <w:rPr>
          <w:rFonts w:ascii="Arial Unicode MS" w:hAnsi="Arial Unicode MS" w:cs="Arial"/>
          <w:kern w:val="0"/>
          <w:szCs w:val="21"/>
        </w:rPr>
        <w:t>service@</w:t>
      </w:r>
      <w:r>
        <w:rPr>
          <w:rFonts w:ascii="Arial Unicode MS" w:hAnsi="Arial Unicode MS" w:cs="Arial" w:hint="eastAsia"/>
          <w:kern w:val="0"/>
          <w:szCs w:val="21"/>
        </w:rPr>
        <w:t>furamc.com.cn</w:t>
      </w:r>
    </w:p>
    <w:p w14:paraId="3F24DD23"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客服热线：</w:t>
      </w:r>
      <w:r>
        <w:rPr>
          <w:rFonts w:ascii="Arial Unicode MS" w:hAnsi="Arial Unicode MS" w:cs="Arial"/>
          <w:kern w:val="0"/>
          <w:szCs w:val="21"/>
        </w:rPr>
        <w:t>4006855600</w:t>
      </w:r>
    </w:p>
    <w:p w14:paraId="04445F29"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客户服务部地址：深圳市福田区八卦四路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层，富荣基金管理有限公司客户服务部（收）</w:t>
      </w:r>
    </w:p>
    <w:p w14:paraId="4E035A65" w14:textId="77777777"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邮编：</w:t>
      </w:r>
      <w:r>
        <w:rPr>
          <w:rFonts w:ascii="Arial Unicode MS" w:hAnsi="Arial Unicode MS" w:cs="Arial"/>
          <w:kern w:val="0"/>
          <w:szCs w:val="21"/>
        </w:rPr>
        <w:t>518038</w:t>
      </w:r>
    </w:p>
    <w:p w14:paraId="71AFBEDD" w14:textId="77777777" w:rsidR="004C06C5" w:rsidRDefault="00ED474B">
      <w:pPr>
        <w:adjustRightInd w:val="0"/>
        <w:snapToGrid w:val="0"/>
        <w:spacing w:line="360" w:lineRule="auto"/>
        <w:ind w:firstLineChars="200" w:firstLine="420"/>
        <w:rPr>
          <w:rFonts w:ascii="Arial" w:hAnsi="Arial" w:cs="Arial"/>
          <w:b/>
          <w:bCs/>
          <w:szCs w:val="21"/>
        </w:rPr>
      </w:pPr>
      <w:r>
        <w:rPr>
          <w:rFonts w:ascii="Arial Unicode MS" w:hAnsi="Arial Unicode MS" w:cs="Arial" w:hint="eastAsia"/>
          <w:kern w:val="0"/>
          <w:szCs w:val="21"/>
        </w:rPr>
        <w:t>（八）如本招募说明书存在任何您</w:t>
      </w:r>
      <w:r>
        <w:rPr>
          <w:rFonts w:ascii="Arial Unicode MS" w:hAnsi="Arial Unicode MS" w:cs="Arial"/>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无法理解的内容，请通过</w:t>
      </w:r>
      <w:proofErr w:type="gramStart"/>
      <w:r>
        <w:rPr>
          <w:rFonts w:ascii="Arial Unicode MS" w:hAnsi="Arial Unicode MS" w:cs="Arial" w:hint="eastAsia"/>
          <w:kern w:val="0"/>
          <w:szCs w:val="21"/>
        </w:rPr>
        <w:t>上述联系</w:t>
      </w:r>
      <w:proofErr w:type="gramEnd"/>
      <w:r>
        <w:rPr>
          <w:rFonts w:ascii="Arial Unicode MS" w:hAnsi="Arial Unicode MS" w:cs="Arial" w:hint="eastAsia"/>
          <w:kern w:val="0"/>
          <w:szCs w:val="21"/>
        </w:rPr>
        <w:t>方式联系基金管理人。</w:t>
      </w:r>
      <w:proofErr w:type="gramStart"/>
      <w:r>
        <w:rPr>
          <w:rFonts w:ascii="Arial Unicode MS" w:hAnsi="Arial Unicode MS" w:cs="Arial" w:hint="eastAsia"/>
          <w:kern w:val="0"/>
          <w:szCs w:val="21"/>
        </w:rPr>
        <w:t>请确保</w:t>
      </w:r>
      <w:proofErr w:type="gramEnd"/>
      <w:r>
        <w:rPr>
          <w:rFonts w:ascii="Arial Unicode MS" w:hAnsi="Arial Unicode MS" w:cs="Arial" w:hint="eastAsia"/>
          <w:kern w:val="0"/>
          <w:szCs w:val="21"/>
        </w:rPr>
        <w:t>投资前，您</w:t>
      </w:r>
      <w:r>
        <w:rPr>
          <w:rFonts w:ascii="Arial Unicode MS" w:hAnsi="Arial Unicode MS" w:cs="Arial"/>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已经全面理解了本招募说明书。</w:t>
      </w:r>
    </w:p>
    <w:p w14:paraId="7E3A0CE2" w14:textId="77777777" w:rsidR="004C06C5" w:rsidRDefault="004C06C5">
      <w:pPr>
        <w:adjustRightInd w:val="0"/>
        <w:snapToGrid w:val="0"/>
        <w:spacing w:line="360" w:lineRule="auto"/>
        <w:ind w:firstLineChars="200" w:firstLine="422"/>
        <w:rPr>
          <w:rFonts w:ascii="Arial" w:hAnsi="Arial"/>
          <w:b/>
          <w:szCs w:val="21"/>
        </w:rPr>
      </w:pPr>
    </w:p>
    <w:p w14:paraId="140D29D3" w14:textId="77777777" w:rsidR="004C06C5" w:rsidRDefault="004C06C5">
      <w:pPr>
        <w:pStyle w:val="11"/>
        <w:snapToGrid w:val="0"/>
        <w:spacing w:before="0" w:after="0" w:line="360" w:lineRule="auto"/>
        <w:ind w:firstLineChars="150" w:firstLine="360"/>
        <w:rPr>
          <w:rFonts w:ascii="Arial Unicode MS" w:hAnsi="Arial Unicode MS" w:cs="Arial"/>
          <w:szCs w:val="21"/>
        </w:rPr>
        <w:sectPr w:rsidR="004C06C5">
          <w:pgSz w:w="11906" w:h="16838"/>
          <w:pgMar w:top="1440" w:right="1800" w:bottom="1440" w:left="1800" w:header="851" w:footer="992" w:gutter="0"/>
          <w:cols w:space="720"/>
          <w:titlePg/>
          <w:docGrid w:linePitch="312"/>
        </w:sectPr>
      </w:pPr>
    </w:p>
    <w:p w14:paraId="580A3089" w14:textId="77777777"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162" w:name="_Toc256666809"/>
      <w:bookmarkStart w:id="163" w:name="_Toc256666929"/>
      <w:bookmarkStart w:id="164" w:name="_Toc482624810"/>
      <w:bookmarkStart w:id="165" w:name="_Toc30359"/>
      <w:bookmarkStart w:id="166" w:name="_Toc1464076"/>
      <w:bookmarkStart w:id="167" w:name="_Toc530223198"/>
      <w:bookmarkStart w:id="168" w:name="_Toc214873622"/>
      <w:bookmarkStart w:id="169" w:name="_Toc317088166"/>
      <w:bookmarkStart w:id="170" w:name="_Toc317088555"/>
      <w:bookmarkStart w:id="171" w:name="_Toc320887660"/>
      <w:bookmarkStart w:id="172" w:name="_Toc335232709"/>
      <w:bookmarkStart w:id="173" w:name="_Toc484165614"/>
      <w:r>
        <w:rPr>
          <w:rFonts w:ascii="Arial Unicode MS" w:eastAsia="宋体" w:hAnsi="Arial Unicode MS" w:cs="Arial" w:hint="eastAsia"/>
          <w:b/>
          <w:bCs/>
          <w:sz w:val="28"/>
          <w:szCs w:val="28"/>
        </w:rPr>
        <w:lastRenderedPageBreak/>
        <w:t>第二十一部分</w:t>
      </w:r>
      <w:r>
        <w:rPr>
          <w:rFonts w:ascii="Arial Unicode MS" w:eastAsia="宋体" w:hAnsi="Arial Unicode MS" w:cs="Arial" w:hint="eastAsia"/>
          <w:b/>
          <w:bCs/>
          <w:sz w:val="28"/>
          <w:szCs w:val="28"/>
        </w:rPr>
        <w:t xml:space="preserve">  </w:t>
      </w:r>
      <w:r>
        <w:rPr>
          <w:rFonts w:ascii="Arial Unicode MS" w:eastAsia="宋体" w:hAnsi="Arial Unicode MS" w:cs="Arial" w:hint="eastAsia"/>
          <w:b/>
          <w:bCs/>
          <w:sz w:val="28"/>
          <w:szCs w:val="28"/>
        </w:rPr>
        <w:t>其他应披露事项</w:t>
      </w:r>
      <w:bookmarkEnd w:id="162"/>
      <w:bookmarkEnd w:id="163"/>
      <w:bookmarkEnd w:id="164"/>
      <w:bookmarkEnd w:id="165"/>
      <w:bookmarkEnd w:id="166"/>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954"/>
        <w:gridCol w:w="1984"/>
      </w:tblGrid>
      <w:tr w:rsidR="004C06C5" w14:paraId="622F8F2A"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9F4CA0B" w14:textId="77777777" w:rsidR="004C06C5" w:rsidRDefault="00ED474B">
            <w:pPr>
              <w:rPr>
                <w:rFonts w:ascii="宋体" w:hAnsi="宋体"/>
                <w:szCs w:val="21"/>
              </w:rPr>
            </w:pPr>
            <w:r>
              <w:rPr>
                <w:rFonts w:ascii="宋体" w:hAnsi="宋体" w:hint="eastAsia"/>
                <w:szCs w:val="21"/>
              </w:rPr>
              <w:t>序号</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EF7CC67" w14:textId="77777777" w:rsidR="004C06C5" w:rsidRDefault="00ED474B">
            <w:pPr>
              <w:rPr>
                <w:rFonts w:ascii="宋体" w:hAnsi="宋体"/>
                <w:szCs w:val="21"/>
              </w:rPr>
            </w:pPr>
            <w:r>
              <w:rPr>
                <w:rFonts w:ascii="宋体" w:hAnsi="宋体" w:hint="eastAsia"/>
                <w:szCs w:val="21"/>
              </w:rPr>
              <w:t>公告事项</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3698566" w14:textId="77777777" w:rsidR="004C06C5" w:rsidRDefault="00ED474B">
            <w:pPr>
              <w:rPr>
                <w:rFonts w:ascii="宋体" w:hAnsi="宋体"/>
                <w:szCs w:val="21"/>
              </w:rPr>
            </w:pPr>
            <w:r>
              <w:rPr>
                <w:rFonts w:ascii="宋体" w:hAnsi="宋体" w:hint="eastAsia"/>
                <w:szCs w:val="21"/>
              </w:rPr>
              <w:t>披露日期</w:t>
            </w:r>
          </w:p>
        </w:tc>
      </w:tr>
      <w:tr w:rsidR="004C06C5" w14:paraId="348549F8"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5943ACA" w14:textId="77777777" w:rsidR="004C06C5" w:rsidRDefault="00ED474B">
            <w:pPr>
              <w:rPr>
                <w:rFonts w:ascii="宋体" w:hAnsi="宋体"/>
                <w:szCs w:val="21"/>
              </w:rPr>
            </w:pPr>
            <w:r>
              <w:rPr>
                <w:rFonts w:ascii="宋体" w:hAnsi="宋体" w:hint="eastAsia"/>
                <w:szCs w:val="21"/>
              </w:rPr>
              <w:t>1</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32A02CE1" w14:textId="77777777" w:rsidR="004C06C5" w:rsidRDefault="00ED474B">
            <w:pPr>
              <w:rPr>
                <w:rFonts w:ascii="宋体" w:hAnsi="宋体"/>
                <w:szCs w:val="21"/>
              </w:rPr>
            </w:pPr>
            <w:r>
              <w:rPr>
                <w:rFonts w:ascii="宋体" w:hAnsi="宋体" w:hint="eastAsia"/>
                <w:szCs w:val="21"/>
              </w:rPr>
              <w:t>富荣基金管理有限公司关于旗下部分基金新增深圳前海</w:t>
            </w:r>
            <w:proofErr w:type="gramStart"/>
            <w:r>
              <w:rPr>
                <w:rFonts w:ascii="宋体" w:hAnsi="宋体" w:hint="eastAsia"/>
                <w:szCs w:val="21"/>
              </w:rPr>
              <w:t>财厚基金</w:t>
            </w:r>
            <w:proofErr w:type="gramEnd"/>
            <w:r>
              <w:rPr>
                <w:rFonts w:ascii="宋体" w:hAnsi="宋体" w:hint="eastAsia"/>
                <w:szCs w:val="21"/>
              </w:rPr>
              <w:t>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5E670E1"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13</w:t>
            </w:r>
            <w:r>
              <w:rPr>
                <w:rFonts w:ascii="宋体" w:hAnsi="宋体" w:hint="eastAsia"/>
                <w:szCs w:val="21"/>
              </w:rPr>
              <w:t>日</w:t>
            </w:r>
          </w:p>
        </w:tc>
      </w:tr>
      <w:tr w:rsidR="004C06C5" w14:paraId="61627DB9"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8738DF3" w14:textId="77777777" w:rsidR="004C06C5" w:rsidRDefault="00ED474B">
            <w:pPr>
              <w:rPr>
                <w:rFonts w:ascii="宋体" w:hAnsi="宋体"/>
                <w:szCs w:val="21"/>
              </w:rPr>
            </w:pPr>
            <w:r>
              <w:rPr>
                <w:rFonts w:ascii="宋体" w:hAnsi="宋体" w:hint="eastAsia"/>
                <w:szCs w:val="21"/>
              </w:rPr>
              <w:t>2</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419A1D6" w14:textId="77777777" w:rsidR="004C06C5" w:rsidRDefault="00ED474B">
            <w:pPr>
              <w:rPr>
                <w:rFonts w:ascii="宋体" w:hAnsi="宋体"/>
                <w:szCs w:val="21"/>
              </w:rPr>
            </w:pPr>
            <w:r>
              <w:rPr>
                <w:rFonts w:ascii="宋体" w:hAnsi="宋体" w:hint="eastAsia"/>
                <w:szCs w:val="21"/>
              </w:rPr>
              <w:t>富荣基金管理有限公司关于旗下部分基金参加深圳前海</w:t>
            </w:r>
            <w:proofErr w:type="gramStart"/>
            <w:r>
              <w:rPr>
                <w:rFonts w:ascii="宋体" w:hAnsi="宋体" w:hint="eastAsia"/>
                <w:szCs w:val="21"/>
              </w:rPr>
              <w:t>财厚基金</w:t>
            </w:r>
            <w:proofErr w:type="gramEnd"/>
            <w:r>
              <w:rPr>
                <w:rFonts w:ascii="宋体" w:hAnsi="宋体" w:hint="eastAsia"/>
                <w:szCs w:val="21"/>
              </w:rPr>
              <w:t>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6623A46"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13</w:t>
            </w:r>
            <w:r>
              <w:rPr>
                <w:rFonts w:ascii="宋体" w:hAnsi="宋体" w:hint="eastAsia"/>
                <w:szCs w:val="21"/>
              </w:rPr>
              <w:t>日</w:t>
            </w:r>
          </w:p>
        </w:tc>
      </w:tr>
      <w:tr w:rsidR="004C06C5" w14:paraId="0EACAED8"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A7E0A6F" w14:textId="77777777" w:rsidR="004C06C5" w:rsidRDefault="00ED474B">
            <w:pPr>
              <w:rPr>
                <w:rFonts w:ascii="宋体" w:hAnsi="宋体"/>
                <w:szCs w:val="21"/>
              </w:rPr>
            </w:pPr>
            <w:r>
              <w:rPr>
                <w:rFonts w:ascii="宋体" w:hAnsi="宋体" w:hint="eastAsia"/>
                <w:szCs w:val="21"/>
              </w:rPr>
              <w:t>3</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0631133" w14:textId="77777777" w:rsidR="004C06C5" w:rsidRDefault="00ED474B">
            <w:pPr>
              <w:rPr>
                <w:rFonts w:ascii="宋体" w:hAnsi="宋体"/>
                <w:szCs w:val="21"/>
              </w:rPr>
            </w:pPr>
            <w:r>
              <w:rPr>
                <w:rFonts w:ascii="宋体" w:hAnsi="宋体" w:hint="eastAsia"/>
                <w:szCs w:val="21"/>
              </w:rPr>
              <w:t>富荣基金管理有限公司关于旗下部分基金参加深圳前海</w:t>
            </w:r>
            <w:proofErr w:type="gramStart"/>
            <w:r>
              <w:rPr>
                <w:rFonts w:ascii="宋体" w:hAnsi="宋体" w:hint="eastAsia"/>
                <w:szCs w:val="21"/>
              </w:rPr>
              <w:t>财厚基金</w:t>
            </w:r>
            <w:proofErr w:type="gramEnd"/>
            <w:r>
              <w:rPr>
                <w:rFonts w:ascii="宋体" w:hAnsi="宋体" w:hint="eastAsia"/>
                <w:szCs w:val="21"/>
              </w:rPr>
              <w:t>销售有限公司基金转换费率优惠活动的公告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397B94E"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13</w:t>
            </w:r>
            <w:r>
              <w:rPr>
                <w:rFonts w:ascii="宋体" w:hAnsi="宋体" w:hint="eastAsia"/>
                <w:szCs w:val="21"/>
              </w:rPr>
              <w:t>日</w:t>
            </w:r>
          </w:p>
        </w:tc>
      </w:tr>
      <w:tr w:rsidR="004C06C5" w14:paraId="2B701700"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1BC4F37" w14:textId="77777777" w:rsidR="004C06C5" w:rsidRDefault="00ED474B">
            <w:pPr>
              <w:rPr>
                <w:rFonts w:ascii="宋体" w:hAnsi="宋体"/>
                <w:szCs w:val="21"/>
              </w:rPr>
            </w:pPr>
            <w:r>
              <w:rPr>
                <w:rFonts w:ascii="宋体" w:hAnsi="宋体" w:hint="eastAsia"/>
                <w:szCs w:val="21"/>
              </w:rPr>
              <w:t>4</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037B40C" w14:textId="77777777" w:rsidR="004C06C5" w:rsidRDefault="00ED474B">
            <w:pPr>
              <w:rPr>
                <w:rFonts w:ascii="宋体" w:hAnsi="宋体"/>
                <w:szCs w:val="21"/>
              </w:rPr>
            </w:pPr>
            <w:r>
              <w:rPr>
                <w:rFonts w:ascii="宋体" w:hAnsi="宋体" w:hint="eastAsia"/>
                <w:szCs w:val="21"/>
              </w:rPr>
              <w:t>富荣基金管理有限公司关于旗下部分基金新增上海基</w:t>
            </w:r>
            <w:proofErr w:type="gramStart"/>
            <w:r>
              <w:rPr>
                <w:rFonts w:ascii="宋体" w:hAnsi="宋体" w:hint="eastAsia"/>
                <w:szCs w:val="21"/>
              </w:rPr>
              <w:t>煜</w:t>
            </w:r>
            <w:proofErr w:type="gramEnd"/>
            <w:r>
              <w:rPr>
                <w:rFonts w:ascii="宋体" w:hAnsi="宋体" w:hint="eastAsia"/>
                <w:szCs w:val="21"/>
              </w:rPr>
              <w:t>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402D346"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16</w:t>
            </w:r>
            <w:r>
              <w:rPr>
                <w:rFonts w:ascii="宋体" w:hAnsi="宋体" w:hint="eastAsia"/>
                <w:szCs w:val="21"/>
              </w:rPr>
              <w:t>日</w:t>
            </w:r>
          </w:p>
        </w:tc>
      </w:tr>
      <w:tr w:rsidR="004C06C5" w14:paraId="110EBEEF"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62F1287" w14:textId="77777777" w:rsidR="004C06C5" w:rsidRDefault="00ED474B">
            <w:pPr>
              <w:rPr>
                <w:rFonts w:ascii="宋体" w:hAnsi="宋体"/>
                <w:szCs w:val="21"/>
              </w:rPr>
            </w:pPr>
            <w:r>
              <w:rPr>
                <w:rFonts w:ascii="宋体" w:hAnsi="宋体" w:hint="eastAsia"/>
                <w:szCs w:val="21"/>
              </w:rPr>
              <w:t>5</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6E66902" w14:textId="77777777" w:rsidR="004C06C5" w:rsidRDefault="00ED474B">
            <w:pPr>
              <w:rPr>
                <w:rFonts w:ascii="宋体" w:hAnsi="宋体"/>
                <w:szCs w:val="21"/>
              </w:rPr>
            </w:pPr>
            <w:r>
              <w:rPr>
                <w:rFonts w:ascii="宋体" w:hAnsi="宋体" w:hint="eastAsia"/>
                <w:szCs w:val="21"/>
              </w:rPr>
              <w:t>富荣基金管理有限公司关于旗下部分基金参加上海基</w:t>
            </w:r>
            <w:proofErr w:type="gramStart"/>
            <w:r>
              <w:rPr>
                <w:rFonts w:ascii="宋体" w:hAnsi="宋体" w:hint="eastAsia"/>
                <w:szCs w:val="21"/>
              </w:rPr>
              <w:t>煜</w:t>
            </w:r>
            <w:proofErr w:type="gramEnd"/>
            <w:r>
              <w:rPr>
                <w:rFonts w:ascii="宋体" w:hAnsi="宋体" w:hint="eastAsia"/>
                <w:szCs w:val="21"/>
              </w:rPr>
              <w:t>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05752C2"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16</w:t>
            </w:r>
            <w:r>
              <w:rPr>
                <w:rFonts w:ascii="宋体" w:hAnsi="宋体" w:hint="eastAsia"/>
                <w:szCs w:val="21"/>
              </w:rPr>
              <w:t>日</w:t>
            </w:r>
          </w:p>
        </w:tc>
      </w:tr>
      <w:tr w:rsidR="004C06C5" w14:paraId="7D927D42"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DBFA439" w14:textId="77777777" w:rsidR="004C06C5" w:rsidRDefault="00ED474B">
            <w:pPr>
              <w:rPr>
                <w:rFonts w:ascii="宋体" w:hAnsi="宋体"/>
                <w:szCs w:val="21"/>
              </w:rPr>
            </w:pPr>
            <w:r>
              <w:rPr>
                <w:rFonts w:ascii="宋体" w:hAnsi="宋体" w:hint="eastAsia"/>
                <w:szCs w:val="21"/>
              </w:rPr>
              <w:t>6</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3C0C10E6" w14:textId="77777777" w:rsidR="004C06C5" w:rsidRDefault="00ED474B">
            <w:pPr>
              <w:rPr>
                <w:rFonts w:ascii="宋体" w:hAnsi="宋体"/>
                <w:szCs w:val="21"/>
              </w:rPr>
            </w:pPr>
            <w:r>
              <w:rPr>
                <w:rFonts w:ascii="宋体" w:hAnsi="宋体" w:hint="eastAsia"/>
                <w:szCs w:val="21"/>
              </w:rPr>
              <w:t>富荣基金管理有限公司关于旗下部分基金参加深圳盈信基金销售有限公司基金申购及定期定额投资申购费率优惠活动的公告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5F11A80"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14:paraId="234D49E1"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7DC483B" w14:textId="77777777" w:rsidR="004C06C5" w:rsidRDefault="00ED474B">
            <w:pPr>
              <w:rPr>
                <w:rFonts w:ascii="宋体" w:hAnsi="宋体"/>
                <w:szCs w:val="21"/>
              </w:rPr>
            </w:pPr>
            <w:r>
              <w:rPr>
                <w:rFonts w:ascii="宋体" w:hAnsi="宋体" w:hint="eastAsia"/>
                <w:szCs w:val="21"/>
              </w:rPr>
              <w:t>7</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8CBF7FE" w14:textId="77777777" w:rsidR="004C06C5" w:rsidRDefault="00ED474B">
            <w:pPr>
              <w:rPr>
                <w:rFonts w:ascii="宋体" w:hAnsi="宋体"/>
                <w:szCs w:val="21"/>
              </w:rPr>
            </w:pPr>
            <w:r>
              <w:rPr>
                <w:rFonts w:ascii="宋体" w:hAnsi="宋体" w:hint="eastAsia"/>
                <w:szCs w:val="21"/>
              </w:rPr>
              <w:t>富荣基金管理有限公司关于旗下部分基金新增深圳盈信基金销售有限公司为销售机构并开通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3F5AF28"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14:paraId="09442252"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71806FD" w14:textId="77777777" w:rsidR="004C06C5" w:rsidRDefault="00ED474B">
            <w:pPr>
              <w:rPr>
                <w:rFonts w:ascii="宋体" w:hAnsi="宋体"/>
                <w:szCs w:val="21"/>
              </w:rPr>
            </w:pPr>
            <w:r>
              <w:rPr>
                <w:rFonts w:ascii="宋体" w:hAnsi="宋体" w:hint="eastAsia"/>
                <w:szCs w:val="21"/>
              </w:rPr>
              <w:t>8</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1FD11857" w14:textId="77777777" w:rsidR="004C06C5" w:rsidRDefault="00ED474B">
            <w:pPr>
              <w:rPr>
                <w:rFonts w:ascii="宋体" w:hAnsi="宋体"/>
                <w:szCs w:val="21"/>
              </w:rPr>
            </w:pPr>
            <w:r>
              <w:rPr>
                <w:rFonts w:ascii="宋体" w:hAnsi="宋体" w:hint="eastAsia"/>
                <w:szCs w:val="21"/>
              </w:rPr>
              <w:t>富荣基金管理有限公司关于旗下部分基金新增上海联泰基金销售有限公司为销售机构并开通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39F81D2"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14:paraId="3F25338B"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5E54CC7" w14:textId="77777777" w:rsidR="004C06C5" w:rsidRDefault="00ED474B">
            <w:pPr>
              <w:rPr>
                <w:rFonts w:ascii="宋体" w:hAnsi="宋体"/>
                <w:szCs w:val="21"/>
              </w:rPr>
            </w:pPr>
            <w:r>
              <w:rPr>
                <w:rFonts w:ascii="宋体" w:hAnsi="宋体" w:hint="eastAsia"/>
                <w:szCs w:val="21"/>
              </w:rPr>
              <w:t>9</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18BF2F7C" w14:textId="77777777" w:rsidR="004C06C5" w:rsidRDefault="00ED474B">
            <w:pPr>
              <w:rPr>
                <w:rFonts w:ascii="宋体" w:hAnsi="宋体"/>
                <w:szCs w:val="21"/>
              </w:rPr>
            </w:pPr>
            <w:r>
              <w:rPr>
                <w:rFonts w:ascii="宋体" w:hAnsi="宋体" w:hint="eastAsia"/>
                <w:szCs w:val="21"/>
              </w:rPr>
              <w:t>富荣基金管理有限公司关于旗下部分基金参加上海联泰基金销售有限公司基金申购及定期定额投资申购费率优惠活动的公告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98D5C92"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14:paraId="651BC0BF"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137218F" w14:textId="77777777" w:rsidR="004C06C5" w:rsidRDefault="00ED474B">
            <w:pPr>
              <w:rPr>
                <w:rFonts w:ascii="宋体" w:hAnsi="宋体"/>
                <w:szCs w:val="21"/>
              </w:rPr>
            </w:pPr>
            <w:r>
              <w:rPr>
                <w:rFonts w:ascii="宋体" w:hAnsi="宋体" w:hint="eastAsia"/>
                <w:szCs w:val="21"/>
              </w:rPr>
              <w:t>10</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B0F180F"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w:t>
            </w:r>
            <w:r>
              <w:rPr>
                <w:rFonts w:ascii="宋体" w:hAnsi="宋体"/>
                <w:szCs w:val="21"/>
              </w:rPr>
              <w:t>2018</w:t>
            </w:r>
            <w:r>
              <w:rPr>
                <w:rFonts w:ascii="宋体" w:hAnsi="宋体" w:hint="eastAsia"/>
                <w:szCs w:val="21"/>
              </w:rPr>
              <w:t>年年度报告摘要</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D1AB843"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29</w:t>
            </w:r>
            <w:r>
              <w:rPr>
                <w:rFonts w:ascii="宋体" w:hAnsi="宋体" w:hint="eastAsia"/>
                <w:szCs w:val="21"/>
              </w:rPr>
              <w:t>日</w:t>
            </w:r>
          </w:p>
        </w:tc>
      </w:tr>
      <w:tr w:rsidR="004C06C5" w14:paraId="55C88380"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4BE5A7E" w14:textId="77777777" w:rsidR="004C06C5" w:rsidRDefault="00ED474B">
            <w:pPr>
              <w:rPr>
                <w:rFonts w:ascii="宋体" w:hAnsi="宋体"/>
                <w:szCs w:val="21"/>
              </w:rPr>
            </w:pPr>
            <w:r>
              <w:rPr>
                <w:rFonts w:ascii="宋体" w:hAnsi="宋体" w:hint="eastAsia"/>
                <w:szCs w:val="21"/>
              </w:rPr>
              <w:t>11</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5A27E52" w14:textId="77777777" w:rsidR="004C06C5" w:rsidRDefault="00ED474B">
            <w:pPr>
              <w:rPr>
                <w:rFonts w:ascii="宋体" w:hAnsi="宋体"/>
                <w:szCs w:val="21"/>
              </w:rPr>
            </w:pPr>
            <w:r>
              <w:rPr>
                <w:rFonts w:ascii="宋体" w:hAnsi="宋体" w:hint="eastAsia"/>
                <w:szCs w:val="21"/>
              </w:rPr>
              <w:t>富荣基金管理有限公司关于旗下部分基金参加华鑫证券有限责任公司基金申购及定期定额投资申购费率优惠活动的公告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5D4F505"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09</w:t>
            </w:r>
            <w:r>
              <w:rPr>
                <w:rFonts w:ascii="宋体" w:hAnsi="宋体" w:hint="eastAsia"/>
                <w:szCs w:val="21"/>
              </w:rPr>
              <w:t>日</w:t>
            </w:r>
          </w:p>
        </w:tc>
      </w:tr>
      <w:tr w:rsidR="004C06C5" w14:paraId="483034D6"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869B8AB" w14:textId="77777777" w:rsidR="004C06C5" w:rsidRDefault="00ED474B">
            <w:pPr>
              <w:rPr>
                <w:rFonts w:ascii="宋体" w:hAnsi="宋体"/>
                <w:szCs w:val="21"/>
              </w:rPr>
            </w:pPr>
            <w:r>
              <w:rPr>
                <w:rFonts w:ascii="宋体" w:hAnsi="宋体" w:hint="eastAsia"/>
                <w:szCs w:val="21"/>
              </w:rPr>
              <w:t>12</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ADE3290" w14:textId="77777777" w:rsidR="004C06C5" w:rsidRDefault="00ED474B">
            <w:pPr>
              <w:rPr>
                <w:rFonts w:ascii="宋体" w:hAnsi="宋体"/>
                <w:szCs w:val="21"/>
              </w:rPr>
            </w:pPr>
            <w:r>
              <w:rPr>
                <w:rFonts w:ascii="宋体" w:hAnsi="宋体" w:hint="eastAsia"/>
                <w:szCs w:val="21"/>
              </w:rPr>
              <w:t>富荣基金管理有限公司关于旗下部分基金新增华鑫证券有限责任公司为销售机构并开通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946B23B"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09</w:t>
            </w:r>
            <w:r>
              <w:rPr>
                <w:rFonts w:ascii="宋体" w:hAnsi="宋体" w:hint="eastAsia"/>
                <w:szCs w:val="21"/>
              </w:rPr>
              <w:t>日</w:t>
            </w:r>
          </w:p>
        </w:tc>
      </w:tr>
      <w:tr w:rsidR="004C06C5" w14:paraId="57F8688D"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C67C071" w14:textId="77777777" w:rsidR="004C06C5" w:rsidRDefault="00ED474B">
            <w:pPr>
              <w:rPr>
                <w:rFonts w:ascii="宋体" w:hAnsi="宋体"/>
                <w:szCs w:val="21"/>
              </w:rPr>
            </w:pPr>
            <w:r>
              <w:rPr>
                <w:rFonts w:ascii="宋体" w:hAnsi="宋体" w:hint="eastAsia"/>
                <w:szCs w:val="21"/>
              </w:rPr>
              <w:t>13</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334EB2ED" w14:textId="77777777" w:rsidR="004C06C5" w:rsidRDefault="00ED474B">
            <w:pPr>
              <w:rPr>
                <w:rFonts w:ascii="宋体" w:hAnsi="宋体"/>
                <w:szCs w:val="21"/>
              </w:rPr>
            </w:pPr>
            <w:r>
              <w:rPr>
                <w:rFonts w:ascii="宋体" w:hAnsi="宋体" w:hint="eastAsia"/>
                <w:szCs w:val="21"/>
              </w:rPr>
              <w:t>富荣基金管理有限公司关于旗下部分基金参加上海挖财基金销售有限公司基金申购及定期定额投资申购费率优惠活动的公告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D32FBF2"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14:paraId="0B431D50"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FCFC9F4" w14:textId="77777777" w:rsidR="004C06C5" w:rsidRDefault="00ED474B">
            <w:pPr>
              <w:rPr>
                <w:rFonts w:ascii="宋体" w:hAnsi="宋体"/>
                <w:szCs w:val="21"/>
              </w:rPr>
            </w:pPr>
            <w:r>
              <w:rPr>
                <w:rFonts w:ascii="宋体" w:hAnsi="宋体" w:hint="eastAsia"/>
                <w:szCs w:val="21"/>
              </w:rPr>
              <w:t>14</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11838297" w14:textId="77777777" w:rsidR="004C06C5" w:rsidRDefault="00ED474B">
            <w:pPr>
              <w:rPr>
                <w:rFonts w:ascii="宋体" w:hAnsi="宋体"/>
                <w:szCs w:val="21"/>
              </w:rPr>
            </w:pPr>
            <w:r>
              <w:rPr>
                <w:rFonts w:ascii="宋体" w:hAnsi="宋体" w:hint="eastAsia"/>
                <w:szCs w:val="21"/>
              </w:rPr>
              <w:t>富荣基金管理有限公司关于旗下部分基金新增上海挖财基金销售有限公司为销售机构并开通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D359286"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14:paraId="4C3468DD"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8C838A4" w14:textId="77777777" w:rsidR="004C06C5" w:rsidRDefault="00ED474B">
            <w:pPr>
              <w:rPr>
                <w:rFonts w:ascii="宋体" w:hAnsi="宋体"/>
                <w:szCs w:val="21"/>
              </w:rPr>
            </w:pPr>
            <w:r>
              <w:rPr>
                <w:rFonts w:ascii="宋体" w:hAnsi="宋体" w:hint="eastAsia"/>
                <w:szCs w:val="21"/>
              </w:rPr>
              <w:t>15</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2431B65C" w14:textId="77777777" w:rsidR="004C06C5" w:rsidRDefault="00ED474B">
            <w:pPr>
              <w:rPr>
                <w:rFonts w:ascii="宋体" w:hAnsi="宋体"/>
                <w:szCs w:val="21"/>
              </w:rPr>
            </w:pPr>
            <w:r>
              <w:rPr>
                <w:rFonts w:ascii="宋体" w:hAnsi="宋体" w:hint="eastAsia"/>
                <w:szCs w:val="21"/>
              </w:rPr>
              <w:t>富荣基金管理有限公司关于旗下部分基金参加诺亚正</w:t>
            </w:r>
            <w:proofErr w:type="gramStart"/>
            <w:r>
              <w:rPr>
                <w:rFonts w:ascii="宋体" w:hAnsi="宋体" w:hint="eastAsia"/>
                <w:szCs w:val="21"/>
              </w:rPr>
              <w:t>行基金</w:t>
            </w:r>
            <w:proofErr w:type="gramEnd"/>
            <w:r>
              <w:rPr>
                <w:rFonts w:ascii="宋体" w:hAnsi="宋体" w:hint="eastAsia"/>
                <w:szCs w:val="21"/>
              </w:rPr>
              <w:t>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22DA58A"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14:paraId="566260A6"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1A7B5F0" w14:textId="77777777" w:rsidR="004C06C5" w:rsidRDefault="00ED474B">
            <w:pPr>
              <w:rPr>
                <w:rFonts w:ascii="宋体" w:hAnsi="宋体"/>
                <w:szCs w:val="21"/>
              </w:rPr>
            </w:pPr>
            <w:r>
              <w:rPr>
                <w:rFonts w:ascii="宋体" w:hAnsi="宋体" w:hint="eastAsia"/>
                <w:szCs w:val="21"/>
              </w:rPr>
              <w:t>16</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69FB6EE2" w14:textId="77777777" w:rsidR="004C06C5" w:rsidRDefault="00ED474B">
            <w:pPr>
              <w:rPr>
                <w:rFonts w:ascii="宋体" w:hAnsi="宋体"/>
                <w:szCs w:val="21"/>
              </w:rPr>
            </w:pPr>
            <w:r>
              <w:rPr>
                <w:rFonts w:ascii="宋体" w:hAnsi="宋体" w:hint="eastAsia"/>
                <w:szCs w:val="21"/>
              </w:rPr>
              <w:t>富荣基金管理有限公司关于旗下部分基金新增诺亚正</w:t>
            </w:r>
            <w:proofErr w:type="gramStart"/>
            <w:r>
              <w:rPr>
                <w:rFonts w:ascii="宋体" w:hAnsi="宋体" w:hint="eastAsia"/>
                <w:szCs w:val="21"/>
              </w:rPr>
              <w:t>行基金</w:t>
            </w:r>
            <w:proofErr w:type="gramEnd"/>
            <w:r>
              <w:rPr>
                <w:rFonts w:ascii="宋体" w:hAnsi="宋体" w:hint="eastAsia"/>
                <w:szCs w:val="21"/>
              </w:rPr>
              <w:t>销售有限公司为销售机构并开通基金</w:t>
            </w:r>
            <w:proofErr w:type="gramStart"/>
            <w:r>
              <w:rPr>
                <w:rFonts w:ascii="宋体" w:hAnsi="宋体" w:hint="eastAsia"/>
                <w:szCs w:val="21"/>
              </w:rPr>
              <w:t>定投业务</w:t>
            </w:r>
            <w:proofErr w:type="gramEnd"/>
            <w:r>
              <w:rPr>
                <w:rFonts w:ascii="宋体" w:hAnsi="宋体" w:hint="eastAsia"/>
                <w:szCs w:val="21"/>
              </w:rPr>
              <w:t>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DD9C4DE"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14:paraId="60A8F27D"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7229EA4" w14:textId="77777777" w:rsidR="004C06C5" w:rsidRDefault="00ED474B">
            <w:pPr>
              <w:rPr>
                <w:rFonts w:ascii="宋体" w:hAnsi="宋体"/>
                <w:szCs w:val="21"/>
              </w:rPr>
            </w:pPr>
            <w:r>
              <w:rPr>
                <w:rFonts w:ascii="宋体" w:hAnsi="宋体" w:hint="eastAsia"/>
                <w:szCs w:val="21"/>
              </w:rPr>
              <w:t>17</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262CC75B"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w:t>
            </w:r>
            <w:r>
              <w:rPr>
                <w:rFonts w:ascii="宋体" w:hAnsi="宋体"/>
                <w:szCs w:val="21"/>
              </w:rPr>
              <w:t>2019</w:t>
            </w:r>
            <w:r>
              <w:rPr>
                <w:rFonts w:ascii="宋体" w:hAnsi="宋体" w:hint="eastAsia"/>
                <w:szCs w:val="21"/>
              </w:rPr>
              <w:t>年第一季度报告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EE8B65E"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20</w:t>
            </w:r>
            <w:r>
              <w:rPr>
                <w:rFonts w:ascii="宋体" w:hAnsi="宋体" w:hint="eastAsia"/>
                <w:szCs w:val="21"/>
              </w:rPr>
              <w:t>日</w:t>
            </w:r>
          </w:p>
        </w:tc>
      </w:tr>
      <w:tr w:rsidR="004C06C5" w14:paraId="0484C4D5"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C6B840B" w14:textId="77777777" w:rsidR="004C06C5" w:rsidRDefault="00ED474B">
            <w:pPr>
              <w:rPr>
                <w:rFonts w:ascii="宋体" w:hAnsi="宋体"/>
                <w:szCs w:val="21"/>
              </w:rPr>
            </w:pPr>
            <w:r>
              <w:rPr>
                <w:rFonts w:ascii="宋体" w:hAnsi="宋体" w:hint="eastAsia"/>
                <w:szCs w:val="21"/>
              </w:rPr>
              <w:t>18</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3B583A5" w14:textId="77777777" w:rsidR="004C06C5" w:rsidRDefault="00ED474B">
            <w:pPr>
              <w:rPr>
                <w:rFonts w:ascii="宋体" w:hAnsi="宋体"/>
                <w:szCs w:val="21"/>
              </w:rPr>
            </w:pPr>
            <w:r>
              <w:rPr>
                <w:rFonts w:ascii="宋体" w:hAnsi="宋体" w:hint="eastAsia"/>
                <w:szCs w:val="21"/>
              </w:rPr>
              <w:t>富荣基金管理有限公司关于旗下部分基金参加上海</w:t>
            </w:r>
            <w:proofErr w:type="gramStart"/>
            <w:r>
              <w:rPr>
                <w:rFonts w:ascii="宋体" w:hAnsi="宋体" w:hint="eastAsia"/>
                <w:szCs w:val="21"/>
              </w:rPr>
              <w:t>凯</w:t>
            </w:r>
            <w:proofErr w:type="gramEnd"/>
            <w:r>
              <w:rPr>
                <w:rFonts w:ascii="宋体" w:hAnsi="宋体" w:hint="eastAsia"/>
                <w:szCs w:val="21"/>
              </w:rPr>
              <w:t>石财富基金销售有限公司基金申购及定期定额投资申购费率优惠活动的公告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5882F20"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07</w:t>
            </w:r>
            <w:r>
              <w:rPr>
                <w:rFonts w:ascii="宋体" w:hAnsi="宋体" w:hint="eastAsia"/>
                <w:szCs w:val="21"/>
              </w:rPr>
              <w:t>日</w:t>
            </w:r>
          </w:p>
        </w:tc>
      </w:tr>
      <w:tr w:rsidR="004C06C5" w14:paraId="6EF75879"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47FC990" w14:textId="77777777" w:rsidR="004C06C5" w:rsidRDefault="00ED474B">
            <w:pPr>
              <w:rPr>
                <w:rFonts w:ascii="宋体" w:hAnsi="宋体"/>
                <w:szCs w:val="21"/>
              </w:rPr>
            </w:pPr>
            <w:r>
              <w:rPr>
                <w:rFonts w:ascii="宋体" w:hAnsi="宋体" w:hint="eastAsia"/>
                <w:szCs w:val="21"/>
              </w:rPr>
              <w:t>19</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65647D44" w14:textId="77777777" w:rsidR="004C06C5" w:rsidRDefault="00ED474B">
            <w:pPr>
              <w:rPr>
                <w:rFonts w:ascii="宋体" w:hAnsi="宋体"/>
                <w:szCs w:val="21"/>
              </w:rPr>
            </w:pPr>
            <w:r>
              <w:rPr>
                <w:rFonts w:ascii="宋体" w:hAnsi="宋体" w:hint="eastAsia"/>
                <w:szCs w:val="21"/>
              </w:rPr>
              <w:t>富荣基金管理有限公司关于旗下部分基金新增上海</w:t>
            </w:r>
            <w:proofErr w:type="gramStart"/>
            <w:r>
              <w:rPr>
                <w:rFonts w:ascii="宋体" w:hAnsi="宋体" w:hint="eastAsia"/>
                <w:szCs w:val="21"/>
              </w:rPr>
              <w:t>凯</w:t>
            </w:r>
            <w:proofErr w:type="gramEnd"/>
            <w:r>
              <w:rPr>
                <w:rFonts w:ascii="宋体" w:hAnsi="宋体" w:hint="eastAsia"/>
                <w:szCs w:val="21"/>
              </w:rPr>
              <w:t>石财富基金销售有限公司为销售机构并开通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B267F88"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07</w:t>
            </w:r>
            <w:r>
              <w:rPr>
                <w:rFonts w:ascii="宋体" w:hAnsi="宋体" w:hint="eastAsia"/>
                <w:szCs w:val="21"/>
              </w:rPr>
              <w:t>日</w:t>
            </w:r>
          </w:p>
        </w:tc>
      </w:tr>
      <w:tr w:rsidR="004C06C5" w14:paraId="7E793B9B"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20A1285" w14:textId="77777777" w:rsidR="004C06C5" w:rsidRDefault="00ED474B">
            <w:pPr>
              <w:rPr>
                <w:rFonts w:ascii="宋体" w:hAnsi="宋体"/>
                <w:szCs w:val="21"/>
              </w:rPr>
            </w:pPr>
            <w:r>
              <w:rPr>
                <w:rFonts w:ascii="宋体" w:hAnsi="宋体" w:hint="eastAsia"/>
                <w:szCs w:val="21"/>
              </w:rPr>
              <w:t>20</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77535D4" w14:textId="77777777" w:rsidR="004C06C5" w:rsidRDefault="00ED474B">
            <w:pPr>
              <w:rPr>
                <w:rFonts w:ascii="宋体" w:hAnsi="宋体"/>
                <w:szCs w:val="21"/>
              </w:rPr>
            </w:pPr>
            <w:r>
              <w:rPr>
                <w:rFonts w:ascii="宋体" w:hAnsi="宋体" w:hint="eastAsia"/>
                <w:szCs w:val="21"/>
              </w:rPr>
              <w:t>富荣基金管理有限公司关于旗下部分基金参加</w:t>
            </w:r>
            <w:proofErr w:type="gramStart"/>
            <w:r>
              <w:rPr>
                <w:rFonts w:ascii="宋体" w:hAnsi="宋体" w:hint="eastAsia"/>
                <w:szCs w:val="21"/>
              </w:rPr>
              <w:t>泰信财富</w:t>
            </w:r>
            <w:proofErr w:type="gramEnd"/>
            <w:r>
              <w:rPr>
                <w:rFonts w:ascii="宋体" w:hAnsi="宋体" w:hint="eastAsia"/>
                <w:szCs w:val="21"/>
              </w:rPr>
              <w:t>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69F0B16"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14</w:t>
            </w:r>
            <w:r>
              <w:rPr>
                <w:rFonts w:ascii="宋体" w:hAnsi="宋体" w:hint="eastAsia"/>
                <w:szCs w:val="21"/>
              </w:rPr>
              <w:t>日</w:t>
            </w:r>
          </w:p>
        </w:tc>
      </w:tr>
      <w:tr w:rsidR="004C06C5" w14:paraId="57B9A78C"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BF0A9BD" w14:textId="77777777" w:rsidR="004C06C5" w:rsidRDefault="00ED474B">
            <w:pPr>
              <w:rPr>
                <w:rFonts w:ascii="宋体" w:hAnsi="宋体"/>
                <w:szCs w:val="21"/>
              </w:rPr>
            </w:pPr>
            <w:r>
              <w:rPr>
                <w:rFonts w:ascii="宋体" w:hAnsi="宋体" w:hint="eastAsia"/>
                <w:szCs w:val="21"/>
              </w:rPr>
              <w:t>21</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2AAC7806" w14:textId="77777777" w:rsidR="004C06C5" w:rsidRDefault="00ED474B">
            <w:pPr>
              <w:rPr>
                <w:rFonts w:ascii="宋体" w:hAnsi="宋体"/>
                <w:szCs w:val="21"/>
              </w:rPr>
            </w:pPr>
            <w:r>
              <w:rPr>
                <w:rFonts w:ascii="宋体" w:hAnsi="宋体" w:hint="eastAsia"/>
                <w:szCs w:val="21"/>
              </w:rPr>
              <w:t>富荣基金管理有限公司关于旗下部分基金新增</w:t>
            </w:r>
            <w:proofErr w:type="gramStart"/>
            <w:r>
              <w:rPr>
                <w:rFonts w:ascii="宋体" w:hAnsi="宋体" w:hint="eastAsia"/>
                <w:szCs w:val="21"/>
              </w:rPr>
              <w:t>泰信财富</w:t>
            </w:r>
            <w:proofErr w:type="gramEnd"/>
            <w:r>
              <w:rPr>
                <w:rFonts w:ascii="宋体" w:hAnsi="宋体" w:hint="eastAsia"/>
                <w:szCs w:val="21"/>
              </w:rPr>
              <w:t>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5855925"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14</w:t>
            </w:r>
            <w:r>
              <w:rPr>
                <w:rFonts w:ascii="宋体" w:hAnsi="宋体" w:hint="eastAsia"/>
                <w:szCs w:val="21"/>
              </w:rPr>
              <w:t>日</w:t>
            </w:r>
          </w:p>
        </w:tc>
      </w:tr>
      <w:tr w:rsidR="004C06C5" w14:paraId="2CD6093B"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85D8E2A" w14:textId="77777777" w:rsidR="004C06C5" w:rsidRDefault="00ED474B">
            <w:pPr>
              <w:rPr>
                <w:rFonts w:ascii="宋体" w:hAnsi="宋体"/>
                <w:szCs w:val="21"/>
              </w:rPr>
            </w:pPr>
            <w:r>
              <w:rPr>
                <w:rFonts w:ascii="宋体" w:hAnsi="宋体" w:hint="eastAsia"/>
                <w:szCs w:val="21"/>
              </w:rPr>
              <w:t>22</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8238EBE" w14:textId="77777777" w:rsidR="004C06C5" w:rsidRDefault="00ED474B">
            <w:pPr>
              <w:rPr>
                <w:rFonts w:ascii="宋体" w:hAnsi="宋体"/>
                <w:szCs w:val="21"/>
              </w:rPr>
            </w:pPr>
            <w:r>
              <w:rPr>
                <w:rFonts w:ascii="宋体" w:hAnsi="宋体" w:hint="eastAsia"/>
                <w:szCs w:val="21"/>
              </w:rPr>
              <w:t>富荣基金管理有限公司关于旗下部分基金</w:t>
            </w:r>
            <w:proofErr w:type="gramStart"/>
            <w:r>
              <w:rPr>
                <w:rFonts w:ascii="宋体" w:hAnsi="宋体" w:hint="eastAsia"/>
                <w:szCs w:val="21"/>
              </w:rPr>
              <w:t>暂停大泰金石</w:t>
            </w:r>
            <w:proofErr w:type="gramEnd"/>
            <w:r>
              <w:rPr>
                <w:rFonts w:ascii="宋体" w:hAnsi="宋体" w:hint="eastAsia"/>
                <w:szCs w:val="21"/>
              </w:rPr>
              <w:t>代销渠道申购、定期定额投资及转换转入业务的公告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727CC50"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22</w:t>
            </w:r>
            <w:r>
              <w:rPr>
                <w:rFonts w:ascii="宋体" w:hAnsi="宋体" w:hint="eastAsia"/>
                <w:szCs w:val="21"/>
              </w:rPr>
              <w:t>日</w:t>
            </w:r>
          </w:p>
        </w:tc>
      </w:tr>
      <w:tr w:rsidR="004C06C5" w14:paraId="7F55423F"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A2CF30D" w14:textId="77777777" w:rsidR="004C06C5" w:rsidRDefault="00ED474B">
            <w:pPr>
              <w:rPr>
                <w:rFonts w:ascii="宋体" w:hAnsi="宋体"/>
                <w:szCs w:val="21"/>
              </w:rPr>
            </w:pPr>
            <w:r>
              <w:rPr>
                <w:rFonts w:ascii="宋体" w:hAnsi="宋体" w:hint="eastAsia"/>
                <w:szCs w:val="21"/>
              </w:rPr>
              <w:t>23</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197512AA" w14:textId="77777777" w:rsidR="004C06C5" w:rsidRDefault="00ED474B">
            <w:pPr>
              <w:rPr>
                <w:rFonts w:ascii="宋体" w:hAnsi="宋体"/>
                <w:szCs w:val="21"/>
              </w:rPr>
            </w:pPr>
            <w:r>
              <w:rPr>
                <w:rFonts w:ascii="宋体" w:hAnsi="宋体" w:hint="eastAsia"/>
                <w:szCs w:val="21"/>
              </w:rPr>
              <w:t>富荣基金管理有限公司关于增聘副总经理的公告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B59CE89"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15</w:t>
            </w:r>
            <w:r>
              <w:rPr>
                <w:rFonts w:ascii="宋体" w:hAnsi="宋体" w:hint="eastAsia"/>
                <w:szCs w:val="21"/>
              </w:rPr>
              <w:t>日</w:t>
            </w:r>
          </w:p>
        </w:tc>
      </w:tr>
      <w:tr w:rsidR="004C06C5" w14:paraId="6CFDEF9A"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4DB5AFC" w14:textId="77777777" w:rsidR="004C06C5" w:rsidRDefault="00ED474B">
            <w:pPr>
              <w:rPr>
                <w:rFonts w:ascii="宋体" w:hAnsi="宋体"/>
                <w:szCs w:val="21"/>
              </w:rPr>
            </w:pPr>
            <w:r>
              <w:rPr>
                <w:rFonts w:ascii="宋体" w:hAnsi="宋体" w:hint="eastAsia"/>
                <w:szCs w:val="21"/>
              </w:rPr>
              <w:lastRenderedPageBreak/>
              <w:t>24</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6E3E1ED4" w14:textId="77777777" w:rsidR="004C06C5" w:rsidRDefault="00ED474B">
            <w:pPr>
              <w:rPr>
                <w:rFonts w:ascii="宋体" w:hAnsi="宋体"/>
                <w:szCs w:val="21"/>
              </w:rPr>
            </w:pPr>
            <w:r>
              <w:rPr>
                <w:rFonts w:ascii="宋体" w:hAnsi="宋体" w:hint="eastAsia"/>
                <w:szCs w:val="21"/>
              </w:rPr>
              <w:t>富荣基金管理有限公司关于旗下部分基金新增长城证券股份有限公司为销售机构并开通基金转换业务的公告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031AE70"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21</w:t>
            </w:r>
            <w:r>
              <w:rPr>
                <w:rFonts w:ascii="宋体" w:hAnsi="宋体" w:hint="eastAsia"/>
                <w:szCs w:val="21"/>
              </w:rPr>
              <w:t>日</w:t>
            </w:r>
          </w:p>
        </w:tc>
      </w:tr>
      <w:tr w:rsidR="004C06C5" w14:paraId="10205759"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4DDDCE1" w14:textId="77777777" w:rsidR="004C06C5" w:rsidRDefault="00ED474B">
            <w:pPr>
              <w:rPr>
                <w:rFonts w:ascii="宋体" w:hAnsi="宋体"/>
                <w:szCs w:val="21"/>
              </w:rPr>
            </w:pPr>
            <w:r>
              <w:rPr>
                <w:rFonts w:ascii="宋体" w:hAnsi="宋体" w:hint="eastAsia"/>
                <w:szCs w:val="21"/>
              </w:rPr>
              <w:t>25</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2E6FA058" w14:textId="77777777" w:rsidR="004C06C5" w:rsidRDefault="00ED474B">
            <w:pPr>
              <w:rPr>
                <w:rFonts w:ascii="宋体" w:hAnsi="宋体"/>
                <w:szCs w:val="21"/>
              </w:rPr>
            </w:pPr>
            <w:r>
              <w:rPr>
                <w:rFonts w:ascii="宋体" w:hAnsi="宋体" w:hint="eastAsia"/>
                <w:szCs w:val="21"/>
              </w:rPr>
              <w:t>富荣基金管理有限公司关于旗下部分基金新增上海好买基金销售有限公司为销售机构并开通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B672C6F"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29</w:t>
            </w:r>
            <w:r>
              <w:rPr>
                <w:rFonts w:ascii="宋体" w:hAnsi="宋体" w:hint="eastAsia"/>
                <w:szCs w:val="21"/>
              </w:rPr>
              <w:t>日</w:t>
            </w:r>
          </w:p>
        </w:tc>
      </w:tr>
      <w:tr w:rsidR="004C06C5" w14:paraId="0E3ED35F"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3C3AD93" w14:textId="77777777" w:rsidR="004C06C5" w:rsidRDefault="00ED474B">
            <w:pPr>
              <w:rPr>
                <w:rFonts w:ascii="宋体" w:hAnsi="宋体"/>
                <w:szCs w:val="21"/>
              </w:rPr>
            </w:pPr>
            <w:r>
              <w:rPr>
                <w:rFonts w:ascii="宋体" w:hAnsi="宋体" w:hint="eastAsia"/>
                <w:szCs w:val="21"/>
              </w:rPr>
              <w:t>26</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4E6BBBD" w14:textId="77777777" w:rsidR="004C06C5" w:rsidRDefault="00ED474B">
            <w:pPr>
              <w:rPr>
                <w:rFonts w:ascii="宋体" w:hAnsi="宋体"/>
                <w:szCs w:val="21"/>
              </w:rPr>
            </w:pPr>
            <w:r>
              <w:rPr>
                <w:rFonts w:ascii="宋体" w:hAnsi="宋体" w:hint="eastAsia"/>
                <w:szCs w:val="21"/>
              </w:rPr>
              <w:t>富荣基金管理有限公司关于旗下部分基金参加上海好买基金销售有限公司基金申购及定期定额投资申购费率优惠活动的公告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2BD2B9B"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29</w:t>
            </w:r>
            <w:r>
              <w:rPr>
                <w:rFonts w:ascii="宋体" w:hAnsi="宋体" w:hint="eastAsia"/>
                <w:szCs w:val="21"/>
              </w:rPr>
              <w:t>日</w:t>
            </w:r>
          </w:p>
        </w:tc>
      </w:tr>
      <w:tr w:rsidR="004C06C5" w14:paraId="25829B8B"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B3F92DE" w14:textId="77777777" w:rsidR="004C06C5" w:rsidRDefault="00ED474B">
            <w:pPr>
              <w:rPr>
                <w:rFonts w:ascii="宋体" w:hAnsi="宋体"/>
                <w:szCs w:val="21"/>
              </w:rPr>
            </w:pPr>
            <w:r>
              <w:rPr>
                <w:rFonts w:ascii="宋体" w:hAnsi="宋体" w:hint="eastAsia"/>
                <w:szCs w:val="21"/>
              </w:rPr>
              <w:t>27</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0F220B1" w14:textId="77777777" w:rsidR="004C06C5" w:rsidRDefault="00ED474B">
            <w:pPr>
              <w:rPr>
                <w:rFonts w:ascii="宋体" w:hAnsi="宋体"/>
                <w:szCs w:val="21"/>
              </w:rPr>
            </w:pPr>
            <w:r>
              <w:rPr>
                <w:rFonts w:ascii="宋体" w:hAnsi="宋体" w:hint="eastAsia"/>
                <w:szCs w:val="21"/>
              </w:rPr>
              <w:t>富荣基金管理有限公司旗下基金</w:t>
            </w:r>
            <w:r>
              <w:rPr>
                <w:rFonts w:ascii="宋体" w:hAnsi="宋体"/>
                <w:szCs w:val="21"/>
              </w:rPr>
              <w:t>2019</w:t>
            </w:r>
            <w:r>
              <w:rPr>
                <w:rFonts w:ascii="宋体" w:hAnsi="宋体" w:hint="eastAsia"/>
                <w:szCs w:val="21"/>
              </w:rPr>
              <w:t>年半年度最后一个交易日基金资产净值、基金份额净值及份额累计净值公告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3DD2289"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29</w:t>
            </w:r>
            <w:r>
              <w:rPr>
                <w:rFonts w:ascii="宋体" w:hAnsi="宋体" w:hint="eastAsia"/>
                <w:szCs w:val="21"/>
              </w:rPr>
              <w:t>日</w:t>
            </w:r>
          </w:p>
        </w:tc>
      </w:tr>
      <w:tr w:rsidR="004C06C5" w14:paraId="26232B21"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E95D8B3" w14:textId="77777777" w:rsidR="004C06C5" w:rsidRDefault="00ED474B">
            <w:pPr>
              <w:rPr>
                <w:rFonts w:ascii="宋体" w:hAnsi="宋体"/>
                <w:szCs w:val="21"/>
              </w:rPr>
            </w:pPr>
            <w:r>
              <w:rPr>
                <w:rFonts w:ascii="宋体" w:hAnsi="宋体" w:hint="eastAsia"/>
                <w:szCs w:val="21"/>
              </w:rPr>
              <w:t>28</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5A6FD27" w14:textId="77777777" w:rsidR="004C06C5" w:rsidRDefault="00ED474B">
            <w:pPr>
              <w:rPr>
                <w:rFonts w:ascii="宋体" w:hAnsi="宋体"/>
                <w:szCs w:val="21"/>
              </w:rPr>
            </w:pPr>
            <w:r>
              <w:rPr>
                <w:rFonts w:ascii="宋体" w:hAnsi="宋体" w:hint="eastAsia"/>
                <w:szCs w:val="21"/>
              </w:rPr>
              <w:t>富荣基金管理有限公司旗下基金</w:t>
            </w:r>
            <w:r>
              <w:rPr>
                <w:rFonts w:ascii="宋体" w:hAnsi="宋体"/>
                <w:szCs w:val="21"/>
              </w:rPr>
              <w:t>2019</w:t>
            </w:r>
            <w:r>
              <w:rPr>
                <w:rFonts w:ascii="宋体" w:hAnsi="宋体" w:hint="eastAsia"/>
                <w:szCs w:val="21"/>
              </w:rPr>
              <w:t>年半年度最后一个市场自然日基金资产净值、基金份额净值及份额累计净值公告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24AAEDD"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01</w:t>
            </w:r>
            <w:r>
              <w:rPr>
                <w:rFonts w:ascii="宋体" w:hAnsi="宋体" w:hint="eastAsia"/>
                <w:szCs w:val="21"/>
              </w:rPr>
              <w:t>日</w:t>
            </w:r>
          </w:p>
        </w:tc>
      </w:tr>
      <w:tr w:rsidR="004C06C5" w14:paraId="357A3010"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E3A5879" w14:textId="77777777" w:rsidR="004C06C5" w:rsidRDefault="00ED474B">
            <w:pPr>
              <w:rPr>
                <w:rFonts w:ascii="宋体" w:hAnsi="宋体"/>
                <w:szCs w:val="21"/>
              </w:rPr>
            </w:pPr>
            <w:r>
              <w:rPr>
                <w:rFonts w:ascii="宋体" w:hAnsi="宋体" w:hint="eastAsia"/>
                <w:szCs w:val="21"/>
              </w:rPr>
              <w:t>29</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F60D860" w14:textId="77777777" w:rsidR="004C06C5" w:rsidRDefault="00ED474B">
            <w:pPr>
              <w:rPr>
                <w:rFonts w:ascii="宋体" w:hAnsi="宋体"/>
                <w:szCs w:val="21"/>
              </w:rPr>
            </w:pPr>
            <w:r>
              <w:rPr>
                <w:rFonts w:ascii="宋体" w:hAnsi="宋体" w:hint="eastAsia"/>
                <w:szCs w:val="21"/>
              </w:rPr>
              <w:t>富荣基金管理有限公司关于旗下部分基金新增上海陆金</w:t>
            </w:r>
            <w:proofErr w:type="gramStart"/>
            <w:r>
              <w:rPr>
                <w:rFonts w:ascii="宋体" w:hAnsi="宋体" w:hint="eastAsia"/>
                <w:szCs w:val="21"/>
              </w:rPr>
              <w:t>所基金</w:t>
            </w:r>
            <w:proofErr w:type="gramEnd"/>
            <w:r>
              <w:rPr>
                <w:rFonts w:ascii="宋体" w:hAnsi="宋体" w:hint="eastAsia"/>
                <w:szCs w:val="21"/>
              </w:rPr>
              <w:t>销售有限公司为销售机构并开通基金</w:t>
            </w:r>
            <w:proofErr w:type="gramStart"/>
            <w:r>
              <w:rPr>
                <w:rFonts w:ascii="宋体" w:hAnsi="宋体" w:hint="eastAsia"/>
                <w:szCs w:val="21"/>
              </w:rPr>
              <w:t>定投业务</w:t>
            </w:r>
            <w:proofErr w:type="gramEnd"/>
            <w:r>
              <w:rPr>
                <w:rFonts w:ascii="宋体" w:hAnsi="宋体" w:hint="eastAsia"/>
                <w:szCs w:val="21"/>
              </w:rPr>
              <w:t>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1599A1E"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09</w:t>
            </w:r>
            <w:r>
              <w:rPr>
                <w:rFonts w:ascii="宋体" w:hAnsi="宋体" w:hint="eastAsia"/>
                <w:szCs w:val="21"/>
              </w:rPr>
              <w:t>日</w:t>
            </w:r>
          </w:p>
        </w:tc>
      </w:tr>
      <w:tr w:rsidR="004C06C5" w14:paraId="33B1DEA3"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B92B460" w14:textId="77777777" w:rsidR="004C06C5" w:rsidRDefault="00ED474B">
            <w:pPr>
              <w:rPr>
                <w:rFonts w:ascii="宋体" w:hAnsi="宋体"/>
                <w:szCs w:val="21"/>
              </w:rPr>
            </w:pPr>
            <w:r>
              <w:rPr>
                <w:rFonts w:ascii="宋体" w:hAnsi="宋体" w:hint="eastAsia"/>
                <w:szCs w:val="21"/>
              </w:rPr>
              <w:t>30</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361E8331" w14:textId="77777777" w:rsidR="004C06C5" w:rsidRDefault="00ED474B">
            <w:pPr>
              <w:rPr>
                <w:rFonts w:ascii="宋体" w:hAnsi="宋体"/>
                <w:szCs w:val="21"/>
              </w:rPr>
            </w:pPr>
            <w:r>
              <w:rPr>
                <w:rFonts w:ascii="宋体" w:hAnsi="宋体" w:hint="eastAsia"/>
                <w:szCs w:val="21"/>
              </w:rPr>
              <w:t>富荣基金管理有限公司关于旗下部分基金新增浙江同花</w:t>
            </w:r>
            <w:proofErr w:type="gramStart"/>
            <w:r>
              <w:rPr>
                <w:rFonts w:ascii="宋体" w:hAnsi="宋体" w:hint="eastAsia"/>
                <w:szCs w:val="21"/>
              </w:rPr>
              <w:t>顺基金</w:t>
            </w:r>
            <w:proofErr w:type="gramEnd"/>
            <w:r>
              <w:rPr>
                <w:rFonts w:ascii="宋体" w:hAnsi="宋体" w:hint="eastAsia"/>
                <w:szCs w:val="21"/>
              </w:rPr>
              <w:t>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B9BD11B"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12</w:t>
            </w:r>
            <w:r>
              <w:rPr>
                <w:rFonts w:ascii="宋体" w:hAnsi="宋体" w:hint="eastAsia"/>
                <w:szCs w:val="21"/>
              </w:rPr>
              <w:t>日</w:t>
            </w:r>
          </w:p>
        </w:tc>
      </w:tr>
      <w:tr w:rsidR="004C06C5" w14:paraId="3C88AD43"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9B6E749" w14:textId="77777777" w:rsidR="004C06C5" w:rsidRDefault="00ED474B">
            <w:pPr>
              <w:rPr>
                <w:rFonts w:ascii="宋体" w:hAnsi="宋体"/>
                <w:szCs w:val="21"/>
              </w:rPr>
            </w:pPr>
            <w:r>
              <w:rPr>
                <w:rFonts w:ascii="宋体" w:hAnsi="宋体" w:hint="eastAsia"/>
                <w:szCs w:val="21"/>
              </w:rPr>
              <w:t>31</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8D3ADB8" w14:textId="77777777" w:rsidR="004C06C5" w:rsidRDefault="00ED474B">
            <w:pPr>
              <w:rPr>
                <w:rFonts w:ascii="宋体" w:hAnsi="宋体"/>
                <w:szCs w:val="21"/>
              </w:rPr>
            </w:pPr>
            <w:r>
              <w:rPr>
                <w:rFonts w:ascii="宋体" w:hAnsi="宋体" w:hint="eastAsia"/>
                <w:szCs w:val="21"/>
              </w:rPr>
              <w:t>富荣基金管理有限公司关于旗下部分基金新增上海天天基金销售有限公司为销售机构并开通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BBC2949"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15</w:t>
            </w:r>
            <w:r>
              <w:rPr>
                <w:rFonts w:ascii="宋体" w:hAnsi="宋体" w:hint="eastAsia"/>
                <w:szCs w:val="21"/>
              </w:rPr>
              <w:t>日</w:t>
            </w:r>
          </w:p>
        </w:tc>
      </w:tr>
      <w:tr w:rsidR="004C06C5" w14:paraId="0A61EE7B"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26BB1B7" w14:textId="77777777" w:rsidR="004C06C5" w:rsidRDefault="00ED474B">
            <w:pPr>
              <w:rPr>
                <w:rFonts w:ascii="宋体" w:hAnsi="宋体"/>
                <w:szCs w:val="21"/>
              </w:rPr>
            </w:pPr>
            <w:r>
              <w:rPr>
                <w:rFonts w:ascii="宋体" w:hAnsi="宋体" w:hint="eastAsia"/>
                <w:szCs w:val="21"/>
              </w:rPr>
              <w:t>32</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88D932B" w14:textId="77777777" w:rsidR="004C06C5" w:rsidRDefault="00ED474B">
            <w:pPr>
              <w:rPr>
                <w:rFonts w:ascii="宋体" w:hAnsi="宋体"/>
                <w:szCs w:val="21"/>
              </w:rPr>
            </w:pPr>
            <w:r>
              <w:rPr>
                <w:rFonts w:ascii="宋体" w:hAnsi="宋体" w:hint="eastAsia"/>
                <w:szCs w:val="21"/>
              </w:rPr>
              <w:t>富荣基金管理有限公司关于旗下部分基金新增五</w:t>
            </w:r>
            <w:proofErr w:type="gramStart"/>
            <w:r>
              <w:rPr>
                <w:rFonts w:ascii="宋体" w:hAnsi="宋体" w:hint="eastAsia"/>
                <w:szCs w:val="21"/>
              </w:rPr>
              <w:t>矿证券</w:t>
            </w:r>
            <w:proofErr w:type="gramEnd"/>
            <w:r>
              <w:rPr>
                <w:rFonts w:ascii="宋体" w:hAnsi="宋体" w:hint="eastAsia"/>
                <w:szCs w:val="21"/>
              </w:rPr>
              <w:t>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A53C2B8"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17</w:t>
            </w:r>
            <w:r>
              <w:rPr>
                <w:rFonts w:ascii="宋体" w:hAnsi="宋体" w:hint="eastAsia"/>
                <w:szCs w:val="21"/>
              </w:rPr>
              <w:t>日</w:t>
            </w:r>
          </w:p>
        </w:tc>
      </w:tr>
      <w:tr w:rsidR="004C06C5" w14:paraId="44C98AF2"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A068BCB" w14:textId="77777777" w:rsidR="004C06C5" w:rsidRDefault="00ED474B">
            <w:pPr>
              <w:rPr>
                <w:rFonts w:ascii="宋体" w:hAnsi="宋体"/>
                <w:szCs w:val="21"/>
              </w:rPr>
            </w:pPr>
            <w:r>
              <w:rPr>
                <w:rFonts w:ascii="宋体" w:hAnsi="宋体" w:hint="eastAsia"/>
                <w:szCs w:val="21"/>
              </w:rPr>
              <w:t>33</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182DE3E8"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w:t>
            </w:r>
            <w:r>
              <w:rPr>
                <w:rFonts w:ascii="宋体" w:hAnsi="宋体"/>
                <w:szCs w:val="21"/>
              </w:rPr>
              <w:t>2019</w:t>
            </w:r>
            <w:r>
              <w:rPr>
                <w:rFonts w:ascii="宋体" w:hAnsi="宋体" w:hint="eastAsia"/>
                <w:szCs w:val="21"/>
              </w:rPr>
              <w:t>年第二季度报告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38D0A1B"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18</w:t>
            </w:r>
            <w:r>
              <w:rPr>
                <w:rFonts w:ascii="宋体" w:hAnsi="宋体" w:hint="eastAsia"/>
                <w:szCs w:val="21"/>
              </w:rPr>
              <w:t>日</w:t>
            </w:r>
          </w:p>
        </w:tc>
      </w:tr>
      <w:tr w:rsidR="004C06C5" w14:paraId="59D4F273"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2E4374A" w14:textId="77777777" w:rsidR="004C06C5" w:rsidRDefault="00ED474B">
            <w:pPr>
              <w:rPr>
                <w:rFonts w:ascii="宋体" w:hAnsi="宋体"/>
                <w:szCs w:val="21"/>
              </w:rPr>
            </w:pPr>
            <w:r>
              <w:rPr>
                <w:rFonts w:ascii="宋体" w:hAnsi="宋体" w:hint="eastAsia"/>
                <w:szCs w:val="21"/>
              </w:rPr>
              <w:t>34</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829CF67" w14:textId="77777777" w:rsidR="004C06C5" w:rsidRDefault="00ED474B">
            <w:pPr>
              <w:rPr>
                <w:rFonts w:ascii="宋体" w:hAnsi="宋体"/>
                <w:szCs w:val="21"/>
              </w:rPr>
            </w:pPr>
            <w:r>
              <w:rPr>
                <w:rFonts w:ascii="宋体" w:hAnsi="宋体" w:hint="eastAsia"/>
                <w:szCs w:val="21"/>
              </w:rPr>
              <w:t>富荣基金管理有限公司关于旗下部分基金新增蚂蚁（杭州）基金销售有限公司为销售机构并开通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7065AC4"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22</w:t>
            </w:r>
            <w:r>
              <w:rPr>
                <w:rFonts w:ascii="宋体" w:hAnsi="宋体" w:hint="eastAsia"/>
                <w:szCs w:val="21"/>
              </w:rPr>
              <w:t>日</w:t>
            </w:r>
          </w:p>
        </w:tc>
      </w:tr>
      <w:tr w:rsidR="004C06C5" w14:paraId="4EBC3036"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9660DDA" w14:textId="77777777" w:rsidR="004C06C5" w:rsidRDefault="00ED474B">
            <w:pPr>
              <w:rPr>
                <w:rFonts w:ascii="宋体" w:hAnsi="宋体"/>
                <w:szCs w:val="21"/>
              </w:rPr>
            </w:pPr>
            <w:r>
              <w:rPr>
                <w:rFonts w:ascii="宋体" w:hAnsi="宋体" w:hint="eastAsia"/>
                <w:szCs w:val="21"/>
              </w:rPr>
              <w:t>35</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3B2E4980" w14:textId="77777777" w:rsidR="004C06C5" w:rsidRDefault="00ED474B">
            <w:pPr>
              <w:rPr>
                <w:rFonts w:ascii="宋体" w:hAnsi="宋体"/>
                <w:szCs w:val="21"/>
              </w:rPr>
            </w:pPr>
            <w:r>
              <w:rPr>
                <w:rFonts w:ascii="宋体" w:hAnsi="宋体" w:hint="eastAsia"/>
                <w:szCs w:val="21"/>
              </w:rPr>
              <w:t>富荣基金管理有限公司关于旗下部分基金新增上海联泰资产管理有限公司为销售机构并开通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9C67D27"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25</w:t>
            </w:r>
            <w:r>
              <w:rPr>
                <w:rFonts w:ascii="宋体" w:hAnsi="宋体" w:hint="eastAsia"/>
                <w:szCs w:val="21"/>
              </w:rPr>
              <w:t>日</w:t>
            </w:r>
          </w:p>
        </w:tc>
      </w:tr>
      <w:tr w:rsidR="004C06C5" w14:paraId="026ADF2B"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49268F3" w14:textId="77777777" w:rsidR="004C06C5" w:rsidRDefault="00ED474B">
            <w:pPr>
              <w:rPr>
                <w:rFonts w:ascii="宋体" w:hAnsi="宋体"/>
                <w:szCs w:val="21"/>
              </w:rPr>
            </w:pPr>
            <w:r>
              <w:rPr>
                <w:rFonts w:ascii="宋体" w:hAnsi="宋体" w:hint="eastAsia"/>
                <w:szCs w:val="21"/>
              </w:rPr>
              <w:t>36</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1FD10A3F"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型证券投资基金暂停代销渠道申购（含转换转入、定期定额投资）业务的公告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182CFCE"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31</w:t>
            </w:r>
            <w:r>
              <w:rPr>
                <w:rFonts w:ascii="宋体" w:hAnsi="宋体" w:hint="eastAsia"/>
                <w:szCs w:val="21"/>
              </w:rPr>
              <w:t>日</w:t>
            </w:r>
          </w:p>
        </w:tc>
      </w:tr>
      <w:tr w:rsidR="004C06C5" w14:paraId="53174B9C"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900131E" w14:textId="77777777" w:rsidR="004C06C5" w:rsidRDefault="00ED474B">
            <w:pPr>
              <w:rPr>
                <w:rFonts w:ascii="宋体" w:hAnsi="宋体"/>
                <w:szCs w:val="21"/>
              </w:rPr>
            </w:pPr>
            <w:r>
              <w:rPr>
                <w:rFonts w:ascii="宋体" w:hAnsi="宋体" w:hint="eastAsia"/>
                <w:szCs w:val="21"/>
              </w:rPr>
              <w:t>37</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2EA3CF7" w14:textId="77777777" w:rsidR="004C06C5" w:rsidRDefault="00ED474B">
            <w:pPr>
              <w:rPr>
                <w:rFonts w:ascii="宋体" w:hAnsi="宋体"/>
                <w:szCs w:val="21"/>
              </w:rPr>
            </w:pPr>
            <w:r>
              <w:rPr>
                <w:rFonts w:ascii="宋体" w:hAnsi="宋体" w:hint="eastAsia"/>
                <w:szCs w:val="21"/>
              </w:rPr>
              <w:t>富荣基金管理有限公司关于独立董事变更的公告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F31C31F"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07</w:t>
            </w:r>
            <w:r>
              <w:rPr>
                <w:rFonts w:ascii="宋体" w:hAnsi="宋体" w:hint="eastAsia"/>
                <w:szCs w:val="21"/>
              </w:rPr>
              <w:t>日</w:t>
            </w:r>
          </w:p>
        </w:tc>
      </w:tr>
      <w:tr w:rsidR="004C06C5" w14:paraId="7A504843"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FBC8739" w14:textId="77777777" w:rsidR="004C06C5" w:rsidRDefault="00ED474B">
            <w:pPr>
              <w:rPr>
                <w:rFonts w:ascii="宋体" w:hAnsi="宋体"/>
                <w:szCs w:val="21"/>
              </w:rPr>
            </w:pPr>
            <w:r>
              <w:rPr>
                <w:rFonts w:ascii="宋体" w:hAnsi="宋体" w:hint="eastAsia"/>
                <w:szCs w:val="21"/>
              </w:rPr>
              <w:t>38</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3E9C7098"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型证券投资基金2019年基金经理变更公告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2985DB9"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14</w:t>
            </w:r>
            <w:r>
              <w:rPr>
                <w:rFonts w:ascii="宋体" w:hAnsi="宋体" w:hint="eastAsia"/>
                <w:szCs w:val="21"/>
              </w:rPr>
              <w:t>日</w:t>
            </w:r>
          </w:p>
        </w:tc>
      </w:tr>
      <w:tr w:rsidR="004C06C5" w14:paraId="7F29E2BA"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4F12C2C" w14:textId="77777777" w:rsidR="004C06C5" w:rsidRDefault="00ED474B">
            <w:pPr>
              <w:rPr>
                <w:rFonts w:ascii="宋体" w:hAnsi="宋体"/>
                <w:szCs w:val="21"/>
              </w:rPr>
            </w:pPr>
            <w:r>
              <w:rPr>
                <w:rFonts w:ascii="宋体" w:hAnsi="宋体" w:hint="eastAsia"/>
                <w:szCs w:val="21"/>
              </w:rPr>
              <w:t>39</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63387B4F" w14:textId="77777777" w:rsidR="004C06C5" w:rsidRDefault="00ED474B">
            <w:pPr>
              <w:rPr>
                <w:rFonts w:ascii="宋体" w:hAnsi="宋体"/>
                <w:szCs w:val="21"/>
              </w:rPr>
            </w:pPr>
            <w:r>
              <w:rPr>
                <w:rFonts w:ascii="宋体" w:hAnsi="宋体" w:hint="eastAsia"/>
                <w:szCs w:val="21"/>
              </w:rPr>
              <w:t>富荣基金管理有限公司关于旗下部分基金参加北京</w:t>
            </w:r>
            <w:proofErr w:type="gramStart"/>
            <w:r>
              <w:rPr>
                <w:rFonts w:ascii="宋体" w:hAnsi="宋体" w:hint="eastAsia"/>
                <w:szCs w:val="21"/>
              </w:rPr>
              <w:t>唐鼎耀</w:t>
            </w:r>
            <w:proofErr w:type="gramEnd"/>
            <w:r>
              <w:rPr>
                <w:rFonts w:ascii="宋体" w:hAnsi="宋体" w:hint="eastAsia"/>
                <w:szCs w:val="21"/>
              </w:rPr>
              <w:t>华基金销售有限公司基金申购及定期定额投资申购费率优惠活动的公告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8DF7220"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16</w:t>
            </w:r>
            <w:r>
              <w:rPr>
                <w:rFonts w:ascii="宋体" w:hAnsi="宋体" w:hint="eastAsia"/>
                <w:szCs w:val="21"/>
              </w:rPr>
              <w:t>日</w:t>
            </w:r>
          </w:p>
        </w:tc>
      </w:tr>
      <w:tr w:rsidR="004C06C5" w14:paraId="2973FA74"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4EC071D" w14:textId="77777777" w:rsidR="004C06C5" w:rsidRDefault="00ED474B">
            <w:pPr>
              <w:rPr>
                <w:rFonts w:ascii="宋体" w:hAnsi="宋体"/>
                <w:szCs w:val="21"/>
              </w:rPr>
            </w:pPr>
            <w:r>
              <w:rPr>
                <w:rFonts w:ascii="宋体" w:hAnsi="宋体" w:hint="eastAsia"/>
                <w:szCs w:val="21"/>
              </w:rPr>
              <w:t>40</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6DD99BA7" w14:textId="77777777" w:rsidR="004C06C5" w:rsidRDefault="00ED474B">
            <w:pPr>
              <w:rPr>
                <w:rFonts w:ascii="宋体" w:hAnsi="宋体"/>
                <w:szCs w:val="21"/>
              </w:rPr>
            </w:pPr>
            <w:r>
              <w:rPr>
                <w:rFonts w:ascii="宋体" w:hAnsi="宋体" w:hint="eastAsia"/>
                <w:szCs w:val="21"/>
              </w:rPr>
              <w:t>富荣基金管理有限公司关于旗下部分基金新增北京</w:t>
            </w:r>
            <w:proofErr w:type="gramStart"/>
            <w:r>
              <w:rPr>
                <w:rFonts w:ascii="宋体" w:hAnsi="宋体" w:hint="eastAsia"/>
                <w:szCs w:val="21"/>
              </w:rPr>
              <w:t>唐鼎耀</w:t>
            </w:r>
            <w:proofErr w:type="gramEnd"/>
            <w:r>
              <w:rPr>
                <w:rFonts w:ascii="宋体" w:hAnsi="宋体" w:hint="eastAsia"/>
                <w:szCs w:val="21"/>
              </w:rPr>
              <w:t>华基金销售有限公司为销售机构并开通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03557BE"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16</w:t>
            </w:r>
            <w:r>
              <w:rPr>
                <w:rFonts w:ascii="宋体" w:hAnsi="宋体" w:hint="eastAsia"/>
                <w:szCs w:val="21"/>
              </w:rPr>
              <w:t>日</w:t>
            </w:r>
          </w:p>
        </w:tc>
      </w:tr>
      <w:tr w:rsidR="004C06C5" w14:paraId="585AC11D"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15BF33B" w14:textId="77777777" w:rsidR="004C06C5" w:rsidRDefault="00ED474B">
            <w:pPr>
              <w:rPr>
                <w:rFonts w:ascii="宋体" w:hAnsi="宋体"/>
                <w:szCs w:val="21"/>
              </w:rPr>
            </w:pPr>
            <w:r>
              <w:rPr>
                <w:rFonts w:ascii="宋体" w:hAnsi="宋体" w:hint="eastAsia"/>
                <w:szCs w:val="21"/>
              </w:rPr>
              <w:t>41</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1F8EF607" w14:textId="77777777" w:rsidR="004C06C5" w:rsidRDefault="00ED474B">
            <w:pPr>
              <w:rPr>
                <w:rFonts w:ascii="宋体" w:hAnsi="宋体"/>
                <w:szCs w:val="21"/>
              </w:rPr>
            </w:pPr>
            <w:r>
              <w:rPr>
                <w:rFonts w:ascii="宋体" w:hAnsi="宋体" w:hint="eastAsia"/>
                <w:szCs w:val="21"/>
              </w:rPr>
              <w:t>富荣基金管理有限公司关于旗下部分基金参加西藏东方财富证券股份有限公司基金申购费率优惠活动的公告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A812AFB"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22</w:t>
            </w:r>
            <w:r>
              <w:rPr>
                <w:rFonts w:ascii="宋体" w:hAnsi="宋体" w:hint="eastAsia"/>
                <w:szCs w:val="21"/>
              </w:rPr>
              <w:t>日</w:t>
            </w:r>
          </w:p>
        </w:tc>
      </w:tr>
      <w:tr w:rsidR="004C06C5" w14:paraId="4271A273"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CAF5EE3" w14:textId="77777777" w:rsidR="004C06C5" w:rsidRDefault="00ED474B">
            <w:pPr>
              <w:rPr>
                <w:rFonts w:ascii="宋体" w:hAnsi="宋体"/>
                <w:szCs w:val="21"/>
              </w:rPr>
            </w:pPr>
            <w:r>
              <w:rPr>
                <w:rFonts w:ascii="宋体" w:hAnsi="宋体" w:hint="eastAsia"/>
                <w:szCs w:val="21"/>
              </w:rPr>
              <w:t>42</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ED7ECC6" w14:textId="77777777" w:rsidR="004C06C5" w:rsidRDefault="00ED474B">
            <w:pPr>
              <w:rPr>
                <w:rFonts w:ascii="宋体" w:hAnsi="宋体"/>
                <w:szCs w:val="21"/>
              </w:rPr>
            </w:pPr>
            <w:r>
              <w:rPr>
                <w:rFonts w:ascii="宋体" w:hAnsi="宋体" w:hint="eastAsia"/>
                <w:szCs w:val="21"/>
              </w:rPr>
              <w:t>富荣基金管理有限公司关于旗下部分基金新增西藏东方财富证券股份有限公司为销售机构并开通基金转换业务的公告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CA35E9E"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22</w:t>
            </w:r>
            <w:r>
              <w:rPr>
                <w:rFonts w:ascii="宋体" w:hAnsi="宋体" w:hint="eastAsia"/>
                <w:szCs w:val="21"/>
              </w:rPr>
              <w:t>日</w:t>
            </w:r>
          </w:p>
        </w:tc>
      </w:tr>
      <w:tr w:rsidR="004C06C5" w14:paraId="5F7D235D"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C71E175" w14:textId="77777777" w:rsidR="004C06C5" w:rsidRDefault="00ED474B">
            <w:pPr>
              <w:rPr>
                <w:rFonts w:ascii="宋体" w:hAnsi="宋体"/>
                <w:szCs w:val="21"/>
              </w:rPr>
            </w:pPr>
            <w:r>
              <w:rPr>
                <w:rFonts w:ascii="宋体" w:hAnsi="宋体" w:hint="eastAsia"/>
                <w:szCs w:val="21"/>
              </w:rPr>
              <w:t>43</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7E30A83" w14:textId="77777777" w:rsidR="004C06C5" w:rsidRDefault="00ED474B">
            <w:pPr>
              <w:rPr>
                <w:rFonts w:ascii="宋体" w:hAnsi="宋体"/>
                <w:szCs w:val="21"/>
              </w:rPr>
            </w:pPr>
            <w:r>
              <w:rPr>
                <w:rFonts w:ascii="宋体" w:hAnsi="宋体" w:hint="eastAsia"/>
                <w:szCs w:val="21"/>
              </w:rPr>
              <w:t>富荣基金管理有限公司关于旗下部分基金参加北京汇成基金销售有限公司基金申购及定期定额投资申购费率优惠活动的公告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C172898"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23</w:t>
            </w:r>
            <w:r>
              <w:rPr>
                <w:rFonts w:ascii="宋体" w:hAnsi="宋体" w:hint="eastAsia"/>
                <w:szCs w:val="21"/>
              </w:rPr>
              <w:t>日</w:t>
            </w:r>
          </w:p>
        </w:tc>
      </w:tr>
      <w:tr w:rsidR="004C06C5" w14:paraId="0AA7ECE7"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EC27FF3" w14:textId="77777777" w:rsidR="004C06C5" w:rsidRDefault="00ED474B">
            <w:pPr>
              <w:rPr>
                <w:rFonts w:ascii="宋体" w:hAnsi="宋体"/>
                <w:szCs w:val="21"/>
              </w:rPr>
            </w:pPr>
            <w:r>
              <w:rPr>
                <w:rFonts w:ascii="宋体" w:hAnsi="宋体" w:hint="eastAsia"/>
                <w:szCs w:val="21"/>
              </w:rPr>
              <w:t>44</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66B36CF5" w14:textId="77777777" w:rsidR="004C06C5" w:rsidRDefault="00ED474B">
            <w:pPr>
              <w:rPr>
                <w:rFonts w:ascii="宋体" w:hAnsi="宋体"/>
                <w:szCs w:val="21"/>
              </w:rPr>
            </w:pPr>
            <w:r>
              <w:rPr>
                <w:rFonts w:ascii="宋体" w:hAnsi="宋体" w:hint="eastAsia"/>
                <w:szCs w:val="21"/>
              </w:rPr>
              <w:t>富荣基金管理有限公司关于旗下部分基金新增北京汇成基金销售有限公司为销售机构并开通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C67F17D"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23</w:t>
            </w:r>
            <w:r>
              <w:rPr>
                <w:rFonts w:ascii="宋体" w:hAnsi="宋体" w:hint="eastAsia"/>
                <w:szCs w:val="21"/>
              </w:rPr>
              <w:t>日</w:t>
            </w:r>
          </w:p>
        </w:tc>
      </w:tr>
      <w:tr w:rsidR="004C06C5" w14:paraId="72090638"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7381F00" w14:textId="77777777" w:rsidR="004C06C5" w:rsidRDefault="00ED474B">
            <w:pPr>
              <w:rPr>
                <w:rFonts w:ascii="宋体" w:hAnsi="宋体"/>
                <w:szCs w:val="21"/>
              </w:rPr>
            </w:pPr>
            <w:r>
              <w:rPr>
                <w:rFonts w:ascii="宋体" w:hAnsi="宋体" w:hint="eastAsia"/>
                <w:szCs w:val="21"/>
              </w:rPr>
              <w:t>45</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6F0A2EF8" w14:textId="77777777" w:rsidR="004C06C5" w:rsidRDefault="00ED474B">
            <w:pPr>
              <w:rPr>
                <w:rFonts w:ascii="宋体" w:hAnsi="宋体"/>
                <w:szCs w:val="21"/>
              </w:rPr>
            </w:pPr>
            <w:r>
              <w:rPr>
                <w:rFonts w:ascii="宋体" w:hAnsi="宋体" w:hint="eastAsia"/>
                <w:szCs w:val="21"/>
              </w:rPr>
              <w:t>富荣基金管理有限公司关于旗下部分基金参加上海利得基金销售有限公司基金申购及定期定额投资申购费率优惠活动的公告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4B8D67A"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26</w:t>
            </w:r>
            <w:r>
              <w:rPr>
                <w:rFonts w:ascii="宋体" w:hAnsi="宋体" w:hint="eastAsia"/>
                <w:szCs w:val="21"/>
              </w:rPr>
              <w:t>日</w:t>
            </w:r>
          </w:p>
        </w:tc>
      </w:tr>
      <w:tr w:rsidR="004C06C5" w14:paraId="5621E8B6"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F4094F1" w14:textId="77777777" w:rsidR="004C06C5" w:rsidRDefault="00ED474B">
            <w:pPr>
              <w:rPr>
                <w:rFonts w:ascii="宋体" w:hAnsi="宋体"/>
                <w:szCs w:val="21"/>
              </w:rPr>
            </w:pPr>
            <w:r>
              <w:rPr>
                <w:rFonts w:ascii="宋体" w:hAnsi="宋体" w:hint="eastAsia"/>
                <w:szCs w:val="21"/>
              </w:rPr>
              <w:t>46</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B9ED278" w14:textId="77777777" w:rsidR="004C06C5" w:rsidRDefault="00ED474B">
            <w:pPr>
              <w:rPr>
                <w:rFonts w:ascii="宋体" w:hAnsi="宋体"/>
                <w:szCs w:val="21"/>
              </w:rPr>
            </w:pPr>
            <w:r>
              <w:rPr>
                <w:rFonts w:ascii="宋体" w:hAnsi="宋体" w:hint="eastAsia"/>
                <w:szCs w:val="21"/>
              </w:rPr>
              <w:t>富荣基金管理有限公司关于旗下部分基金新增上海利得基金销售有限公司为销售机构并开通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6FD152B"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26</w:t>
            </w:r>
            <w:r>
              <w:rPr>
                <w:rFonts w:ascii="宋体" w:hAnsi="宋体" w:hint="eastAsia"/>
                <w:szCs w:val="21"/>
              </w:rPr>
              <w:t>日</w:t>
            </w:r>
          </w:p>
        </w:tc>
      </w:tr>
      <w:tr w:rsidR="004C06C5" w14:paraId="2682A475"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DE98301" w14:textId="77777777" w:rsidR="004C06C5" w:rsidRDefault="00ED474B">
            <w:pPr>
              <w:rPr>
                <w:rFonts w:ascii="宋体" w:hAnsi="宋体"/>
                <w:szCs w:val="21"/>
              </w:rPr>
            </w:pPr>
            <w:r>
              <w:rPr>
                <w:rFonts w:ascii="宋体" w:hAnsi="宋体" w:hint="eastAsia"/>
                <w:szCs w:val="21"/>
              </w:rPr>
              <w:t>47</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3253A4FE"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型证券投资基金2019年半年度报告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DED5FD7"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27</w:t>
            </w:r>
            <w:r>
              <w:rPr>
                <w:rFonts w:ascii="宋体" w:hAnsi="宋体" w:hint="eastAsia"/>
                <w:szCs w:val="21"/>
              </w:rPr>
              <w:t>日</w:t>
            </w:r>
          </w:p>
        </w:tc>
      </w:tr>
      <w:tr w:rsidR="004C06C5" w14:paraId="3E2B6BBA"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CEBDED0" w14:textId="77777777" w:rsidR="004C06C5" w:rsidRDefault="00ED474B">
            <w:pPr>
              <w:rPr>
                <w:rFonts w:ascii="宋体" w:hAnsi="宋体"/>
                <w:szCs w:val="21"/>
              </w:rPr>
            </w:pPr>
            <w:r>
              <w:rPr>
                <w:rFonts w:ascii="宋体" w:hAnsi="宋体" w:hint="eastAsia"/>
                <w:szCs w:val="21"/>
              </w:rPr>
              <w:t>48</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FCFC83F"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型证券投资基金2019年半年度报告摘要</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1420E4C"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27</w:t>
            </w:r>
            <w:r>
              <w:rPr>
                <w:rFonts w:ascii="宋体" w:hAnsi="宋体" w:hint="eastAsia"/>
                <w:szCs w:val="21"/>
              </w:rPr>
              <w:t>日</w:t>
            </w:r>
          </w:p>
        </w:tc>
      </w:tr>
      <w:tr w:rsidR="004C06C5" w14:paraId="23B74824"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2D08A8D" w14:textId="77777777" w:rsidR="004C06C5" w:rsidRDefault="00ED474B">
            <w:pPr>
              <w:rPr>
                <w:rFonts w:ascii="宋体" w:hAnsi="宋体"/>
                <w:szCs w:val="21"/>
              </w:rPr>
            </w:pPr>
            <w:r>
              <w:rPr>
                <w:rFonts w:ascii="宋体" w:hAnsi="宋体" w:hint="eastAsia"/>
                <w:szCs w:val="21"/>
              </w:rPr>
              <w:t>49</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355FFDBE" w14:textId="77777777" w:rsidR="004C06C5" w:rsidRDefault="00ED474B">
            <w:pPr>
              <w:rPr>
                <w:rFonts w:ascii="宋体" w:hAnsi="宋体"/>
                <w:szCs w:val="21"/>
              </w:rPr>
            </w:pPr>
            <w:r>
              <w:rPr>
                <w:rFonts w:ascii="宋体" w:hAnsi="宋体" w:hint="eastAsia"/>
                <w:szCs w:val="21"/>
              </w:rPr>
              <w:t>富荣基金管理有限公司关于旗下部分基金新增北京肯特瑞财富投资管理有限公司为销售机构并开通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E96368B"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05</w:t>
            </w:r>
            <w:r>
              <w:rPr>
                <w:rFonts w:ascii="宋体" w:hAnsi="宋体" w:hint="eastAsia"/>
                <w:szCs w:val="21"/>
              </w:rPr>
              <w:t>日</w:t>
            </w:r>
          </w:p>
        </w:tc>
      </w:tr>
      <w:tr w:rsidR="004C06C5" w14:paraId="5B411E3E"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9575828" w14:textId="77777777" w:rsidR="004C06C5" w:rsidRDefault="00ED474B">
            <w:pPr>
              <w:rPr>
                <w:rFonts w:ascii="宋体" w:hAnsi="宋体"/>
                <w:szCs w:val="21"/>
              </w:rPr>
            </w:pPr>
            <w:r>
              <w:rPr>
                <w:rFonts w:ascii="宋体" w:hAnsi="宋体" w:hint="eastAsia"/>
                <w:szCs w:val="21"/>
              </w:rPr>
              <w:lastRenderedPageBreak/>
              <w:t>50</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36DDD085" w14:textId="77777777" w:rsidR="004C06C5" w:rsidRDefault="00ED474B">
            <w:pPr>
              <w:rPr>
                <w:rFonts w:ascii="宋体" w:hAnsi="宋体"/>
                <w:szCs w:val="21"/>
              </w:rPr>
            </w:pPr>
            <w:r>
              <w:rPr>
                <w:rFonts w:ascii="宋体" w:hAnsi="宋体" w:hint="eastAsia"/>
                <w:szCs w:val="21"/>
              </w:rPr>
              <w:t>富荣基金管理有限公司关于旗下部分基金参加北京肯特瑞财富投资管理有限公司基金申购及定期定额投资申购费率优惠活动的公告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6955DEC"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05</w:t>
            </w:r>
            <w:r>
              <w:rPr>
                <w:rFonts w:ascii="宋体" w:hAnsi="宋体" w:hint="eastAsia"/>
                <w:szCs w:val="21"/>
              </w:rPr>
              <w:t>日</w:t>
            </w:r>
          </w:p>
        </w:tc>
      </w:tr>
      <w:tr w:rsidR="004C06C5" w14:paraId="2FA021C7"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C3225EF" w14:textId="77777777" w:rsidR="004C06C5" w:rsidRDefault="00ED474B">
            <w:pPr>
              <w:rPr>
                <w:rFonts w:ascii="宋体" w:hAnsi="宋体"/>
                <w:szCs w:val="21"/>
              </w:rPr>
            </w:pPr>
            <w:r>
              <w:rPr>
                <w:rFonts w:ascii="宋体" w:hAnsi="宋体" w:hint="eastAsia"/>
                <w:szCs w:val="21"/>
              </w:rPr>
              <w:t>51</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AE633DD" w14:textId="77777777" w:rsidR="004C06C5" w:rsidRDefault="00ED474B">
            <w:pPr>
              <w:rPr>
                <w:rFonts w:ascii="宋体" w:hAnsi="宋体"/>
                <w:szCs w:val="21"/>
              </w:rPr>
            </w:pPr>
            <w:r>
              <w:rPr>
                <w:rFonts w:ascii="宋体" w:hAnsi="宋体" w:hint="eastAsia"/>
                <w:szCs w:val="21"/>
              </w:rPr>
              <w:t>富荣基金管理有限公司关于旗下部分基金参加南京苏宁基金销售有限公司基金申购及定期定额投资申购费率优惠活动的公告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C6090CF"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10</w:t>
            </w:r>
            <w:r>
              <w:rPr>
                <w:rFonts w:ascii="宋体" w:hAnsi="宋体" w:hint="eastAsia"/>
                <w:szCs w:val="21"/>
              </w:rPr>
              <w:t>日</w:t>
            </w:r>
          </w:p>
        </w:tc>
      </w:tr>
      <w:tr w:rsidR="004C06C5" w14:paraId="3612D38D"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D3C9B32" w14:textId="77777777" w:rsidR="004C06C5" w:rsidRDefault="00ED474B">
            <w:pPr>
              <w:rPr>
                <w:rFonts w:ascii="宋体" w:hAnsi="宋体"/>
                <w:szCs w:val="21"/>
              </w:rPr>
            </w:pPr>
            <w:r>
              <w:rPr>
                <w:rFonts w:ascii="宋体" w:hAnsi="宋体" w:hint="eastAsia"/>
                <w:szCs w:val="21"/>
              </w:rPr>
              <w:t>52</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91AA715" w14:textId="77777777" w:rsidR="004C06C5" w:rsidRDefault="00ED474B">
            <w:pPr>
              <w:rPr>
                <w:rFonts w:ascii="宋体" w:hAnsi="宋体"/>
                <w:szCs w:val="21"/>
              </w:rPr>
            </w:pPr>
            <w:r>
              <w:rPr>
                <w:rFonts w:ascii="宋体" w:hAnsi="宋体" w:hint="eastAsia"/>
                <w:szCs w:val="21"/>
              </w:rPr>
              <w:t>富荣基金管理有限公司关于旗下部分基金新增南京苏宁基金销售有限公司为销售机构并开通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E8882E7"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10</w:t>
            </w:r>
            <w:r>
              <w:rPr>
                <w:rFonts w:ascii="宋体" w:hAnsi="宋体" w:hint="eastAsia"/>
                <w:szCs w:val="21"/>
              </w:rPr>
              <w:t>日</w:t>
            </w:r>
          </w:p>
        </w:tc>
      </w:tr>
      <w:tr w:rsidR="004C06C5" w14:paraId="41B7E77F"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B4A96D3" w14:textId="77777777" w:rsidR="004C06C5" w:rsidRDefault="00ED474B">
            <w:pPr>
              <w:rPr>
                <w:rFonts w:ascii="宋体" w:hAnsi="宋体"/>
                <w:szCs w:val="21"/>
              </w:rPr>
            </w:pPr>
            <w:r>
              <w:rPr>
                <w:rFonts w:ascii="宋体" w:hAnsi="宋体" w:hint="eastAsia"/>
                <w:szCs w:val="21"/>
              </w:rPr>
              <w:t>53</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788E4E2" w14:textId="77777777" w:rsidR="004C06C5" w:rsidRDefault="00ED474B">
            <w:pPr>
              <w:rPr>
                <w:rFonts w:ascii="宋体" w:hAnsi="宋体"/>
                <w:szCs w:val="21"/>
              </w:rPr>
            </w:pPr>
            <w:r>
              <w:rPr>
                <w:rFonts w:ascii="宋体" w:hAnsi="宋体" w:hint="eastAsia"/>
                <w:szCs w:val="21"/>
              </w:rPr>
              <w:t>富荣基金管理有限公司关于旗下部分基金参加中证金牛（北京）投资咨询有限公司基金申购及定期定额投资申购费率优惠活动的公告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9C18FD6"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18</w:t>
            </w:r>
            <w:r>
              <w:rPr>
                <w:rFonts w:ascii="宋体" w:hAnsi="宋体" w:hint="eastAsia"/>
                <w:szCs w:val="21"/>
              </w:rPr>
              <w:t>日</w:t>
            </w:r>
          </w:p>
        </w:tc>
      </w:tr>
      <w:tr w:rsidR="004C06C5" w14:paraId="6BE31653"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738DC69" w14:textId="77777777" w:rsidR="004C06C5" w:rsidRDefault="00ED474B">
            <w:pPr>
              <w:rPr>
                <w:rFonts w:ascii="宋体" w:hAnsi="宋体"/>
                <w:szCs w:val="21"/>
              </w:rPr>
            </w:pPr>
            <w:r>
              <w:rPr>
                <w:rFonts w:ascii="宋体" w:hAnsi="宋体" w:hint="eastAsia"/>
                <w:szCs w:val="21"/>
              </w:rPr>
              <w:t>54</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6B6C89D9" w14:textId="77777777" w:rsidR="004C06C5" w:rsidRDefault="00ED474B">
            <w:pPr>
              <w:rPr>
                <w:rFonts w:ascii="宋体" w:hAnsi="宋体"/>
                <w:szCs w:val="21"/>
              </w:rPr>
            </w:pPr>
            <w:r>
              <w:rPr>
                <w:rFonts w:ascii="宋体" w:hAnsi="宋体" w:hint="eastAsia"/>
                <w:szCs w:val="21"/>
              </w:rPr>
              <w:t>富荣基金管理有限公司关于旗下部分基金新增中证金牛（北京）投资咨询有限公司为销售机构并开通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DF144A4"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18</w:t>
            </w:r>
            <w:r>
              <w:rPr>
                <w:rFonts w:ascii="宋体" w:hAnsi="宋体" w:hint="eastAsia"/>
                <w:szCs w:val="21"/>
              </w:rPr>
              <w:t>日</w:t>
            </w:r>
          </w:p>
        </w:tc>
      </w:tr>
      <w:tr w:rsidR="004C06C5" w14:paraId="09A50C4E"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1DC6AB0" w14:textId="77777777" w:rsidR="004C06C5" w:rsidRDefault="00ED474B">
            <w:pPr>
              <w:rPr>
                <w:rFonts w:ascii="宋体" w:hAnsi="宋体"/>
                <w:szCs w:val="21"/>
              </w:rPr>
            </w:pPr>
            <w:r>
              <w:rPr>
                <w:rFonts w:ascii="宋体" w:hAnsi="宋体" w:hint="eastAsia"/>
                <w:szCs w:val="21"/>
              </w:rPr>
              <w:t>55</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FF59137" w14:textId="77777777" w:rsidR="004C06C5" w:rsidRDefault="00ED474B">
            <w:pPr>
              <w:rPr>
                <w:rFonts w:ascii="宋体" w:hAnsi="宋体"/>
                <w:szCs w:val="21"/>
              </w:rPr>
            </w:pPr>
            <w:r>
              <w:rPr>
                <w:rFonts w:ascii="宋体" w:hAnsi="宋体" w:hint="eastAsia"/>
                <w:szCs w:val="21"/>
              </w:rPr>
              <w:t>富荣基金管理有限公司关于旗下部分基金新增光大证券股份有限公司为销售机构并开通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AD0DC6E"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18</w:t>
            </w:r>
            <w:r>
              <w:rPr>
                <w:rFonts w:ascii="宋体" w:hAnsi="宋体" w:hint="eastAsia"/>
                <w:szCs w:val="21"/>
              </w:rPr>
              <w:t>日</w:t>
            </w:r>
          </w:p>
        </w:tc>
      </w:tr>
      <w:tr w:rsidR="004C06C5" w14:paraId="593FD4BF"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BD5C37C" w14:textId="77777777" w:rsidR="004C06C5" w:rsidRDefault="00ED474B">
            <w:pPr>
              <w:rPr>
                <w:rFonts w:ascii="宋体" w:hAnsi="宋体"/>
                <w:szCs w:val="21"/>
              </w:rPr>
            </w:pPr>
            <w:r>
              <w:rPr>
                <w:rFonts w:ascii="宋体" w:hAnsi="宋体" w:hint="eastAsia"/>
                <w:szCs w:val="21"/>
              </w:rPr>
              <w:t>56</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2B939E5" w14:textId="77777777" w:rsidR="004C06C5" w:rsidRDefault="00ED474B">
            <w:pPr>
              <w:rPr>
                <w:rFonts w:ascii="宋体" w:hAnsi="宋体"/>
                <w:szCs w:val="21"/>
              </w:rPr>
            </w:pPr>
            <w:r>
              <w:rPr>
                <w:rFonts w:ascii="宋体" w:hAnsi="宋体" w:hint="eastAsia"/>
                <w:szCs w:val="21"/>
              </w:rPr>
              <w:t>富荣基金管理有限公司关于旗下部分基金新增奕丰基金销售有限公司为销售机构并开通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6EEFBD4"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25</w:t>
            </w:r>
            <w:r>
              <w:rPr>
                <w:rFonts w:ascii="宋体" w:hAnsi="宋体" w:hint="eastAsia"/>
                <w:szCs w:val="21"/>
              </w:rPr>
              <w:t>日</w:t>
            </w:r>
          </w:p>
        </w:tc>
      </w:tr>
      <w:tr w:rsidR="004C06C5" w14:paraId="3BEBECF0"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0D19056" w14:textId="77777777" w:rsidR="004C06C5" w:rsidRDefault="00ED474B">
            <w:pPr>
              <w:rPr>
                <w:rFonts w:ascii="宋体" w:hAnsi="宋体"/>
                <w:szCs w:val="21"/>
              </w:rPr>
            </w:pPr>
            <w:r>
              <w:rPr>
                <w:rFonts w:ascii="宋体" w:hAnsi="宋体" w:hint="eastAsia"/>
                <w:szCs w:val="21"/>
              </w:rPr>
              <w:t>57</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29AEAC5" w14:textId="77777777" w:rsidR="004C06C5" w:rsidRDefault="00ED474B">
            <w:pPr>
              <w:rPr>
                <w:rFonts w:ascii="宋体" w:hAnsi="宋体"/>
                <w:szCs w:val="21"/>
              </w:rPr>
            </w:pPr>
            <w:r>
              <w:rPr>
                <w:rFonts w:ascii="宋体" w:hAnsi="宋体" w:hint="eastAsia"/>
                <w:szCs w:val="21"/>
              </w:rPr>
              <w:t>富荣基金管理有限公司关于旗下部分基金参加奕丰基金销售有限公司基金申购及定期定额投资申购费率优惠活动的公告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C2D2B89"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25</w:t>
            </w:r>
            <w:r>
              <w:rPr>
                <w:rFonts w:ascii="宋体" w:hAnsi="宋体" w:hint="eastAsia"/>
                <w:szCs w:val="21"/>
              </w:rPr>
              <w:t>日</w:t>
            </w:r>
          </w:p>
        </w:tc>
      </w:tr>
      <w:tr w:rsidR="004C06C5" w14:paraId="03EF4A3D"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4ED8D4C" w14:textId="77777777" w:rsidR="004C06C5" w:rsidRDefault="00ED474B">
            <w:pPr>
              <w:rPr>
                <w:rFonts w:ascii="宋体" w:hAnsi="宋体"/>
                <w:szCs w:val="21"/>
              </w:rPr>
            </w:pPr>
            <w:r>
              <w:rPr>
                <w:rFonts w:ascii="宋体" w:hAnsi="宋体" w:hint="eastAsia"/>
                <w:szCs w:val="21"/>
              </w:rPr>
              <w:t>58</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85282BE" w14:textId="77777777" w:rsidR="004C06C5" w:rsidRDefault="00ED474B">
            <w:pPr>
              <w:rPr>
                <w:rFonts w:ascii="宋体" w:hAnsi="宋体"/>
                <w:szCs w:val="21"/>
              </w:rPr>
            </w:pPr>
            <w:r>
              <w:rPr>
                <w:rFonts w:ascii="宋体" w:hAnsi="宋体" w:hint="eastAsia"/>
                <w:szCs w:val="21"/>
              </w:rPr>
              <w:t>富荣基金管理有限公司关于旗下部分基金新增江苏汇林保大基金销售有限公司为销售机构并开通基金定期定额投资业务和基金转换业务的公告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06E563D"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14</w:t>
            </w:r>
            <w:r>
              <w:rPr>
                <w:rFonts w:ascii="宋体" w:hAnsi="宋体" w:hint="eastAsia"/>
                <w:szCs w:val="21"/>
              </w:rPr>
              <w:t>日</w:t>
            </w:r>
          </w:p>
        </w:tc>
      </w:tr>
      <w:tr w:rsidR="004C06C5" w14:paraId="032822D0"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DFFC51A" w14:textId="77777777" w:rsidR="004C06C5" w:rsidRDefault="00ED474B">
            <w:pPr>
              <w:rPr>
                <w:rFonts w:ascii="宋体" w:hAnsi="宋体"/>
                <w:szCs w:val="21"/>
              </w:rPr>
            </w:pPr>
            <w:r>
              <w:rPr>
                <w:rFonts w:ascii="宋体" w:hAnsi="宋体" w:hint="eastAsia"/>
                <w:szCs w:val="21"/>
              </w:rPr>
              <w:t>59</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2839401A" w14:textId="77777777" w:rsidR="004C06C5" w:rsidRDefault="00ED474B">
            <w:pPr>
              <w:rPr>
                <w:rFonts w:ascii="宋体" w:hAnsi="宋体"/>
                <w:szCs w:val="21"/>
              </w:rPr>
            </w:pPr>
            <w:r>
              <w:rPr>
                <w:rFonts w:ascii="宋体" w:hAnsi="宋体" w:hint="eastAsia"/>
                <w:szCs w:val="21"/>
              </w:rPr>
              <w:t>富荣基金管理有限公司关于旗下部分基金参加江苏汇林保大基金销售有限公司基金申购及定期定额投资申购费率优惠活动的公告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75CEE20"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14</w:t>
            </w:r>
            <w:r>
              <w:rPr>
                <w:rFonts w:ascii="宋体" w:hAnsi="宋体" w:hint="eastAsia"/>
                <w:szCs w:val="21"/>
              </w:rPr>
              <w:t>日</w:t>
            </w:r>
          </w:p>
        </w:tc>
      </w:tr>
      <w:tr w:rsidR="004C06C5" w14:paraId="36848662"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5CC293B" w14:textId="77777777" w:rsidR="004C06C5" w:rsidRDefault="00ED474B">
            <w:pPr>
              <w:rPr>
                <w:rFonts w:ascii="宋体" w:hAnsi="宋体"/>
                <w:szCs w:val="21"/>
              </w:rPr>
            </w:pPr>
            <w:r>
              <w:rPr>
                <w:rFonts w:ascii="宋体" w:hAnsi="宋体" w:hint="eastAsia"/>
                <w:szCs w:val="21"/>
              </w:rPr>
              <w:t>60</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4568198" w14:textId="77777777" w:rsidR="004C06C5" w:rsidRDefault="00ED474B">
            <w:pPr>
              <w:rPr>
                <w:rFonts w:ascii="宋体" w:hAnsi="宋体"/>
                <w:szCs w:val="21"/>
              </w:rPr>
            </w:pPr>
            <w:r>
              <w:rPr>
                <w:rFonts w:ascii="宋体" w:hAnsi="宋体" w:hint="eastAsia"/>
                <w:szCs w:val="21"/>
              </w:rPr>
              <w:t>富荣基金管理有限公司关于旗下部分基金新增</w:t>
            </w:r>
            <w:proofErr w:type="gramStart"/>
            <w:r>
              <w:rPr>
                <w:rFonts w:ascii="宋体" w:hAnsi="宋体" w:hint="eastAsia"/>
                <w:szCs w:val="21"/>
              </w:rPr>
              <w:t>玄元保险</w:t>
            </w:r>
            <w:proofErr w:type="gramEnd"/>
            <w:r>
              <w:rPr>
                <w:rFonts w:ascii="宋体" w:hAnsi="宋体" w:hint="eastAsia"/>
                <w:szCs w:val="21"/>
              </w:rPr>
              <w:t>代理有限公司为销售机构并开通基金定期定额投资业务和基金转换业务的公告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5B687CD"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21</w:t>
            </w:r>
            <w:r>
              <w:rPr>
                <w:rFonts w:ascii="宋体" w:hAnsi="宋体" w:hint="eastAsia"/>
                <w:szCs w:val="21"/>
              </w:rPr>
              <w:t>日</w:t>
            </w:r>
          </w:p>
        </w:tc>
      </w:tr>
      <w:tr w:rsidR="004C06C5" w14:paraId="63A27E19"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5243F50" w14:textId="77777777" w:rsidR="004C06C5" w:rsidRDefault="00ED474B">
            <w:pPr>
              <w:rPr>
                <w:rFonts w:ascii="宋体" w:hAnsi="宋体"/>
                <w:szCs w:val="21"/>
              </w:rPr>
            </w:pPr>
            <w:r>
              <w:rPr>
                <w:rFonts w:ascii="宋体" w:hAnsi="宋体" w:hint="eastAsia"/>
                <w:szCs w:val="21"/>
              </w:rPr>
              <w:t>61</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2A9D8E25" w14:textId="77777777" w:rsidR="004C06C5" w:rsidRDefault="00ED474B">
            <w:pPr>
              <w:rPr>
                <w:rFonts w:ascii="宋体" w:hAnsi="宋体"/>
                <w:szCs w:val="21"/>
              </w:rPr>
            </w:pPr>
            <w:r>
              <w:rPr>
                <w:rFonts w:ascii="宋体" w:hAnsi="宋体" w:hint="eastAsia"/>
                <w:szCs w:val="21"/>
              </w:rPr>
              <w:t>富荣基金管理有限公司关于旗下部分基金参加</w:t>
            </w:r>
            <w:proofErr w:type="gramStart"/>
            <w:r>
              <w:rPr>
                <w:rFonts w:ascii="宋体" w:hAnsi="宋体" w:hint="eastAsia"/>
                <w:szCs w:val="21"/>
              </w:rPr>
              <w:t>玄元保险</w:t>
            </w:r>
            <w:proofErr w:type="gramEnd"/>
            <w:r>
              <w:rPr>
                <w:rFonts w:ascii="宋体" w:hAnsi="宋体" w:hint="eastAsia"/>
                <w:szCs w:val="21"/>
              </w:rPr>
              <w:t>代理有限公司基金申购及定期定额投资申购费率优惠活动的公告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962F01D"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21</w:t>
            </w:r>
            <w:r>
              <w:rPr>
                <w:rFonts w:ascii="宋体" w:hAnsi="宋体" w:hint="eastAsia"/>
                <w:szCs w:val="21"/>
              </w:rPr>
              <w:t>日</w:t>
            </w:r>
          </w:p>
        </w:tc>
      </w:tr>
      <w:tr w:rsidR="004C06C5" w14:paraId="613ED5CD"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BCC5EC5" w14:textId="77777777" w:rsidR="004C06C5" w:rsidRDefault="00ED474B">
            <w:pPr>
              <w:rPr>
                <w:rFonts w:ascii="宋体" w:hAnsi="宋体"/>
                <w:szCs w:val="21"/>
              </w:rPr>
            </w:pPr>
            <w:r>
              <w:rPr>
                <w:rFonts w:ascii="宋体" w:hAnsi="宋体" w:hint="eastAsia"/>
                <w:szCs w:val="21"/>
              </w:rPr>
              <w:t>62</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1A5C95AB"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型证券投资基金2019年第三季度报告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CE67C63"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23</w:t>
            </w:r>
            <w:r>
              <w:rPr>
                <w:rFonts w:ascii="宋体" w:hAnsi="宋体" w:hint="eastAsia"/>
                <w:szCs w:val="21"/>
              </w:rPr>
              <w:t>日</w:t>
            </w:r>
          </w:p>
        </w:tc>
      </w:tr>
      <w:tr w:rsidR="004C06C5" w14:paraId="75781152"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29D12C8" w14:textId="77777777" w:rsidR="004C06C5" w:rsidRDefault="00ED474B">
            <w:pPr>
              <w:rPr>
                <w:rFonts w:ascii="宋体" w:hAnsi="宋体"/>
                <w:szCs w:val="21"/>
              </w:rPr>
            </w:pPr>
            <w:r>
              <w:rPr>
                <w:rFonts w:ascii="宋体" w:hAnsi="宋体" w:hint="eastAsia"/>
                <w:szCs w:val="21"/>
              </w:rPr>
              <w:t>63</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1EE65F6B" w14:textId="77777777" w:rsidR="004C06C5" w:rsidRDefault="00ED474B">
            <w:pPr>
              <w:rPr>
                <w:rFonts w:ascii="宋体" w:hAnsi="宋体"/>
                <w:szCs w:val="21"/>
              </w:rPr>
            </w:pPr>
            <w:r>
              <w:rPr>
                <w:rFonts w:ascii="宋体" w:hAnsi="宋体" w:hint="eastAsia"/>
                <w:szCs w:val="21"/>
              </w:rPr>
              <w:t>富荣基金管理有限公司旗下全部基金季度报告提示性公告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6E760C5"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23</w:t>
            </w:r>
            <w:r>
              <w:rPr>
                <w:rFonts w:ascii="宋体" w:hAnsi="宋体" w:hint="eastAsia"/>
                <w:szCs w:val="21"/>
              </w:rPr>
              <w:t>日</w:t>
            </w:r>
          </w:p>
        </w:tc>
      </w:tr>
      <w:tr w:rsidR="004C06C5" w14:paraId="4BE3F090"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A3D79FE" w14:textId="77777777" w:rsidR="004C06C5" w:rsidRDefault="00ED474B">
            <w:pPr>
              <w:rPr>
                <w:rFonts w:ascii="宋体" w:hAnsi="宋体"/>
                <w:szCs w:val="21"/>
              </w:rPr>
            </w:pPr>
            <w:r>
              <w:rPr>
                <w:rFonts w:ascii="宋体" w:hAnsi="宋体" w:hint="eastAsia"/>
                <w:szCs w:val="21"/>
              </w:rPr>
              <w:t>64</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37DBAD9" w14:textId="77777777" w:rsidR="004C06C5" w:rsidRDefault="00ED474B">
            <w:pPr>
              <w:rPr>
                <w:rFonts w:ascii="宋体" w:hAnsi="宋体"/>
                <w:szCs w:val="21"/>
              </w:rPr>
            </w:pPr>
            <w:r>
              <w:rPr>
                <w:rFonts w:ascii="宋体" w:hAnsi="宋体" w:hint="eastAsia"/>
                <w:szCs w:val="21"/>
              </w:rPr>
              <w:t>富荣基金管理有限公司关于旗下部分基金新增</w:t>
            </w:r>
            <w:proofErr w:type="gramStart"/>
            <w:r>
              <w:rPr>
                <w:rFonts w:ascii="宋体" w:hAnsi="宋体" w:hint="eastAsia"/>
                <w:szCs w:val="21"/>
              </w:rPr>
              <w:t>北京植信基金</w:t>
            </w:r>
            <w:proofErr w:type="gramEnd"/>
            <w:r>
              <w:rPr>
                <w:rFonts w:ascii="宋体" w:hAnsi="宋体" w:hint="eastAsia"/>
                <w:szCs w:val="21"/>
              </w:rPr>
              <w:t>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975EBCD"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28</w:t>
            </w:r>
            <w:r>
              <w:rPr>
                <w:rFonts w:ascii="宋体" w:hAnsi="宋体" w:hint="eastAsia"/>
                <w:szCs w:val="21"/>
              </w:rPr>
              <w:t>日</w:t>
            </w:r>
          </w:p>
        </w:tc>
      </w:tr>
      <w:tr w:rsidR="004C06C5" w14:paraId="5B3B2E51"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2909D08" w14:textId="77777777" w:rsidR="004C06C5" w:rsidRDefault="00ED474B">
            <w:pPr>
              <w:rPr>
                <w:rFonts w:ascii="宋体" w:hAnsi="宋体"/>
                <w:szCs w:val="21"/>
              </w:rPr>
            </w:pPr>
            <w:r>
              <w:rPr>
                <w:rFonts w:ascii="宋体" w:hAnsi="宋体" w:hint="eastAsia"/>
                <w:szCs w:val="21"/>
              </w:rPr>
              <w:t>65</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0E4F1C9" w14:textId="77777777" w:rsidR="004C06C5" w:rsidRDefault="00ED474B">
            <w:pPr>
              <w:rPr>
                <w:rFonts w:ascii="宋体" w:hAnsi="宋体"/>
                <w:szCs w:val="21"/>
              </w:rPr>
            </w:pPr>
            <w:r>
              <w:rPr>
                <w:rFonts w:ascii="宋体" w:hAnsi="宋体" w:hint="eastAsia"/>
                <w:szCs w:val="21"/>
              </w:rPr>
              <w:t>富荣基金管理有限公司关于旗下部分基金参加</w:t>
            </w:r>
            <w:proofErr w:type="gramStart"/>
            <w:r>
              <w:rPr>
                <w:rFonts w:ascii="宋体" w:hAnsi="宋体" w:hint="eastAsia"/>
                <w:szCs w:val="21"/>
              </w:rPr>
              <w:t>北京植信基金</w:t>
            </w:r>
            <w:proofErr w:type="gramEnd"/>
            <w:r>
              <w:rPr>
                <w:rFonts w:ascii="宋体" w:hAnsi="宋体" w:hint="eastAsia"/>
                <w:szCs w:val="21"/>
              </w:rPr>
              <w:t>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A1C5023"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28</w:t>
            </w:r>
            <w:r>
              <w:rPr>
                <w:rFonts w:ascii="宋体" w:hAnsi="宋体" w:hint="eastAsia"/>
                <w:szCs w:val="21"/>
              </w:rPr>
              <w:t>日</w:t>
            </w:r>
          </w:p>
        </w:tc>
      </w:tr>
      <w:tr w:rsidR="004C06C5" w14:paraId="2E6E0885"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86CBDD5" w14:textId="77777777" w:rsidR="004C06C5" w:rsidRDefault="00ED474B">
            <w:pPr>
              <w:rPr>
                <w:rFonts w:ascii="宋体" w:hAnsi="宋体"/>
                <w:szCs w:val="21"/>
              </w:rPr>
            </w:pPr>
            <w:r>
              <w:rPr>
                <w:rFonts w:ascii="宋体" w:hAnsi="宋体" w:hint="eastAsia"/>
                <w:szCs w:val="21"/>
              </w:rPr>
              <w:t>66</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EBB5724" w14:textId="77777777" w:rsidR="004C06C5" w:rsidRDefault="00ED474B">
            <w:pPr>
              <w:rPr>
                <w:rFonts w:ascii="宋体" w:hAnsi="宋体"/>
                <w:szCs w:val="21"/>
              </w:rPr>
            </w:pPr>
            <w:r>
              <w:rPr>
                <w:rFonts w:ascii="宋体" w:hAnsi="宋体" w:hint="eastAsia"/>
                <w:szCs w:val="21"/>
              </w:rPr>
              <w:t>富荣基金管理有限公司关于旗下部分基金</w:t>
            </w:r>
            <w:proofErr w:type="gramStart"/>
            <w:r>
              <w:rPr>
                <w:rFonts w:ascii="宋体" w:hAnsi="宋体" w:hint="eastAsia"/>
                <w:szCs w:val="21"/>
              </w:rPr>
              <w:t>新增宜信普</w:t>
            </w:r>
            <w:proofErr w:type="gramEnd"/>
            <w:r>
              <w:rPr>
                <w:rFonts w:ascii="宋体" w:hAnsi="宋体" w:hint="eastAsia"/>
                <w:szCs w:val="21"/>
              </w:rPr>
              <w:t>泽（北京）基金销售有限公司为销售机构并开通基金定期定额投资业务和基金转换业务的公告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40AD3DA"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31</w:t>
            </w:r>
            <w:r>
              <w:rPr>
                <w:rFonts w:ascii="宋体" w:hAnsi="宋体" w:hint="eastAsia"/>
                <w:szCs w:val="21"/>
              </w:rPr>
              <w:t>日</w:t>
            </w:r>
          </w:p>
        </w:tc>
      </w:tr>
      <w:tr w:rsidR="004C06C5" w14:paraId="73CF1C4A"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E49A43E" w14:textId="77777777" w:rsidR="004C06C5" w:rsidRDefault="00ED474B">
            <w:pPr>
              <w:rPr>
                <w:rFonts w:ascii="宋体" w:hAnsi="宋体"/>
                <w:szCs w:val="21"/>
              </w:rPr>
            </w:pPr>
            <w:r>
              <w:rPr>
                <w:rFonts w:ascii="宋体" w:hAnsi="宋体" w:hint="eastAsia"/>
                <w:szCs w:val="21"/>
              </w:rPr>
              <w:t>67</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A2EB4C3" w14:textId="77777777" w:rsidR="004C06C5" w:rsidRDefault="00ED474B">
            <w:pPr>
              <w:rPr>
                <w:rFonts w:ascii="宋体" w:hAnsi="宋体"/>
                <w:szCs w:val="21"/>
              </w:rPr>
            </w:pPr>
            <w:r>
              <w:rPr>
                <w:rFonts w:ascii="宋体" w:hAnsi="宋体" w:hint="eastAsia"/>
                <w:szCs w:val="21"/>
              </w:rPr>
              <w:t>富荣基金管理有限公司关于旗下部分基金</w:t>
            </w:r>
            <w:proofErr w:type="gramStart"/>
            <w:r>
              <w:rPr>
                <w:rFonts w:ascii="宋体" w:hAnsi="宋体" w:hint="eastAsia"/>
                <w:szCs w:val="21"/>
              </w:rPr>
              <w:t>参加宜信普</w:t>
            </w:r>
            <w:proofErr w:type="gramEnd"/>
            <w:r>
              <w:rPr>
                <w:rFonts w:ascii="宋体" w:hAnsi="宋体" w:hint="eastAsia"/>
                <w:szCs w:val="21"/>
              </w:rPr>
              <w:t>泽（北京）基金销售有限公司基金申购及定期定额投资申购费率优惠活动的公告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CD99FAA"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31</w:t>
            </w:r>
            <w:r>
              <w:rPr>
                <w:rFonts w:ascii="宋体" w:hAnsi="宋体" w:hint="eastAsia"/>
                <w:szCs w:val="21"/>
              </w:rPr>
              <w:t>日</w:t>
            </w:r>
          </w:p>
        </w:tc>
      </w:tr>
      <w:tr w:rsidR="004C06C5" w14:paraId="5F72DA9D"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B7D337F" w14:textId="77777777" w:rsidR="004C06C5" w:rsidRDefault="00ED474B">
            <w:pPr>
              <w:rPr>
                <w:rFonts w:ascii="宋体" w:hAnsi="宋体"/>
                <w:szCs w:val="21"/>
              </w:rPr>
            </w:pPr>
            <w:r>
              <w:rPr>
                <w:rFonts w:ascii="宋体" w:hAnsi="宋体" w:hint="eastAsia"/>
                <w:szCs w:val="21"/>
              </w:rPr>
              <w:t>68</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3D2D8FA4" w14:textId="77777777" w:rsidR="004C06C5" w:rsidRDefault="00ED474B">
            <w:pPr>
              <w:rPr>
                <w:rFonts w:ascii="宋体" w:hAnsi="宋体"/>
                <w:szCs w:val="21"/>
              </w:rPr>
            </w:pPr>
            <w:r>
              <w:rPr>
                <w:rFonts w:ascii="宋体" w:hAnsi="宋体" w:hint="eastAsia"/>
                <w:szCs w:val="21"/>
              </w:rPr>
              <w:t>关于调整旗下基金首次申购、追加申购及定期定额投资最低数额限制的公告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7EC4DD6"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11</w:t>
            </w:r>
            <w:r>
              <w:rPr>
                <w:rFonts w:ascii="宋体" w:hAnsi="宋体" w:hint="eastAsia"/>
                <w:szCs w:val="21"/>
              </w:rPr>
              <w:t>月</w:t>
            </w:r>
            <w:r>
              <w:rPr>
                <w:rFonts w:ascii="宋体" w:hAnsi="宋体"/>
                <w:szCs w:val="21"/>
              </w:rPr>
              <w:t>07</w:t>
            </w:r>
            <w:r>
              <w:rPr>
                <w:rFonts w:ascii="宋体" w:hAnsi="宋体" w:hint="eastAsia"/>
                <w:szCs w:val="21"/>
              </w:rPr>
              <w:t>日</w:t>
            </w:r>
          </w:p>
        </w:tc>
      </w:tr>
      <w:tr w:rsidR="004C06C5" w14:paraId="2AA8FB44"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439AB00" w14:textId="77777777" w:rsidR="004C06C5" w:rsidRDefault="00ED474B">
            <w:pPr>
              <w:rPr>
                <w:rFonts w:ascii="宋体" w:hAnsi="宋体"/>
                <w:szCs w:val="21"/>
              </w:rPr>
            </w:pPr>
            <w:r>
              <w:rPr>
                <w:rFonts w:ascii="宋体" w:hAnsi="宋体" w:hint="eastAsia"/>
                <w:szCs w:val="21"/>
              </w:rPr>
              <w:t>69</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3620367" w14:textId="77777777" w:rsidR="004C06C5" w:rsidRDefault="00ED474B">
            <w:pPr>
              <w:rPr>
                <w:rFonts w:ascii="宋体" w:hAnsi="宋体"/>
                <w:szCs w:val="21"/>
              </w:rPr>
            </w:pPr>
            <w:r>
              <w:rPr>
                <w:rFonts w:ascii="宋体" w:hAnsi="宋体" w:hint="eastAsia"/>
                <w:szCs w:val="21"/>
              </w:rPr>
              <w:t>富荣基金管理有限公司关于旗下部分基金新增喜鹊财富基金销售有限公司为销售机构并开通基金定期定额投资业务和基金转换业务的公告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2296F8B"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11</w:t>
            </w:r>
            <w:r>
              <w:rPr>
                <w:rFonts w:ascii="宋体" w:hAnsi="宋体" w:hint="eastAsia"/>
                <w:szCs w:val="21"/>
              </w:rPr>
              <w:t>月</w:t>
            </w:r>
            <w:r>
              <w:rPr>
                <w:rFonts w:ascii="宋体" w:hAnsi="宋体"/>
                <w:szCs w:val="21"/>
              </w:rPr>
              <w:t>27</w:t>
            </w:r>
            <w:r>
              <w:rPr>
                <w:rFonts w:ascii="宋体" w:hAnsi="宋体" w:hint="eastAsia"/>
                <w:szCs w:val="21"/>
              </w:rPr>
              <w:t>日</w:t>
            </w:r>
          </w:p>
        </w:tc>
      </w:tr>
      <w:tr w:rsidR="004C06C5" w14:paraId="40B3DB05"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FBC3C64" w14:textId="77777777" w:rsidR="004C06C5" w:rsidRDefault="00ED474B">
            <w:pPr>
              <w:rPr>
                <w:rFonts w:ascii="宋体" w:hAnsi="宋体"/>
                <w:szCs w:val="21"/>
              </w:rPr>
            </w:pPr>
            <w:r>
              <w:rPr>
                <w:rFonts w:ascii="宋体" w:hAnsi="宋体" w:hint="eastAsia"/>
                <w:szCs w:val="21"/>
              </w:rPr>
              <w:t>70</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63659640" w14:textId="77777777" w:rsidR="004C06C5" w:rsidRDefault="00ED474B">
            <w:pPr>
              <w:rPr>
                <w:rFonts w:ascii="宋体" w:hAnsi="宋体"/>
                <w:szCs w:val="21"/>
              </w:rPr>
            </w:pPr>
            <w:r>
              <w:rPr>
                <w:rFonts w:ascii="宋体" w:hAnsi="宋体" w:hint="eastAsia"/>
                <w:szCs w:val="21"/>
              </w:rPr>
              <w:t>富荣基金管理有限公司关于旗下部分基金参加喜鹊财富基金销售有限公司基金申购及定期定额投资申购费率优惠活动的公告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B4211DB" w14:textId="77777777"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11</w:t>
            </w:r>
            <w:r>
              <w:rPr>
                <w:rFonts w:ascii="宋体" w:hAnsi="宋体" w:hint="eastAsia"/>
                <w:szCs w:val="21"/>
              </w:rPr>
              <w:t>月</w:t>
            </w:r>
            <w:r>
              <w:rPr>
                <w:rFonts w:ascii="宋体" w:hAnsi="宋体"/>
                <w:szCs w:val="21"/>
              </w:rPr>
              <w:t>27</w:t>
            </w:r>
            <w:r>
              <w:rPr>
                <w:rFonts w:ascii="宋体" w:hAnsi="宋体" w:hint="eastAsia"/>
                <w:szCs w:val="21"/>
              </w:rPr>
              <w:t>日</w:t>
            </w:r>
          </w:p>
        </w:tc>
      </w:tr>
      <w:tr w:rsidR="004C06C5" w14:paraId="06F675F7"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EE62E33" w14:textId="77777777" w:rsidR="004C06C5" w:rsidRDefault="00ED474B">
            <w:pPr>
              <w:rPr>
                <w:rFonts w:ascii="宋体" w:hAnsi="宋体"/>
                <w:szCs w:val="21"/>
              </w:rPr>
            </w:pPr>
            <w:r>
              <w:rPr>
                <w:rFonts w:ascii="宋体" w:hAnsi="宋体" w:hint="eastAsia"/>
                <w:szCs w:val="21"/>
              </w:rPr>
              <w:t>71</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6F873D21" w14:textId="77777777" w:rsidR="004C06C5" w:rsidRDefault="00ED474B">
            <w:pPr>
              <w:rPr>
                <w:rFonts w:ascii="宋体" w:hAnsi="宋体"/>
                <w:szCs w:val="21"/>
              </w:rPr>
            </w:pPr>
            <w:r>
              <w:rPr>
                <w:rFonts w:ascii="宋体" w:hAnsi="宋体" w:hint="eastAsia"/>
                <w:szCs w:val="21"/>
              </w:rPr>
              <w:t>富荣基金管理有限公司关于旗下部分基金参加安信证券股份有</w:t>
            </w:r>
            <w:r>
              <w:rPr>
                <w:rFonts w:ascii="宋体" w:hAnsi="宋体" w:hint="eastAsia"/>
                <w:szCs w:val="21"/>
              </w:rPr>
              <w:lastRenderedPageBreak/>
              <w:t>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2411CB1" w14:textId="77777777" w:rsidR="004C06C5" w:rsidRDefault="00ED474B">
            <w:pPr>
              <w:rPr>
                <w:rFonts w:ascii="宋体" w:hAnsi="宋体"/>
                <w:szCs w:val="21"/>
              </w:rPr>
            </w:pPr>
            <w:r>
              <w:rPr>
                <w:rFonts w:ascii="宋体" w:hAnsi="宋体"/>
                <w:szCs w:val="21"/>
              </w:rPr>
              <w:lastRenderedPageBreak/>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09</w:t>
            </w:r>
            <w:r>
              <w:rPr>
                <w:rFonts w:ascii="宋体" w:hAnsi="宋体" w:hint="eastAsia"/>
                <w:szCs w:val="21"/>
              </w:rPr>
              <w:t>日</w:t>
            </w:r>
          </w:p>
        </w:tc>
      </w:tr>
      <w:tr w:rsidR="004C06C5" w14:paraId="4E862EDD"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8183908" w14:textId="77777777" w:rsidR="004C06C5" w:rsidRDefault="00ED474B">
            <w:pPr>
              <w:rPr>
                <w:rFonts w:ascii="宋体" w:hAnsi="宋体"/>
                <w:szCs w:val="21"/>
              </w:rPr>
            </w:pPr>
            <w:r>
              <w:rPr>
                <w:rFonts w:ascii="宋体" w:hAnsi="宋体" w:hint="eastAsia"/>
                <w:szCs w:val="21"/>
              </w:rPr>
              <w:t>72</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1450B982" w14:textId="77777777" w:rsidR="004C06C5" w:rsidRDefault="00ED474B">
            <w:pPr>
              <w:rPr>
                <w:rFonts w:ascii="宋体" w:hAnsi="宋体"/>
                <w:szCs w:val="21"/>
              </w:rPr>
            </w:pPr>
            <w:r>
              <w:rPr>
                <w:rFonts w:ascii="宋体" w:hAnsi="宋体" w:hint="eastAsia"/>
                <w:szCs w:val="21"/>
              </w:rPr>
              <w:t>富荣基金管理有限公司关于旗下部分基金新增安信证券股份有限公司为销售机构并开通基金定期定额投资业务和基金转换业务的公告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7E95C48"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09</w:t>
            </w:r>
            <w:r>
              <w:rPr>
                <w:rFonts w:ascii="宋体" w:hAnsi="宋体" w:hint="eastAsia"/>
                <w:szCs w:val="21"/>
              </w:rPr>
              <w:t>日</w:t>
            </w:r>
          </w:p>
        </w:tc>
      </w:tr>
      <w:tr w:rsidR="004C06C5" w14:paraId="41BDE31C"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CC0C61B" w14:textId="77777777" w:rsidR="004C06C5" w:rsidRDefault="00ED474B">
            <w:pPr>
              <w:rPr>
                <w:rFonts w:ascii="宋体" w:hAnsi="宋体"/>
                <w:szCs w:val="21"/>
              </w:rPr>
            </w:pPr>
            <w:r>
              <w:rPr>
                <w:rFonts w:ascii="宋体" w:hAnsi="宋体" w:hint="eastAsia"/>
                <w:szCs w:val="21"/>
              </w:rPr>
              <w:t>73</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A7CA9E9" w14:textId="77777777" w:rsidR="004C06C5" w:rsidRDefault="00ED474B">
            <w:pPr>
              <w:rPr>
                <w:rFonts w:ascii="宋体" w:hAnsi="宋体"/>
                <w:szCs w:val="21"/>
              </w:rPr>
            </w:pPr>
            <w:r>
              <w:rPr>
                <w:rFonts w:ascii="宋体" w:hAnsi="宋体" w:hint="eastAsia"/>
                <w:szCs w:val="21"/>
              </w:rPr>
              <w:t>富荣基金管理有限公司关于暂停</w:t>
            </w:r>
            <w:proofErr w:type="gramStart"/>
            <w:r>
              <w:rPr>
                <w:rFonts w:ascii="宋体" w:hAnsi="宋体" w:hint="eastAsia"/>
                <w:szCs w:val="21"/>
              </w:rPr>
              <w:t>泰信财富</w:t>
            </w:r>
            <w:proofErr w:type="gramEnd"/>
            <w:r>
              <w:rPr>
                <w:rFonts w:ascii="宋体" w:hAnsi="宋体" w:hint="eastAsia"/>
                <w:szCs w:val="21"/>
              </w:rPr>
              <w:t>基金销售有限办理旗下基金相关销售业务的公告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B8F4102"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10</w:t>
            </w:r>
            <w:r>
              <w:rPr>
                <w:rFonts w:ascii="宋体" w:hAnsi="宋体" w:hint="eastAsia"/>
                <w:szCs w:val="21"/>
              </w:rPr>
              <w:t>日</w:t>
            </w:r>
          </w:p>
        </w:tc>
      </w:tr>
      <w:tr w:rsidR="004C06C5" w14:paraId="5F127D6C"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CBE8CE7" w14:textId="77777777" w:rsidR="004C06C5" w:rsidRDefault="00ED474B">
            <w:pPr>
              <w:rPr>
                <w:rFonts w:ascii="宋体" w:hAnsi="宋体"/>
                <w:szCs w:val="21"/>
              </w:rPr>
            </w:pPr>
            <w:r>
              <w:rPr>
                <w:rFonts w:ascii="宋体" w:hAnsi="宋体" w:hint="eastAsia"/>
                <w:szCs w:val="21"/>
              </w:rPr>
              <w:t>74</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25304AB1"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型证券投资基金2019年第四季度报告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8AE3ACC"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17</w:t>
            </w:r>
            <w:r>
              <w:rPr>
                <w:rFonts w:ascii="宋体" w:hAnsi="宋体" w:hint="eastAsia"/>
                <w:szCs w:val="21"/>
              </w:rPr>
              <w:t>日</w:t>
            </w:r>
          </w:p>
        </w:tc>
      </w:tr>
      <w:tr w:rsidR="004C06C5" w14:paraId="00940381"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36285DA" w14:textId="77777777" w:rsidR="004C06C5" w:rsidRDefault="00ED474B">
            <w:pPr>
              <w:rPr>
                <w:rFonts w:ascii="宋体" w:hAnsi="宋体"/>
                <w:szCs w:val="21"/>
              </w:rPr>
            </w:pPr>
            <w:r>
              <w:rPr>
                <w:rFonts w:ascii="宋体" w:hAnsi="宋体" w:hint="eastAsia"/>
                <w:szCs w:val="21"/>
              </w:rPr>
              <w:t>75</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5B5F26E" w14:textId="77777777" w:rsidR="004C06C5" w:rsidRDefault="00ED474B">
            <w:pPr>
              <w:rPr>
                <w:rFonts w:ascii="宋体" w:hAnsi="宋体"/>
                <w:szCs w:val="21"/>
              </w:rPr>
            </w:pPr>
            <w:r>
              <w:rPr>
                <w:rFonts w:ascii="宋体" w:hAnsi="宋体" w:hint="eastAsia"/>
                <w:szCs w:val="21"/>
              </w:rPr>
              <w:t>富荣基金管理有限公司旗下全部基金2019年第4季度报告提示性公告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02257ED"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17</w:t>
            </w:r>
            <w:r>
              <w:rPr>
                <w:rFonts w:ascii="宋体" w:hAnsi="宋体" w:hint="eastAsia"/>
                <w:szCs w:val="21"/>
              </w:rPr>
              <w:t>日</w:t>
            </w:r>
          </w:p>
        </w:tc>
      </w:tr>
      <w:tr w:rsidR="004C06C5" w14:paraId="609985E0"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9572EA0" w14:textId="77777777" w:rsidR="004C06C5" w:rsidRDefault="00ED474B">
            <w:pPr>
              <w:rPr>
                <w:rFonts w:ascii="宋体" w:hAnsi="宋体"/>
                <w:szCs w:val="21"/>
              </w:rPr>
            </w:pPr>
            <w:r>
              <w:rPr>
                <w:rFonts w:ascii="宋体" w:hAnsi="宋体" w:hint="eastAsia"/>
                <w:szCs w:val="21"/>
              </w:rPr>
              <w:t>76</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30A483E6" w14:textId="77777777" w:rsidR="004C06C5" w:rsidRDefault="00ED474B">
            <w:pPr>
              <w:rPr>
                <w:rFonts w:ascii="宋体" w:hAnsi="宋体"/>
                <w:szCs w:val="21"/>
              </w:rPr>
            </w:pPr>
            <w:r>
              <w:rPr>
                <w:rFonts w:ascii="宋体" w:hAnsi="宋体" w:hint="eastAsia"/>
                <w:szCs w:val="21"/>
              </w:rPr>
              <w:t>富荣基金管理有限公司关于2020年春节假期延长期间暂停办理申购赎回等业务的公告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264D058"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30</w:t>
            </w:r>
            <w:r>
              <w:rPr>
                <w:rFonts w:ascii="宋体" w:hAnsi="宋体" w:hint="eastAsia"/>
                <w:szCs w:val="21"/>
              </w:rPr>
              <w:t>日</w:t>
            </w:r>
          </w:p>
        </w:tc>
      </w:tr>
      <w:tr w:rsidR="004C06C5" w14:paraId="70E04169"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CB1CE45" w14:textId="77777777" w:rsidR="004C06C5" w:rsidRDefault="00ED474B">
            <w:pPr>
              <w:rPr>
                <w:rFonts w:ascii="宋体" w:hAnsi="宋体"/>
                <w:szCs w:val="21"/>
              </w:rPr>
            </w:pPr>
            <w:r>
              <w:rPr>
                <w:rFonts w:ascii="宋体" w:hAnsi="宋体" w:hint="eastAsia"/>
                <w:szCs w:val="21"/>
              </w:rPr>
              <w:t>77</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C431C7C" w14:textId="77777777" w:rsidR="004C06C5" w:rsidRDefault="00ED474B">
            <w:pPr>
              <w:rPr>
                <w:rFonts w:ascii="宋体" w:hAnsi="宋体"/>
                <w:szCs w:val="21"/>
              </w:rPr>
            </w:pPr>
            <w:r>
              <w:rPr>
                <w:rFonts w:ascii="宋体" w:hAnsi="宋体" w:hint="eastAsia"/>
                <w:szCs w:val="21"/>
              </w:rPr>
              <w:t>富荣基金管理有限公司根据《公开募集证券投资基金信息披露管理办法》修订旗下13只</w:t>
            </w:r>
            <w:proofErr w:type="gramStart"/>
            <w:r>
              <w:rPr>
                <w:rFonts w:ascii="宋体" w:hAnsi="宋体" w:hint="eastAsia"/>
                <w:szCs w:val="21"/>
              </w:rPr>
              <w:t>基金基金</w:t>
            </w:r>
            <w:proofErr w:type="gramEnd"/>
            <w:r>
              <w:rPr>
                <w:rFonts w:ascii="宋体" w:hAnsi="宋体" w:hint="eastAsia"/>
                <w:szCs w:val="21"/>
              </w:rPr>
              <w:t xml:space="preserve">合同及托管协议的公告 - </w:t>
            </w:r>
            <w:proofErr w:type="gramStart"/>
            <w:r>
              <w:rPr>
                <w:rFonts w:ascii="宋体" w:hAnsi="宋体" w:hint="eastAsia"/>
                <w:szCs w:val="21"/>
              </w:rPr>
              <w:t>富荣富乾债券</w:t>
            </w:r>
            <w:proofErr w:type="gramEnd"/>
            <w:r>
              <w:rPr>
                <w:rFonts w:ascii="宋体" w:hAnsi="宋体" w:hint="eastAsia"/>
                <w:szCs w:val="21"/>
              </w:rPr>
              <w:t>型证券投资基金</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5A89EC8"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14:paraId="38880E2F"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63A426B" w14:textId="77777777" w:rsidR="004C06C5" w:rsidRDefault="00ED474B">
            <w:pPr>
              <w:rPr>
                <w:rFonts w:ascii="宋体" w:hAnsi="宋体"/>
                <w:szCs w:val="21"/>
              </w:rPr>
            </w:pPr>
            <w:r>
              <w:rPr>
                <w:rFonts w:ascii="宋体" w:hAnsi="宋体" w:hint="eastAsia"/>
                <w:szCs w:val="21"/>
              </w:rPr>
              <w:t>78</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6412E4A7"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w:t>
            </w:r>
            <w:proofErr w:type="gramStart"/>
            <w:r>
              <w:rPr>
                <w:rFonts w:ascii="宋体" w:hAnsi="宋体" w:hint="eastAsia"/>
                <w:szCs w:val="21"/>
              </w:rPr>
              <w:t>基金基金</w:t>
            </w:r>
            <w:proofErr w:type="gramEnd"/>
            <w:r>
              <w:rPr>
                <w:rFonts w:ascii="宋体" w:hAnsi="宋体" w:hint="eastAsia"/>
                <w:szCs w:val="21"/>
              </w:rPr>
              <w:t>合同</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3DAB615"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14:paraId="6E240664"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694F0A6" w14:textId="77777777" w:rsidR="004C06C5" w:rsidRDefault="00ED474B">
            <w:pPr>
              <w:rPr>
                <w:rFonts w:ascii="宋体" w:hAnsi="宋体"/>
                <w:szCs w:val="21"/>
              </w:rPr>
            </w:pPr>
            <w:r>
              <w:rPr>
                <w:rFonts w:ascii="宋体" w:hAnsi="宋体" w:hint="eastAsia"/>
                <w:szCs w:val="21"/>
              </w:rPr>
              <w:t>79</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2AE0E666"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w:t>
            </w:r>
            <w:proofErr w:type="gramStart"/>
            <w:r>
              <w:rPr>
                <w:rFonts w:ascii="宋体" w:hAnsi="宋体" w:hint="eastAsia"/>
                <w:szCs w:val="21"/>
              </w:rPr>
              <w:t>基金基金</w:t>
            </w:r>
            <w:proofErr w:type="gramEnd"/>
            <w:r>
              <w:rPr>
                <w:rFonts w:ascii="宋体" w:hAnsi="宋体" w:hint="eastAsia"/>
                <w:szCs w:val="21"/>
              </w:rPr>
              <w:t>合同及托管协议对照表</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0F3A595"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14:paraId="0DC321CB"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7160C2E" w14:textId="77777777" w:rsidR="004C06C5" w:rsidRDefault="00ED474B">
            <w:pPr>
              <w:rPr>
                <w:rFonts w:ascii="宋体" w:hAnsi="宋体"/>
                <w:szCs w:val="21"/>
              </w:rPr>
            </w:pPr>
            <w:r>
              <w:rPr>
                <w:rFonts w:ascii="宋体" w:hAnsi="宋体" w:hint="eastAsia"/>
                <w:szCs w:val="21"/>
              </w:rPr>
              <w:t>80</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23DE499B"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型证券投资基金托管协议</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1BA93C1"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14:paraId="00A4D3ED"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1F41196" w14:textId="77777777" w:rsidR="004C06C5" w:rsidRDefault="00ED474B">
            <w:pPr>
              <w:rPr>
                <w:rFonts w:ascii="宋体" w:hAnsi="宋体"/>
                <w:szCs w:val="21"/>
              </w:rPr>
            </w:pPr>
            <w:r>
              <w:rPr>
                <w:rFonts w:ascii="宋体" w:hAnsi="宋体" w:hint="eastAsia"/>
                <w:szCs w:val="21"/>
              </w:rPr>
              <w:t>81</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B535ABE"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型证券投资基金更新的招募说明书（2019年第2号）</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7CD0E28"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21</w:t>
            </w:r>
            <w:r>
              <w:rPr>
                <w:rFonts w:ascii="宋体" w:hAnsi="宋体" w:hint="eastAsia"/>
                <w:szCs w:val="21"/>
              </w:rPr>
              <w:t>日</w:t>
            </w:r>
          </w:p>
        </w:tc>
      </w:tr>
      <w:tr w:rsidR="004C06C5" w14:paraId="4431F637"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E62D1D6" w14:textId="77777777" w:rsidR="004C06C5" w:rsidRDefault="00ED474B">
            <w:pPr>
              <w:rPr>
                <w:rFonts w:ascii="宋体" w:hAnsi="宋体"/>
                <w:szCs w:val="21"/>
              </w:rPr>
            </w:pPr>
            <w:r>
              <w:rPr>
                <w:rFonts w:ascii="宋体" w:hAnsi="宋体" w:hint="eastAsia"/>
                <w:szCs w:val="21"/>
              </w:rPr>
              <w:t>82</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018D510"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型证券投资基金更新招募说明书的提示性公告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3B28F59"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21</w:t>
            </w:r>
            <w:r>
              <w:rPr>
                <w:rFonts w:ascii="宋体" w:hAnsi="宋体" w:hint="eastAsia"/>
                <w:szCs w:val="21"/>
              </w:rPr>
              <w:t>日</w:t>
            </w:r>
          </w:p>
        </w:tc>
      </w:tr>
      <w:tr w:rsidR="004C06C5" w14:paraId="0BF0F43A"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BBF6E40" w14:textId="77777777" w:rsidR="004C06C5" w:rsidRDefault="00ED474B">
            <w:pPr>
              <w:rPr>
                <w:rFonts w:ascii="宋体" w:hAnsi="宋体"/>
                <w:szCs w:val="21"/>
              </w:rPr>
            </w:pPr>
            <w:r>
              <w:rPr>
                <w:rFonts w:ascii="宋体" w:hAnsi="宋体" w:hint="eastAsia"/>
                <w:szCs w:val="21"/>
              </w:rPr>
              <w:t>83</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9F57807" w14:textId="77777777"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型证券投资基金更新的招募说明书摘要（2019年第2号）</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90A51CD" w14:textId="77777777"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21</w:t>
            </w:r>
            <w:r>
              <w:rPr>
                <w:rFonts w:ascii="宋体" w:hAnsi="宋体" w:hint="eastAsia"/>
                <w:szCs w:val="21"/>
              </w:rPr>
              <w:t>日</w:t>
            </w:r>
          </w:p>
        </w:tc>
      </w:tr>
    </w:tbl>
    <w:p w14:paraId="35D604E0" w14:textId="77777777" w:rsidR="004C06C5" w:rsidRDefault="004C06C5"/>
    <w:p w14:paraId="6E85DADE" w14:textId="77777777" w:rsidR="004C06C5" w:rsidRDefault="00ED474B">
      <w:pPr>
        <w:widowControl/>
        <w:jc w:val="left"/>
      </w:pPr>
      <w:r>
        <w:br w:type="page"/>
      </w:r>
    </w:p>
    <w:p w14:paraId="202A5A28" w14:textId="77777777" w:rsidR="004C06C5" w:rsidRDefault="00ED474B">
      <w:pPr>
        <w:pStyle w:val="11"/>
        <w:snapToGrid w:val="0"/>
        <w:spacing w:before="0" w:after="0" w:line="360" w:lineRule="auto"/>
        <w:rPr>
          <w:rFonts w:ascii="Arial Unicode MS" w:eastAsia="宋体" w:hAnsi="Arial Unicode MS" w:cs="Arial"/>
          <w:b/>
          <w:bCs/>
          <w:sz w:val="28"/>
          <w:szCs w:val="28"/>
        </w:rPr>
      </w:pPr>
      <w:bookmarkStart w:id="174" w:name="_Toc146407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7"/>
      <w:bookmarkEnd w:id="168"/>
      <w:bookmarkEnd w:id="169"/>
      <w:bookmarkEnd w:id="170"/>
      <w:bookmarkEnd w:id="171"/>
      <w:bookmarkEnd w:id="172"/>
      <w:bookmarkEnd w:id="174"/>
    </w:p>
    <w:p w14:paraId="13D16C67" w14:textId="77777777" w:rsidR="004C06C5" w:rsidRDefault="004C06C5">
      <w:pPr>
        <w:rPr>
          <w:rFonts w:ascii="Arial Unicode MS" w:hAnsi="Arial Unicode MS"/>
          <w:lang w:val="zh-CN"/>
        </w:rPr>
      </w:pPr>
    </w:p>
    <w:p w14:paraId="643863E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625DE032" w14:textId="77777777" w:rsidR="004C06C5" w:rsidRDefault="00ED474B">
      <w:pPr>
        <w:adjustRightInd w:val="0"/>
        <w:snapToGrid w:val="0"/>
        <w:spacing w:line="360" w:lineRule="auto"/>
        <w:ind w:firstLineChars="200" w:firstLine="420"/>
        <w:rPr>
          <w:rFonts w:ascii="Arial Unicode MS" w:hAnsi="Arial Unicode MS" w:cs="Arial"/>
          <w:kern w:val="0"/>
          <w:szCs w:val="21"/>
        </w:rPr>
        <w:sectPr w:rsidR="004C06C5">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466ED659" w14:textId="77777777"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175" w:name="_Toc525454771"/>
      <w:bookmarkStart w:id="176" w:name="_Toc530223199"/>
      <w:bookmarkStart w:id="177" w:name="_Toc214873623"/>
      <w:bookmarkStart w:id="178" w:name="_Toc317088167"/>
      <w:bookmarkStart w:id="179" w:name="_Toc317088556"/>
      <w:bookmarkStart w:id="180" w:name="_Toc320887661"/>
      <w:bookmarkStart w:id="181" w:name="_Toc335232710"/>
      <w:bookmarkStart w:id="182" w:name="_Toc146407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73"/>
      <w:bookmarkEnd w:id="175"/>
      <w:r>
        <w:rPr>
          <w:rFonts w:ascii="Arial Unicode MS" w:eastAsia="宋体" w:hAnsi="Arial Unicode MS" w:cs="Arial"/>
          <w:b/>
          <w:bCs/>
          <w:sz w:val="28"/>
          <w:szCs w:val="28"/>
        </w:rPr>
        <w:t>备查文件</w:t>
      </w:r>
      <w:bookmarkEnd w:id="176"/>
      <w:bookmarkEnd w:id="177"/>
      <w:bookmarkEnd w:id="178"/>
      <w:bookmarkEnd w:id="179"/>
      <w:bookmarkEnd w:id="180"/>
      <w:bookmarkEnd w:id="181"/>
      <w:bookmarkEnd w:id="182"/>
    </w:p>
    <w:p w14:paraId="2521FBA9" w14:textId="77777777" w:rsidR="004C06C5" w:rsidRDefault="004C06C5">
      <w:pPr>
        <w:rPr>
          <w:rFonts w:ascii="Arial Unicode MS" w:hAnsi="Arial Unicode MS"/>
          <w:lang w:val="zh-CN"/>
        </w:rPr>
      </w:pPr>
    </w:p>
    <w:p w14:paraId="23C04861"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以下备查文件存放在基金管理人的办公场所，在办公时间可供免费查阅。</w:t>
      </w:r>
    </w:p>
    <w:p w14:paraId="22A57DBE"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（一）中国证监会</w:t>
      </w:r>
      <w:r>
        <w:rPr>
          <w:rFonts w:ascii="Arial Unicode MS" w:hAnsi="Arial Unicode MS" w:cs="Arial" w:hint="eastAsia"/>
          <w:kern w:val="0"/>
          <w:szCs w:val="21"/>
        </w:rPr>
        <w:t>准予</w:t>
      </w:r>
      <w:proofErr w:type="gramStart"/>
      <w:r>
        <w:rPr>
          <w:rFonts w:ascii="Arial Unicode MS" w:hAnsi="Arial Unicode MS" w:cs="Arial"/>
          <w:kern w:val="0"/>
          <w:szCs w:val="21"/>
        </w:rPr>
        <w:t>富荣富乾债券</w:t>
      </w:r>
      <w:proofErr w:type="gramEnd"/>
      <w:r>
        <w:rPr>
          <w:rFonts w:ascii="Arial Unicode MS" w:hAnsi="Arial Unicode MS" w:cs="Arial"/>
          <w:kern w:val="0"/>
          <w:szCs w:val="21"/>
        </w:rPr>
        <w:t>型证券投资基金</w:t>
      </w:r>
      <w:r>
        <w:rPr>
          <w:rFonts w:ascii="Arial Unicode MS" w:hAnsi="Arial Unicode MS" w:cs="Arial" w:hint="eastAsia"/>
          <w:kern w:val="0"/>
          <w:szCs w:val="21"/>
        </w:rPr>
        <w:t>注册</w:t>
      </w:r>
      <w:r>
        <w:rPr>
          <w:rFonts w:ascii="Arial Unicode MS" w:hAnsi="Arial Unicode MS" w:cs="Arial"/>
          <w:kern w:val="0"/>
          <w:szCs w:val="21"/>
        </w:rPr>
        <w:t>的文件</w:t>
      </w:r>
    </w:p>
    <w:p w14:paraId="41D5A6F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（二）《富荣富乾债券型证券投资基金基金合同》</w:t>
      </w:r>
    </w:p>
    <w:p w14:paraId="3C72E30A"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三</w:t>
      </w:r>
      <w:r>
        <w:rPr>
          <w:rFonts w:ascii="Arial Unicode MS" w:hAnsi="Arial Unicode MS" w:cs="Arial"/>
          <w:kern w:val="0"/>
          <w:szCs w:val="21"/>
        </w:rPr>
        <w:t>）《富荣富乾债券型证券投资基金托管协议》</w:t>
      </w:r>
    </w:p>
    <w:p w14:paraId="1E7CCEE7"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四</w:t>
      </w:r>
      <w:r>
        <w:rPr>
          <w:rFonts w:ascii="Arial Unicode MS" w:hAnsi="Arial Unicode MS" w:cs="Arial"/>
          <w:kern w:val="0"/>
          <w:szCs w:val="21"/>
        </w:rPr>
        <w:t>）基金管理人业务资格批件、营业执照</w:t>
      </w:r>
    </w:p>
    <w:p w14:paraId="351A2659"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五</w:t>
      </w:r>
      <w:r>
        <w:rPr>
          <w:rFonts w:ascii="Arial Unicode MS" w:hAnsi="Arial Unicode MS" w:cs="Arial"/>
          <w:kern w:val="0"/>
          <w:szCs w:val="21"/>
        </w:rPr>
        <w:t>）基金托管人业务资格批件、营业执照</w:t>
      </w:r>
    </w:p>
    <w:p w14:paraId="473DE12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六</w:t>
      </w:r>
      <w:r>
        <w:rPr>
          <w:rFonts w:ascii="Arial Unicode MS" w:hAnsi="Arial Unicode MS" w:cs="Arial"/>
          <w:kern w:val="0"/>
          <w:szCs w:val="21"/>
        </w:rPr>
        <w:t>）关于申请募集</w:t>
      </w:r>
      <w:r>
        <w:rPr>
          <w:rFonts w:ascii="Arial Unicode MS" w:hAnsi="Arial Unicode MS" w:cs="Arial" w:hint="eastAsia"/>
          <w:kern w:val="0"/>
          <w:szCs w:val="21"/>
        </w:rPr>
        <w:t>注册</w:t>
      </w:r>
      <w:proofErr w:type="gramStart"/>
      <w:r>
        <w:rPr>
          <w:rFonts w:ascii="Arial Unicode MS" w:hAnsi="Arial Unicode MS" w:cs="Arial"/>
          <w:kern w:val="0"/>
          <w:szCs w:val="21"/>
        </w:rPr>
        <w:t>富荣富乾债券</w:t>
      </w:r>
      <w:proofErr w:type="gramEnd"/>
      <w:r>
        <w:rPr>
          <w:rFonts w:ascii="Arial Unicode MS" w:hAnsi="Arial Unicode MS" w:cs="Arial"/>
          <w:kern w:val="0"/>
          <w:szCs w:val="21"/>
        </w:rPr>
        <w:t>型证券投资基金之法律意见书</w:t>
      </w:r>
    </w:p>
    <w:p w14:paraId="2BF441B5"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（七）中国证监会要求的其他文件</w:t>
      </w:r>
    </w:p>
    <w:p w14:paraId="548985BC" w14:textId="77777777"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查阅方式：投资者可在营业时间免费查阅，也可按工本费购买复印件。</w:t>
      </w:r>
    </w:p>
    <w:p w14:paraId="3ADC53FD"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318EF0D2"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53B96EF2"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0BE21EC5"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7CC331C5"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67595A56"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69EB742D"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08D4C183"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651065ED" w14:textId="77777777" w:rsidR="004C06C5" w:rsidRDefault="004C06C5">
      <w:pPr>
        <w:adjustRightInd w:val="0"/>
        <w:snapToGrid w:val="0"/>
        <w:spacing w:line="360" w:lineRule="auto"/>
        <w:ind w:firstLineChars="200" w:firstLine="420"/>
        <w:rPr>
          <w:rFonts w:ascii="Arial Unicode MS" w:hAnsi="Arial Unicode MS" w:cs="Arial"/>
          <w:kern w:val="0"/>
          <w:szCs w:val="21"/>
        </w:rPr>
      </w:pPr>
    </w:p>
    <w:p w14:paraId="41231CCC" w14:textId="77777777" w:rsidR="004C06C5" w:rsidRDefault="00ED474B">
      <w:pPr>
        <w:adjustRightInd w:val="0"/>
        <w:snapToGrid w:val="0"/>
        <w:spacing w:line="360" w:lineRule="auto"/>
        <w:ind w:firstLineChars="2700" w:firstLine="5670"/>
        <w:rPr>
          <w:rFonts w:ascii="Arial Unicode MS" w:hAnsi="Arial Unicode MS"/>
        </w:rPr>
      </w:pPr>
      <w:r>
        <w:rPr>
          <w:rFonts w:ascii="Arial Unicode MS" w:hAnsi="Arial Unicode MS" w:hint="eastAsia"/>
        </w:rPr>
        <w:t>富荣基金管理有限公司</w:t>
      </w:r>
    </w:p>
    <w:p w14:paraId="7B14A6EE" w14:textId="119A9D65" w:rsidR="004C06C5" w:rsidRDefault="0092710E">
      <w:pPr>
        <w:adjustRightInd w:val="0"/>
        <w:snapToGrid w:val="0"/>
        <w:spacing w:line="360" w:lineRule="auto"/>
        <w:ind w:firstLineChars="2750" w:firstLine="5775"/>
        <w:rPr>
          <w:rFonts w:ascii="Arial Unicode MS" w:hAnsi="Arial Unicode MS"/>
        </w:rPr>
      </w:pPr>
      <w:r>
        <w:rPr>
          <w:rFonts w:ascii="Arial Unicode MS" w:hAnsi="Arial Unicode MS" w:hint="eastAsia"/>
        </w:rPr>
        <w:t>2020</w:t>
      </w:r>
      <w:r>
        <w:rPr>
          <w:rFonts w:ascii="Arial Unicode MS" w:hAnsi="Arial Unicode MS" w:hint="eastAsia"/>
        </w:rPr>
        <w:t>年</w:t>
      </w:r>
      <w:r>
        <w:rPr>
          <w:rFonts w:ascii="Arial Unicode MS" w:hAnsi="Arial Unicode MS"/>
        </w:rPr>
        <w:t>12</w:t>
      </w:r>
      <w:r w:rsidR="00ED474B">
        <w:rPr>
          <w:rFonts w:ascii="Arial Unicode MS" w:hAnsi="Arial Unicode MS" w:hint="eastAsia"/>
        </w:rPr>
        <w:t>月</w:t>
      </w:r>
      <w:r>
        <w:rPr>
          <w:rFonts w:ascii="Arial Unicode MS" w:hAnsi="Arial Unicode MS"/>
        </w:rPr>
        <w:t>14</w:t>
      </w:r>
      <w:r w:rsidR="00ED474B">
        <w:rPr>
          <w:rFonts w:ascii="Arial Unicode MS" w:hAnsi="Arial Unicode MS" w:hint="eastAsia"/>
        </w:rPr>
        <w:t>日</w:t>
      </w:r>
    </w:p>
    <w:sectPr w:rsidR="004C06C5">
      <w:footerReference w:type="first" r:id="rId26"/>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5FC26F" w14:textId="77777777" w:rsidR="0052669A" w:rsidRDefault="0052669A">
      <w:r>
        <w:separator/>
      </w:r>
    </w:p>
  </w:endnote>
  <w:endnote w:type="continuationSeparator" w:id="0">
    <w:p w14:paraId="3D5D6F9B" w14:textId="77777777" w:rsidR="0052669A" w:rsidRDefault="005266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Times New Roman"/>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5EFD27" w14:textId="77777777" w:rsidR="00FA67CC" w:rsidRDefault="00FA67CC">
    <w:pPr>
      <w:pStyle w:val="afb"/>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6D9B39" w14:textId="77777777" w:rsidR="00FA67CC" w:rsidRDefault="00FA67CC">
    <w:pPr>
      <w:pStyle w:val="afb"/>
      <w:jc w:val="center"/>
    </w:pPr>
    <w:r>
      <w:fldChar w:fldCharType="begin"/>
    </w:r>
    <w:r>
      <w:instrText xml:space="preserve"> PAGE   \* MERGEFORMAT </w:instrText>
    </w:r>
    <w:r>
      <w:fldChar w:fldCharType="separate"/>
    </w:r>
    <w:r>
      <w:rPr>
        <w:noProof/>
      </w:rPr>
      <w:t>2</w:t>
    </w:r>
    <w:r>
      <w:fldChar w:fldCharType="end"/>
    </w:r>
  </w:p>
  <w:p w14:paraId="34E891FB" w14:textId="77777777" w:rsidR="00FA67CC" w:rsidRDefault="00FA67CC">
    <w:pPr>
      <w:pStyle w:val="afb"/>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9352B0" w14:textId="77777777" w:rsidR="00FA67CC" w:rsidRDefault="00FA67CC">
    <w:pPr>
      <w:pStyle w:val="afb"/>
      <w:jc w:val="center"/>
    </w:pPr>
    <w:r>
      <w:fldChar w:fldCharType="begin"/>
    </w:r>
    <w:r>
      <w:instrText xml:space="preserve"> PAGE   \* MERGEFORMAT </w:instrText>
    </w:r>
    <w:r>
      <w:fldChar w:fldCharType="separate"/>
    </w:r>
    <w:r>
      <w:rPr>
        <w:noProof/>
      </w:rPr>
      <w:t>1</w:t>
    </w:r>
    <w:r>
      <w:fldChar w:fldCharType="end"/>
    </w:r>
  </w:p>
  <w:p w14:paraId="1ED7E79B" w14:textId="77777777" w:rsidR="00FA67CC" w:rsidRDefault="00FA67CC">
    <w:pPr>
      <w:pStyle w:val="afb"/>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46E83B" w14:textId="77777777" w:rsidR="00FA67CC" w:rsidRDefault="00FA67CC">
    <w:pPr>
      <w:pStyle w:val="afb"/>
      <w:jc w:val="center"/>
    </w:pPr>
    <w:r>
      <w:fldChar w:fldCharType="begin"/>
    </w:r>
    <w:r>
      <w:instrText xml:space="preserve"> PAGE   \* MERGEFORMAT </w:instrText>
    </w:r>
    <w:r>
      <w:fldChar w:fldCharType="separate"/>
    </w:r>
    <w:r>
      <w:rPr>
        <w:noProof/>
      </w:rPr>
      <w:t>5</w:t>
    </w:r>
    <w:r>
      <w:fldChar w:fldCharType="end"/>
    </w:r>
  </w:p>
  <w:p w14:paraId="4C47FA3F" w14:textId="77777777" w:rsidR="00FA67CC" w:rsidRDefault="00FA67CC">
    <w:pPr>
      <w:pStyle w:val="afb"/>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2D536A" w14:textId="77777777" w:rsidR="00FA67CC" w:rsidRDefault="00FA67CC">
    <w:pPr>
      <w:pStyle w:val="afb"/>
      <w:jc w:val="center"/>
      <w:rPr>
        <w:rFonts w:ascii="Arial" w:hAnsi="Arial" w:cs="Arial"/>
        <w:sz w:val="21"/>
        <w:szCs w:val="21"/>
      </w:rPr>
    </w:pPr>
    <w:r>
      <w:rPr>
        <w:rStyle w:val="aff6"/>
        <w:rFonts w:ascii="Arial" w:hAnsi="Arial" w:cs="Arial"/>
        <w:sz w:val="21"/>
        <w:szCs w:val="21"/>
      </w:rPr>
      <w:fldChar w:fldCharType="begin"/>
    </w:r>
    <w:r>
      <w:rPr>
        <w:rStyle w:val="aff6"/>
        <w:rFonts w:ascii="Arial" w:hAnsi="Arial" w:cs="Arial"/>
        <w:sz w:val="21"/>
        <w:szCs w:val="21"/>
      </w:rPr>
      <w:instrText xml:space="preserve"> PAGE </w:instrText>
    </w:r>
    <w:r>
      <w:rPr>
        <w:rStyle w:val="aff6"/>
        <w:rFonts w:ascii="Arial" w:hAnsi="Arial" w:cs="Arial"/>
        <w:sz w:val="21"/>
        <w:szCs w:val="21"/>
      </w:rPr>
      <w:fldChar w:fldCharType="separate"/>
    </w:r>
    <w:r>
      <w:rPr>
        <w:rStyle w:val="aff6"/>
        <w:rFonts w:ascii="Arial" w:hAnsi="Arial" w:cs="Arial"/>
        <w:sz w:val="21"/>
        <w:szCs w:val="21"/>
      </w:rPr>
      <w:t>89</w:t>
    </w:r>
    <w:r>
      <w:rPr>
        <w:rStyle w:val="aff6"/>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4CF908" w14:textId="77777777" w:rsidR="00FA67CC" w:rsidRDefault="00FA67CC">
    <w:pPr>
      <w:pStyle w:val="afb"/>
      <w:jc w:val="center"/>
    </w:pPr>
    <w:r>
      <w:fldChar w:fldCharType="begin"/>
    </w:r>
    <w:r>
      <w:instrText xml:space="preserve"> PAGE   \* MERGEFORMAT </w:instrText>
    </w:r>
    <w:r>
      <w:fldChar w:fldCharType="separate"/>
    </w:r>
    <w:r>
      <w:rPr>
        <w:noProof/>
      </w:rPr>
      <w:t>4</w:t>
    </w:r>
    <w:r>
      <w:fldChar w:fldCharType="end"/>
    </w:r>
  </w:p>
  <w:p w14:paraId="39FA6FC3" w14:textId="77777777" w:rsidR="00FA67CC" w:rsidRDefault="00FA67CC">
    <w:pPr>
      <w:pStyle w:val="afb"/>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C2914" w14:textId="77777777" w:rsidR="00FA67CC" w:rsidRDefault="00FA67CC">
    <w:pPr>
      <w:pStyle w:val="afb"/>
      <w:jc w:val="center"/>
    </w:pPr>
    <w:r>
      <w:fldChar w:fldCharType="begin"/>
    </w:r>
    <w:r>
      <w:instrText xml:space="preserve"> PAGE   \* MERGEFORMAT </w:instrText>
    </w:r>
    <w:r>
      <w:fldChar w:fldCharType="separate"/>
    </w:r>
    <w:r>
      <w:rPr>
        <w:noProof/>
      </w:rPr>
      <w:t>34</w:t>
    </w:r>
    <w:r>
      <w:fldChar w:fldCharType="end"/>
    </w:r>
  </w:p>
  <w:p w14:paraId="7A50CBAA" w14:textId="77777777" w:rsidR="00FA67CC" w:rsidRDefault="00FA67CC">
    <w:pPr>
      <w:pStyle w:val="afb"/>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819D5B" w14:textId="77777777" w:rsidR="00FA67CC" w:rsidRDefault="00FA67CC">
    <w:pPr>
      <w:pStyle w:val="afb"/>
      <w:jc w:val="center"/>
    </w:pPr>
    <w:r>
      <w:fldChar w:fldCharType="begin"/>
    </w:r>
    <w:r>
      <w:instrText>PAGE   \* MERGEFORMAT</w:instrText>
    </w:r>
    <w:r>
      <w:fldChar w:fldCharType="separate"/>
    </w:r>
    <w:r>
      <w:rPr>
        <w:noProof/>
      </w:rPr>
      <w:t>33</w:t>
    </w:r>
    <w:r>
      <w:fldChar w:fldCharType="end"/>
    </w:r>
  </w:p>
  <w:p w14:paraId="177E9EB4" w14:textId="77777777" w:rsidR="00FA67CC" w:rsidRDefault="00FA67CC">
    <w:pPr>
      <w:pStyle w:val="afb"/>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AB6645" w14:textId="77777777" w:rsidR="00FA67CC" w:rsidRDefault="00FA67CC">
    <w:pPr>
      <w:pStyle w:val="afb"/>
      <w:jc w:val="center"/>
    </w:pPr>
  </w:p>
  <w:p w14:paraId="0C7F3C36" w14:textId="77777777" w:rsidR="00FA67CC" w:rsidRDefault="00FA67CC">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E11082" w14:textId="77777777" w:rsidR="0052669A" w:rsidRDefault="0052669A">
      <w:r>
        <w:separator/>
      </w:r>
    </w:p>
  </w:footnote>
  <w:footnote w:type="continuationSeparator" w:id="0">
    <w:p w14:paraId="123EE8E7" w14:textId="77777777" w:rsidR="0052669A" w:rsidRDefault="005266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1BC0CD" w14:textId="7394F784" w:rsidR="00FA67CC" w:rsidRDefault="00FA67CC">
    <w:pPr>
      <w:pStyle w:val="afd"/>
      <w:jc w:val="left"/>
    </w:pPr>
    <w:proofErr w:type="gramStart"/>
    <w:r>
      <w:rPr>
        <w:rFonts w:hint="eastAsia"/>
      </w:rPr>
      <w:t>富荣富乾</w:t>
    </w:r>
    <w:r>
      <w:t>债券</w:t>
    </w:r>
    <w:proofErr w:type="gramEnd"/>
    <w:r>
      <w:t>型</w:t>
    </w:r>
    <w:r>
      <w:rPr>
        <w:rFonts w:hint="eastAsia"/>
      </w:rPr>
      <w:t>证券投资基金更新的招募说明书（</w:t>
    </w:r>
    <w:r>
      <w:rPr>
        <w:rFonts w:hint="eastAsia"/>
      </w:rPr>
      <w:t>20</w:t>
    </w:r>
    <w:r>
      <w:t>20</w:t>
    </w:r>
    <w:r>
      <w:rPr>
        <w:rFonts w:hint="eastAsia"/>
      </w:rPr>
      <w:t>年第</w:t>
    </w:r>
    <w:r>
      <w:t>3</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0967F1" w14:textId="77777777" w:rsidR="00FA67CC" w:rsidRDefault="00FA67CC">
    <w:pPr>
      <w:pStyle w:val="afd"/>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5292C7" w14:textId="34E87C43" w:rsidR="00FA67CC" w:rsidRDefault="00FA67CC">
    <w:pPr>
      <w:pStyle w:val="afd"/>
      <w:jc w:val="left"/>
    </w:pPr>
    <w:proofErr w:type="gramStart"/>
    <w:r>
      <w:rPr>
        <w:rFonts w:hint="eastAsia"/>
      </w:rPr>
      <w:t>富荣富乾</w:t>
    </w:r>
    <w:r>
      <w:t>债券</w:t>
    </w:r>
    <w:proofErr w:type="gramEnd"/>
    <w:r>
      <w:t>型证券投资基金</w:t>
    </w:r>
    <w:r>
      <w:rPr>
        <w:rFonts w:hint="eastAsia"/>
      </w:rPr>
      <w:t>更新的招募说明书（</w:t>
    </w:r>
    <w:r>
      <w:rPr>
        <w:rFonts w:hint="eastAsia"/>
      </w:rPr>
      <w:t>20</w:t>
    </w:r>
    <w:r>
      <w:t>20</w:t>
    </w:r>
    <w:r>
      <w:rPr>
        <w:rFonts w:hint="eastAsia"/>
      </w:rPr>
      <w:t>年第</w:t>
    </w:r>
    <w:r>
      <w:t>3</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3"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BE9"/>
    <w:rsid w:val="000000BB"/>
    <w:rsid w:val="000004AB"/>
    <w:rsid w:val="000005C6"/>
    <w:rsid w:val="00000F3E"/>
    <w:rsid w:val="00001115"/>
    <w:rsid w:val="000011E4"/>
    <w:rsid w:val="00001254"/>
    <w:rsid w:val="000016B0"/>
    <w:rsid w:val="0000298F"/>
    <w:rsid w:val="00002D3C"/>
    <w:rsid w:val="00005F1C"/>
    <w:rsid w:val="0000670B"/>
    <w:rsid w:val="00007BE9"/>
    <w:rsid w:val="000118B7"/>
    <w:rsid w:val="00012DD5"/>
    <w:rsid w:val="00012F8D"/>
    <w:rsid w:val="00014B1E"/>
    <w:rsid w:val="000156DF"/>
    <w:rsid w:val="00017120"/>
    <w:rsid w:val="000177F3"/>
    <w:rsid w:val="00017A0C"/>
    <w:rsid w:val="000202DD"/>
    <w:rsid w:val="000248F5"/>
    <w:rsid w:val="00025B1A"/>
    <w:rsid w:val="00025D47"/>
    <w:rsid w:val="000269A2"/>
    <w:rsid w:val="0002708D"/>
    <w:rsid w:val="000274BE"/>
    <w:rsid w:val="000275A0"/>
    <w:rsid w:val="0003199D"/>
    <w:rsid w:val="000334FF"/>
    <w:rsid w:val="00033529"/>
    <w:rsid w:val="00034BDA"/>
    <w:rsid w:val="00034CFD"/>
    <w:rsid w:val="0004048E"/>
    <w:rsid w:val="00041294"/>
    <w:rsid w:val="0004192D"/>
    <w:rsid w:val="00043617"/>
    <w:rsid w:val="00044F2F"/>
    <w:rsid w:val="000470E2"/>
    <w:rsid w:val="00047255"/>
    <w:rsid w:val="00047BCA"/>
    <w:rsid w:val="00050B78"/>
    <w:rsid w:val="00051569"/>
    <w:rsid w:val="000518E1"/>
    <w:rsid w:val="00053D39"/>
    <w:rsid w:val="0005542C"/>
    <w:rsid w:val="00055CDD"/>
    <w:rsid w:val="0005621B"/>
    <w:rsid w:val="00057908"/>
    <w:rsid w:val="00057DB6"/>
    <w:rsid w:val="00060EC7"/>
    <w:rsid w:val="00061060"/>
    <w:rsid w:val="00061244"/>
    <w:rsid w:val="000613B4"/>
    <w:rsid w:val="00061786"/>
    <w:rsid w:val="00062602"/>
    <w:rsid w:val="000635C2"/>
    <w:rsid w:val="00065CB4"/>
    <w:rsid w:val="00066685"/>
    <w:rsid w:val="00066D4B"/>
    <w:rsid w:val="0006779C"/>
    <w:rsid w:val="00070220"/>
    <w:rsid w:val="000704BD"/>
    <w:rsid w:val="00071D4E"/>
    <w:rsid w:val="000724FF"/>
    <w:rsid w:val="00075E3D"/>
    <w:rsid w:val="00076CDD"/>
    <w:rsid w:val="00076FB8"/>
    <w:rsid w:val="00081796"/>
    <w:rsid w:val="0008195C"/>
    <w:rsid w:val="00081EEA"/>
    <w:rsid w:val="00082203"/>
    <w:rsid w:val="000823B6"/>
    <w:rsid w:val="000828CD"/>
    <w:rsid w:val="00082A8A"/>
    <w:rsid w:val="00082F38"/>
    <w:rsid w:val="00083390"/>
    <w:rsid w:val="00084FFD"/>
    <w:rsid w:val="00086A37"/>
    <w:rsid w:val="00090DEF"/>
    <w:rsid w:val="0009161B"/>
    <w:rsid w:val="0009175C"/>
    <w:rsid w:val="000945FF"/>
    <w:rsid w:val="000959CB"/>
    <w:rsid w:val="00096EC8"/>
    <w:rsid w:val="00097201"/>
    <w:rsid w:val="00097DFC"/>
    <w:rsid w:val="00097E83"/>
    <w:rsid w:val="000A11E3"/>
    <w:rsid w:val="000A19F0"/>
    <w:rsid w:val="000A2C8A"/>
    <w:rsid w:val="000A5297"/>
    <w:rsid w:val="000A62A4"/>
    <w:rsid w:val="000A6EDE"/>
    <w:rsid w:val="000A7748"/>
    <w:rsid w:val="000A7A9C"/>
    <w:rsid w:val="000B0134"/>
    <w:rsid w:val="000B1D0F"/>
    <w:rsid w:val="000B5BAA"/>
    <w:rsid w:val="000B61D2"/>
    <w:rsid w:val="000B6442"/>
    <w:rsid w:val="000B699E"/>
    <w:rsid w:val="000B743E"/>
    <w:rsid w:val="000C3411"/>
    <w:rsid w:val="000C3479"/>
    <w:rsid w:val="000C35FD"/>
    <w:rsid w:val="000C3E11"/>
    <w:rsid w:val="000C46DF"/>
    <w:rsid w:val="000C47F0"/>
    <w:rsid w:val="000C4BFD"/>
    <w:rsid w:val="000C5118"/>
    <w:rsid w:val="000C59F0"/>
    <w:rsid w:val="000C785A"/>
    <w:rsid w:val="000C78B5"/>
    <w:rsid w:val="000C79F3"/>
    <w:rsid w:val="000C7A58"/>
    <w:rsid w:val="000C7A9E"/>
    <w:rsid w:val="000D087F"/>
    <w:rsid w:val="000D0CF9"/>
    <w:rsid w:val="000D1F2C"/>
    <w:rsid w:val="000D27C6"/>
    <w:rsid w:val="000D31E3"/>
    <w:rsid w:val="000D3394"/>
    <w:rsid w:val="000D53EF"/>
    <w:rsid w:val="000D5DC2"/>
    <w:rsid w:val="000D6C0F"/>
    <w:rsid w:val="000D71DD"/>
    <w:rsid w:val="000E0060"/>
    <w:rsid w:val="000E1483"/>
    <w:rsid w:val="000E1599"/>
    <w:rsid w:val="000E1DDF"/>
    <w:rsid w:val="000E1FDF"/>
    <w:rsid w:val="000E2719"/>
    <w:rsid w:val="000E2A1B"/>
    <w:rsid w:val="000E4499"/>
    <w:rsid w:val="000E5258"/>
    <w:rsid w:val="000E773E"/>
    <w:rsid w:val="000E77F9"/>
    <w:rsid w:val="000F0451"/>
    <w:rsid w:val="000F160B"/>
    <w:rsid w:val="000F168A"/>
    <w:rsid w:val="000F1AB6"/>
    <w:rsid w:val="000F2FA1"/>
    <w:rsid w:val="000F51D8"/>
    <w:rsid w:val="000F5321"/>
    <w:rsid w:val="000F56D9"/>
    <w:rsid w:val="000F578B"/>
    <w:rsid w:val="000F5AB5"/>
    <w:rsid w:val="000F5EC0"/>
    <w:rsid w:val="000F71A9"/>
    <w:rsid w:val="000F756D"/>
    <w:rsid w:val="000F7EE9"/>
    <w:rsid w:val="00100A8C"/>
    <w:rsid w:val="001013DC"/>
    <w:rsid w:val="00101A57"/>
    <w:rsid w:val="00101AB1"/>
    <w:rsid w:val="001034FE"/>
    <w:rsid w:val="001035CA"/>
    <w:rsid w:val="00103952"/>
    <w:rsid w:val="00104FD3"/>
    <w:rsid w:val="00105435"/>
    <w:rsid w:val="00105ACE"/>
    <w:rsid w:val="00105E5F"/>
    <w:rsid w:val="00105EA2"/>
    <w:rsid w:val="00107608"/>
    <w:rsid w:val="00110203"/>
    <w:rsid w:val="00111A89"/>
    <w:rsid w:val="00111C83"/>
    <w:rsid w:val="001145B4"/>
    <w:rsid w:val="001147B4"/>
    <w:rsid w:val="00114F9D"/>
    <w:rsid w:val="001159F7"/>
    <w:rsid w:val="00115BF1"/>
    <w:rsid w:val="0011623A"/>
    <w:rsid w:val="00120FD5"/>
    <w:rsid w:val="00121F77"/>
    <w:rsid w:val="001232B7"/>
    <w:rsid w:val="00124FC1"/>
    <w:rsid w:val="001250EA"/>
    <w:rsid w:val="00125CDD"/>
    <w:rsid w:val="00125CEE"/>
    <w:rsid w:val="001278E3"/>
    <w:rsid w:val="00130A79"/>
    <w:rsid w:val="00131DDA"/>
    <w:rsid w:val="0013242A"/>
    <w:rsid w:val="00132EB4"/>
    <w:rsid w:val="00133BB9"/>
    <w:rsid w:val="00134278"/>
    <w:rsid w:val="00135A7F"/>
    <w:rsid w:val="00136938"/>
    <w:rsid w:val="001400DB"/>
    <w:rsid w:val="00140B6E"/>
    <w:rsid w:val="00141343"/>
    <w:rsid w:val="00141595"/>
    <w:rsid w:val="00145BD4"/>
    <w:rsid w:val="001470B9"/>
    <w:rsid w:val="001500AE"/>
    <w:rsid w:val="00150ACE"/>
    <w:rsid w:val="0015142D"/>
    <w:rsid w:val="00151F04"/>
    <w:rsid w:val="00152669"/>
    <w:rsid w:val="00152D78"/>
    <w:rsid w:val="0015364F"/>
    <w:rsid w:val="00154735"/>
    <w:rsid w:val="00154E5B"/>
    <w:rsid w:val="001559FC"/>
    <w:rsid w:val="00157188"/>
    <w:rsid w:val="00160038"/>
    <w:rsid w:val="0016263E"/>
    <w:rsid w:val="00162F00"/>
    <w:rsid w:val="001648B4"/>
    <w:rsid w:val="00164C31"/>
    <w:rsid w:val="001652FD"/>
    <w:rsid w:val="001665C7"/>
    <w:rsid w:val="00167621"/>
    <w:rsid w:val="00170A4E"/>
    <w:rsid w:val="00170CE8"/>
    <w:rsid w:val="00172158"/>
    <w:rsid w:val="0017297B"/>
    <w:rsid w:val="001737A0"/>
    <w:rsid w:val="00173F90"/>
    <w:rsid w:val="00175282"/>
    <w:rsid w:val="001754BD"/>
    <w:rsid w:val="00176ACE"/>
    <w:rsid w:val="00176AED"/>
    <w:rsid w:val="00177066"/>
    <w:rsid w:val="00180E22"/>
    <w:rsid w:val="00180EA6"/>
    <w:rsid w:val="00181D57"/>
    <w:rsid w:val="0018336E"/>
    <w:rsid w:val="00183E84"/>
    <w:rsid w:val="001841A8"/>
    <w:rsid w:val="00184B6B"/>
    <w:rsid w:val="00185B77"/>
    <w:rsid w:val="0018608E"/>
    <w:rsid w:val="00190284"/>
    <w:rsid w:val="0019131C"/>
    <w:rsid w:val="001913E3"/>
    <w:rsid w:val="0019160C"/>
    <w:rsid w:val="00192ED4"/>
    <w:rsid w:val="00193734"/>
    <w:rsid w:val="0019397A"/>
    <w:rsid w:val="001947B1"/>
    <w:rsid w:val="00195C73"/>
    <w:rsid w:val="0019671E"/>
    <w:rsid w:val="00196FBE"/>
    <w:rsid w:val="00197064"/>
    <w:rsid w:val="001970BC"/>
    <w:rsid w:val="001A0310"/>
    <w:rsid w:val="001A0A48"/>
    <w:rsid w:val="001A158D"/>
    <w:rsid w:val="001A1E2F"/>
    <w:rsid w:val="001A20DD"/>
    <w:rsid w:val="001A2186"/>
    <w:rsid w:val="001A2C46"/>
    <w:rsid w:val="001A374D"/>
    <w:rsid w:val="001A5BF5"/>
    <w:rsid w:val="001A5CE5"/>
    <w:rsid w:val="001A5D8E"/>
    <w:rsid w:val="001A677F"/>
    <w:rsid w:val="001A728B"/>
    <w:rsid w:val="001A7B7E"/>
    <w:rsid w:val="001A7F12"/>
    <w:rsid w:val="001B17B9"/>
    <w:rsid w:val="001B18A6"/>
    <w:rsid w:val="001B2BE1"/>
    <w:rsid w:val="001B37C0"/>
    <w:rsid w:val="001B4541"/>
    <w:rsid w:val="001B4FAD"/>
    <w:rsid w:val="001B6E47"/>
    <w:rsid w:val="001C2E5E"/>
    <w:rsid w:val="001C3CDB"/>
    <w:rsid w:val="001C4023"/>
    <w:rsid w:val="001C4B8E"/>
    <w:rsid w:val="001C4D51"/>
    <w:rsid w:val="001C6AF3"/>
    <w:rsid w:val="001C7018"/>
    <w:rsid w:val="001C71C9"/>
    <w:rsid w:val="001C7E36"/>
    <w:rsid w:val="001D0B03"/>
    <w:rsid w:val="001D1997"/>
    <w:rsid w:val="001D1D1E"/>
    <w:rsid w:val="001D2FAD"/>
    <w:rsid w:val="001D47AE"/>
    <w:rsid w:val="001D4C4A"/>
    <w:rsid w:val="001D55B5"/>
    <w:rsid w:val="001D6EE7"/>
    <w:rsid w:val="001E089E"/>
    <w:rsid w:val="001E0BC9"/>
    <w:rsid w:val="001E1153"/>
    <w:rsid w:val="001E36D8"/>
    <w:rsid w:val="001F141C"/>
    <w:rsid w:val="001F1809"/>
    <w:rsid w:val="001F205F"/>
    <w:rsid w:val="001F304D"/>
    <w:rsid w:val="001F53AA"/>
    <w:rsid w:val="001F56C7"/>
    <w:rsid w:val="001F6342"/>
    <w:rsid w:val="001F7E62"/>
    <w:rsid w:val="002009EC"/>
    <w:rsid w:val="00200B5D"/>
    <w:rsid w:val="00200DC6"/>
    <w:rsid w:val="00200FE5"/>
    <w:rsid w:val="002011EA"/>
    <w:rsid w:val="0020140E"/>
    <w:rsid w:val="002016E2"/>
    <w:rsid w:val="00201837"/>
    <w:rsid w:val="002020EF"/>
    <w:rsid w:val="00202E60"/>
    <w:rsid w:val="00202F67"/>
    <w:rsid w:val="0020492A"/>
    <w:rsid w:val="00204B44"/>
    <w:rsid w:val="00207847"/>
    <w:rsid w:val="00210348"/>
    <w:rsid w:val="0021196A"/>
    <w:rsid w:val="002125D3"/>
    <w:rsid w:val="0021267F"/>
    <w:rsid w:val="00212BCA"/>
    <w:rsid w:val="0021351B"/>
    <w:rsid w:val="00213977"/>
    <w:rsid w:val="00215434"/>
    <w:rsid w:val="00217024"/>
    <w:rsid w:val="00220DC5"/>
    <w:rsid w:val="002214FF"/>
    <w:rsid w:val="00221B33"/>
    <w:rsid w:val="00223D37"/>
    <w:rsid w:val="00224E6D"/>
    <w:rsid w:val="002250F9"/>
    <w:rsid w:val="002252CF"/>
    <w:rsid w:val="00225865"/>
    <w:rsid w:val="00226D37"/>
    <w:rsid w:val="00226DBA"/>
    <w:rsid w:val="00227C17"/>
    <w:rsid w:val="00231603"/>
    <w:rsid w:val="00231CAF"/>
    <w:rsid w:val="00232621"/>
    <w:rsid w:val="002330BB"/>
    <w:rsid w:val="002349D9"/>
    <w:rsid w:val="00235475"/>
    <w:rsid w:val="00235796"/>
    <w:rsid w:val="002357BA"/>
    <w:rsid w:val="00235D44"/>
    <w:rsid w:val="00237009"/>
    <w:rsid w:val="002376B3"/>
    <w:rsid w:val="00240D4C"/>
    <w:rsid w:val="00241335"/>
    <w:rsid w:val="002422E3"/>
    <w:rsid w:val="00242BD9"/>
    <w:rsid w:val="00242BEA"/>
    <w:rsid w:val="002438FD"/>
    <w:rsid w:val="00245246"/>
    <w:rsid w:val="0024541D"/>
    <w:rsid w:val="0024627E"/>
    <w:rsid w:val="002463A3"/>
    <w:rsid w:val="00246A1E"/>
    <w:rsid w:val="00247785"/>
    <w:rsid w:val="00250A4F"/>
    <w:rsid w:val="00251367"/>
    <w:rsid w:val="00251B66"/>
    <w:rsid w:val="00251C22"/>
    <w:rsid w:val="00251D29"/>
    <w:rsid w:val="00253DBB"/>
    <w:rsid w:val="00253FB9"/>
    <w:rsid w:val="00254671"/>
    <w:rsid w:val="00254C19"/>
    <w:rsid w:val="00255CDB"/>
    <w:rsid w:val="00256CE7"/>
    <w:rsid w:val="0026104F"/>
    <w:rsid w:val="0026208E"/>
    <w:rsid w:val="00263479"/>
    <w:rsid w:val="002641D1"/>
    <w:rsid w:val="002642F6"/>
    <w:rsid w:val="00264CE3"/>
    <w:rsid w:val="0026519E"/>
    <w:rsid w:val="00265E3D"/>
    <w:rsid w:val="002667E3"/>
    <w:rsid w:val="0026714D"/>
    <w:rsid w:val="00267198"/>
    <w:rsid w:val="00270FB0"/>
    <w:rsid w:val="002714CB"/>
    <w:rsid w:val="0027331C"/>
    <w:rsid w:val="0027426C"/>
    <w:rsid w:val="0027449D"/>
    <w:rsid w:val="00276499"/>
    <w:rsid w:val="0028018C"/>
    <w:rsid w:val="002803F7"/>
    <w:rsid w:val="00281D61"/>
    <w:rsid w:val="00281DE9"/>
    <w:rsid w:val="0028226F"/>
    <w:rsid w:val="00283202"/>
    <w:rsid w:val="0028389D"/>
    <w:rsid w:val="002839F8"/>
    <w:rsid w:val="00284369"/>
    <w:rsid w:val="002844EC"/>
    <w:rsid w:val="002876EB"/>
    <w:rsid w:val="00287B75"/>
    <w:rsid w:val="00290FAA"/>
    <w:rsid w:val="002932E2"/>
    <w:rsid w:val="002950D6"/>
    <w:rsid w:val="0029529E"/>
    <w:rsid w:val="00295887"/>
    <w:rsid w:val="00295DCD"/>
    <w:rsid w:val="002978B9"/>
    <w:rsid w:val="00297916"/>
    <w:rsid w:val="002A09A4"/>
    <w:rsid w:val="002A2816"/>
    <w:rsid w:val="002A398F"/>
    <w:rsid w:val="002A39A3"/>
    <w:rsid w:val="002A48D2"/>
    <w:rsid w:val="002A4B66"/>
    <w:rsid w:val="002A6570"/>
    <w:rsid w:val="002B0463"/>
    <w:rsid w:val="002B05CF"/>
    <w:rsid w:val="002B258E"/>
    <w:rsid w:val="002B3E37"/>
    <w:rsid w:val="002B4950"/>
    <w:rsid w:val="002B4D2F"/>
    <w:rsid w:val="002B73AB"/>
    <w:rsid w:val="002C00FD"/>
    <w:rsid w:val="002C0710"/>
    <w:rsid w:val="002C0993"/>
    <w:rsid w:val="002C1C98"/>
    <w:rsid w:val="002C2B2E"/>
    <w:rsid w:val="002C303F"/>
    <w:rsid w:val="002C318B"/>
    <w:rsid w:val="002C377F"/>
    <w:rsid w:val="002C3977"/>
    <w:rsid w:val="002C4C2E"/>
    <w:rsid w:val="002C5822"/>
    <w:rsid w:val="002C63C9"/>
    <w:rsid w:val="002C641F"/>
    <w:rsid w:val="002D11EA"/>
    <w:rsid w:val="002D177B"/>
    <w:rsid w:val="002D1F8B"/>
    <w:rsid w:val="002D2D84"/>
    <w:rsid w:val="002D2EE2"/>
    <w:rsid w:val="002D2F74"/>
    <w:rsid w:val="002D351A"/>
    <w:rsid w:val="002D36B9"/>
    <w:rsid w:val="002D534E"/>
    <w:rsid w:val="002D53B4"/>
    <w:rsid w:val="002D53E4"/>
    <w:rsid w:val="002D553A"/>
    <w:rsid w:val="002D5FD2"/>
    <w:rsid w:val="002D7784"/>
    <w:rsid w:val="002E0549"/>
    <w:rsid w:val="002E0E22"/>
    <w:rsid w:val="002E1201"/>
    <w:rsid w:val="002E1361"/>
    <w:rsid w:val="002E1A0E"/>
    <w:rsid w:val="002E1C33"/>
    <w:rsid w:val="002E23D9"/>
    <w:rsid w:val="002E2649"/>
    <w:rsid w:val="002E2B98"/>
    <w:rsid w:val="002E3B9C"/>
    <w:rsid w:val="002E466A"/>
    <w:rsid w:val="002E53F9"/>
    <w:rsid w:val="002E5408"/>
    <w:rsid w:val="002E5BE6"/>
    <w:rsid w:val="002E5DC3"/>
    <w:rsid w:val="002E5FDC"/>
    <w:rsid w:val="002E6960"/>
    <w:rsid w:val="002E6FAA"/>
    <w:rsid w:val="002E7250"/>
    <w:rsid w:val="002F207D"/>
    <w:rsid w:val="002F3590"/>
    <w:rsid w:val="002F38F8"/>
    <w:rsid w:val="002F3B52"/>
    <w:rsid w:val="002F46BA"/>
    <w:rsid w:val="002F5462"/>
    <w:rsid w:val="002F5EE5"/>
    <w:rsid w:val="002F5FD4"/>
    <w:rsid w:val="002F6CD1"/>
    <w:rsid w:val="002F7487"/>
    <w:rsid w:val="0030083C"/>
    <w:rsid w:val="00301604"/>
    <w:rsid w:val="003016CD"/>
    <w:rsid w:val="00302493"/>
    <w:rsid w:val="00302C06"/>
    <w:rsid w:val="00302C75"/>
    <w:rsid w:val="00302FED"/>
    <w:rsid w:val="00304633"/>
    <w:rsid w:val="00304B5B"/>
    <w:rsid w:val="003070EF"/>
    <w:rsid w:val="003079E0"/>
    <w:rsid w:val="00307EF6"/>
    <w:rsid w:val="003105BD"/>
    <w:rsid w:val="003110BB"/>
    <w:rsid w:val="00311728"/>
    <w:rsid w:val="003127D3"/>
    <w:rsid w:val="00313F03"/>
    <w:rsid w:val="003169C9"/>
    <w:rsid w:val="00317B96"/>
    <w:rsid w:val="003211F9"/>
    <w:rsid w:val="00321B3D"/>
    <w:rsid w:val="00323478"/>
    <w:rsid w:val="00323693"/>
    <w:rsid w:val="003244D4"/>
    <w:rsid w:val="003245C1"/>
    <w:rsid w:val="00325E51"/>
    <w:rsid w:val="00326D3D"/>
    <w:rsid w:val="00326E24"/>
    <w:rsid w:val="003272D0"/>
    <w:rsid w:val="00327EE7"/>
    <w:rsid w:val="003307CF"/>
    <w:rsid w:val="0033116B"/>
    <w:rsid w:val="00331736"/>
    <w:rsid w:val="003322E0"/>
    <w:rsid w:val="0033359F"/>
    <w:rsid w:val="003339E1"/>
    <w:rsid w:val="003340CB"/>
    <w:rsid w:val="00335D49"/>
    <w:rsid w:val="00337CF6"/>
    <w:rsid w:val="00340270"/>
    <w:rsid w:val="003404BF"/>
    <w:rsid w:val="003405A7"/>
    <w:rsid w:val="003407D1"/>
    <w:rsid w:val="003417A3"/>
    <w:rsid w:val="00341D86"/>
    <w:rsid w:val="00342B73"/>
    <w:rsid w:val="00343E0E"/>
    <w:rsid w:val="00344344"/>
    <w:rsid w:val="003455CF"/>
    <w:rsid w:val="00345B45"/>
    <w:rsid w:val="003469A9"/>
    <w:rsid w:val="00346C6A"/>
    <w:rsid w:val="00347BC6"/>
    <w:rsid w:val="00351D44"/>
    <w:rsid w:val="003534EE"/>
    <w:rsid w:val="003537C1"/>
    <w:rsid w:val="003542B6"/>
    <w:rsid w:val="003551F6"/>
    <w:rsid w:val="00355C6B"/>
    <w:rsid w:val="003578C4"/>
    <w:rsid w:val="003606BC"/>
    <w:rsid w:val="00360E8F"/>
    <w:rsid w:val="0036125C"/>
    <w:rsid w:val="003617C8"/>
    <w:rsid w:val="00361BE5"/>
    <w:rsid w:val="00362599"/>
    <w:rsid w:val="00362A82"/>
    <w:rsid w:val="00363733"/>
    <w:rsid w:val="00363EC0"/>
    <w:rsid w:val="00364072"/>
    <w:rsid w:val="00364D4C"/>
    <w:rsid w:val="00364DE9"/>
    <w:rsid w:val="003668B0"/>
    <w:rsid w:val="00370095"/>
    <w:rsid w:val="00370706"/>
    <w:rsid w:val="003727FC"/>
    <w:rsid w:val="003731CC"/>
    <w:rsid w:val="003748E6"/>
    <w:rsid w:val="00374C90"/>
    <w:rsid w:val="00374CB7"/>
    <w:rsid w:val="00377F3F"/>
    <w:rsid w:val="00377F56"/>
    <w:rsid w:val="00381328"/>
    <w:rsid w:val="00381E81"/>
    <w:rsid w:val="00381EE6"/>
    <w:rsid w:val="00382EEF"/>
    <w:rsid w:val="003833E8"/>
    <w:rsid w:val="00384A5F"/>
    <w:rsid w:val="003851B3"/>
    <w:rsid w:val="0038544B"/>
    <w:rsid w:val="00387CFF"/>
    <w:rsid w:val="00390C99"/>
    <w:rsid w:val="00390FDE"/>
    <w:rsid w:val="0039105B"/>
    <w:rsid w:val="0039268C"/>
    <w:rsid w:val="0039278F"/>
    <w:rsid w:val="00393395"/>
    <w:rsid w:val="00393F8E"/>
    <w:rsid w:val="0039434F"/>
    <w:rsid w:val="003945A2"/>
    <w:rsid w:val="00394A2A"/>
    <w:rsid w:val="00395DCF"/>
    <w:rsid w:val="00396A34"/>
    <w:rsid w:val="00397477"/>
    <w:rsid w:val="00397972"/>
    <w:rsid w:val="003A0289"/>
    <w:rsid w:val="003A11B8"/>
    <w:rsid w:val="003A13C9"/>
    <w:rsid w:val="003A2D38"/>
    <w:rsid w:val="003A4942"/>
    <w:rsid w:val="003A4E69"/>
    <w:rsid w:val="003A51F6"/>
    <w:rsid w:val="003A564C"/>
    <w:rsid w:val="003A72E2"/>
    <w:rsid w:val="003A7FAC"/>
    <w:rsid w:val="003B035B"/>
    <w:rsid w:val="003B166B"/>
    <w:rsid w:val="003B1EFC"/>
    <w:rsid w:val="003B2831"/>
    <w:rsid w:val="003B3D8A"/>
    <w:rsid w:val="003B5103"/>
    <w:rsid w:val="003B5571"/>
    <w:rsid w:val="003B5B6A"/>
    <w:rsid w:val="003B67E5"/>
    <w:rsid w:val="003B748B"/>
    <w:rsid w:val="003B75A5"/>
    <w:rsid w:val="003C0526"/>
    <w:rsid w:val="003C07D1"/>
    <w:rsid w:val="003C09B9"/>
    <w:rsid w:val="003C0C7C"/>
    <w:rsid w:val="003C0E73"/>
    <w:rsid w:val="003C1B80"/>
    <w:rsid w:val="003C1EA1"/>
    <w:rsid w:val="003C2816"/>
    <w:rsid w:val="003C3DE8"/>
    <w:rsid w:val="003C4743"/>
    <w:rsid w:val="003C5ED1"/>
    <w:rsid w:val="003D059F"/>
    <w:rsid w:val="003D05A9"/>
    <w:rsid w:val="003D06F8"/>
    <w:rsid w:val="003D089B"/>
    <w:rsid w:val="003D1C55"/>
    <w:rsid w:val="003D2D8E"/>
    <w:rsid w:val="003D34F2"/>
    <w:rsid w:val="003D45A3"/>
    <w:rsid w:val="003D4979"/>
    <w:rsid w:val="003D56CC"/>
    <w:rsid w:val="003D7159"/>
    <w:rsid w:val="003D742A"/>
    <w:rsid w:val="003D768C"/>
    <w:rsid w:val="003E2732"/>
    <w:rsid w:val="003E2BF0"/>
    <w:rsid w:val="003E2C28"/>
    <w:rsid w:val="003E34B3"/>
    <w:rsid w:val="003E395F"/>
    <w:rsid w:val="003E3A93"/>
    <w:rsid w:val="003E3B54"/>
    <w:rsid w:val="003E44C4"/>
    <w:rsid w:val="003E655A"/>
    <w:rsid w:val="003F1292"/>
    <w:rsid w:val="003F190E"/>
    <w:rsid w:val="003F3B7E"/>
    <w:rsid w:val="003F40E0"/>
    <w:rsid w:val="003F48DD"/>
    <w:rsid w:val="003F4D2D"/>
    <w:rsid w:val="003F4DC2"/>
    <w:rsid w:val="003F5905"/>
    <w:rsid w:val="003F7321"/>
    <w:rsid w:val="003F7B71"/>
    <w:rsid w:val="00400FD2"/>
    <w:rsid w:val="004021B5"/>
    <w:rsid w:val="00403119"/>
    <w:rsid w:val="00403C10"/>
    <w:rsid w:val="00404E14"/>
    <w:rsid w:val="00407A0E"/>
    <w:rsid w:val="00411792"/>
    <w:rsid w:val="00411A60"/>
    <w:rsid w:val="00411D5A"/>
    <w:rsid w:val="004120C0"/>
    <w:rsid w:val="00412305"/>
    <w:rsid w:val="004147C4"/>
    <w:rsid w:val="004155D6"/>
    <w:rsid w:val="004158F4"/>
    <w:rsid w:val="00416AD6"/>
    <w:rsid w:val="0041786D"/>
    <w:rsid w:val="004206C3"/>
    <w:rsid w:val="0042072A"/>
    <w:rsid w:val="0042095D"/>
    <w:rsid w:val="004212B9"/>
    <w:rsid w:val="004225D1"/>
    <w:rsid w:val="00422C83"/>
    <w:rsid w:val="00423361"/>
    <w:rsid w:val="0042485F"/>
    <w:rsid w:val="00425631"/>
    <w:rsid w:val="00425B70"/>
    <w:rsid w:val="00425E89"/>
    <w:rsid w:val="004304EC"/>
    <w:rsid w:val="004308A8"/>
    <w:rsid w:val="00431AD5"/>
    <w:rsid w:val="00432DED"/>
    <w:rsid w:val="00432F44"/>
    <w:rsid w:val="00433727"/>
    <w:rsid w:val="0043479E"/>
    <w:rsid w:val="004351B5"/>
    <w:rsid w:val="00441337"/>
    <w:rsid w:val="00443EF7"/>
    <w:rsid w:val="004466FF"/>
    <w:rsid w:val="0044730D"/>
    <w:rsid w:val="004508AF"/>
    <w:rsid w:val="00452D04"/>
    <w:rsid w:val="00453113"/>
    <w:rsid w:val="00454684"/>
    <w:rsid w:val="004555DB"/>
    <w:rsid w:val="004556CD"/>
    <w:rsid w:val="00456178"/>
    <w:rsid w:val="00456225"/>
    <w:rsid w:val="004566A2"/>
    <w:rsid w:val="0046057D"/>
    <w:rsid w:val="00461B9D"/>
    <w:rsid w:val="00461F26"/>
    <w:rsid w:val="004628CF"/>
    <w:rsid w:val="00462C61"/>
    <w:rsid w:val="00464100"/>
    <w:rsid w:val="004646C7"/>
    <w:rsid w:val="00465A4E"/>
    <w:rsid w:val="00465AC0"/>
    <w:rsid w:val="00466FD5"/>
    <w:rsid w:val="004676A0"/>
    <w:rsid w:val="00470943"/>
    <w:rsid w:val="004719D8"/>
    <w:rsid w:val="00471D1C"/>
    <w:rsid w:val="004751C3"/>
    <w:rsid w:val="004763E9"/>
    <w:rsid w:val="004772D0"/>
    <w:rsid w:val="00477523"/>
    <w:rsid w:val="0048019C"/>
    <w:rsid w:val="00481D46"/>
    <w:rsid w:val="004824BE"/>
    <w:rsid w:val="0048406B"/>
    <w:rsid w:val="00484811"/>
    <w:rsid w:val="00484DEE"/>
    <w:rsid w:val="0048570A"/>
    <w:rsid w:val="00485C59"/>
    <w:rsid w:val="004861B4"/>
    <w:rsid w:val="004865A2"/>
    <w:rsid w:val="00487B59"/>
    <w:rsid w:val="00490070"/>
    <w:rsid w:val="004908E2"/>
    <w:rsid w:val="00491F2E"/>
    <w:rsid w:val="004921E4"/>
    <w:rsid w:val="00492608"/>
    <w:rsid w:val="004945AE"/>
    <w:rsid w:val="00494834"/>
    <w:rsid w:val="004950AA"/>
    <w:rsid w:val="00495F4A"/>
    <w:rsid w:val="0049671C"/>
    <w:rsid w:val="00496C01"/>
    <w:rsid w:val="004A0441"/>
    <w:rsid w:val="004A0D67"/>
    <w:rsid w:val="004A2B22"/>
    <w:rsid w:val="004A37D9"/>
    <w:rsid w:val="004A4092"/>
    <w:rsid w:val="004A4EB2"/>
    <w:rsid w:val="004A54C0"/>
    <w:rsid w:val="004A60A0"/>
    <w:rsid w:val="004B08F8"/>
    <w:rsid w:val="004B3806"/>
    <w:rsid w:val="004B4490"/>
    <w:rsid w:val="004B5154"/>
    <w:rsid w:val="004B5BB5"/>
    <w:rsid w:val="004B7C5A"/>
    <w:rsid w:val="004B7E6C"/>
    <w:rsid w:val="004B7EC2"/>
    <w:rsid w:val="004B7FC8"/>
    <w:rsid w:val="004C06C5"/>
    <w:rsid w:val="004C0A84"/>
    <w:rsid w:val="004C147B"/>
    <w:rsid w:val="004C26FA"/>
    <w:rsid w:val="004C2892"/>
    <w:rsid w:val="004C5082"/>
    <w:rsid w:val="004C604C"/>
    <w:rsid w:val="004C6325"/>
    <w:rsid w:val="004C6474"/>
    <w:rsid w:val="004C70C9"/>
    <w:rsid w:val="004C7159"/>
    <w:rsid w:val="004C71F7"/>
    <w:rsid w:val="004C7C8A"/>
    <w:rsid w:val="004D101D"/>
    <w:rsid w:val="004D236C"/>
    <w:rsid w:val="004D378B"/>
    <w:rsid w:val="004D5114"/>
    <w:rsid w:val="004D5230"/>
    <w:rsid w:val="004E0A8B"/>
    <w:rsid w:val="004E2152"/>
    <w:rsid w:val="004E24AC"/>
    <w:rsid w:val="004E2840"/>
    <w:rsid w:val="004E2A19"/>
    <w:rsid w:val="004E32A4"/>
    <w:rsid w:val="004E4373"/>
    <w:rsid w:val="004E4C5A"/>
    <w:rsid w:val="004E5D54"/>
    <w:rsid w:val="004E5EB1"/>
    <w:rsid w:val="004E6C04"/>
    <w:rsid w:val="004E73DF"/>
    <w:rsid w:val="004E7B96"/>
    <w:rsid w:val="004F058D"/>
    <w:rsid w:val="004F05E2"/>
    <w:rsid w:val="004F0FC7"/>
    <w:rsid w:val="004F168C"/>
    <w:rsid w:val="004F1D8D"/>
    <w:rsid w:val="004F2450"/>
    <w:rsid w:val="004F2C35"/>
    <w:rsid w:val="004F329F"/>
    <w:rsid w:val="004F3C21"/>
    <w:rsid w:val="004F432D"/>
    <w:rsid w:val="004F5102"/>
    <w:rsid w:val="004F5EFA"/>
    <w:rsid w:val="004F6180"/>
    <w:rsid w:val="004F6580"/>
    <w:rsid w:val="004F6EBB"/>
    <w:rsid w:val="004F768E"/>
    <w:rsid w:val="005001FC"/>
    <w:rsid w:val="00500C3B"/>
    <w:rsid w:val="00500D1D"/>
    <w:rsid w:val="00502F3F"/>
    <w:rsid w:val="005045DC"/>
    <w:rsid w:val="00505440"/>
    <w:rsid w:val="0050592E"/>
    <w:rsid w:val="00505C48"/>
    <w:rsid w:val="00505C50"/>
    <w:rsid w:val="00506028"/>
    <w:rsid w:val="00506A2D"/>
    <w:rsid w:val="005078EF"/>
    <w:rsid w:val="0051005B"/>
    <w:rsid w:val="00510F8F"/>
    <w:rsid w:val="0051191E"/>
    <w:rsid w:val="00511A7E"/>
    <w:rsid w:val="00512653"/>
    <w:rsid w:val="00513267"/>
    <w:rsid w:val="0051350C"/>
    <w:rsid w:val="0051405C"/>
    <w:rsid w:val="005140E2"/>
    <w:rsid w:val="00514FB2"/>
    <w:rsid w:val="00515F2D"/>
    <w:rsid w:val="005169ED"/>
    <w:rsid w:val="00516CF5"/>
    <w:rsid w:val="00517897"/>
    <w:rsid w:val="00517D60"/>
    <w:rsid w:val="005214A3"/>
    <w:rsid w:val="005216B8"/>
    <w:rsid w:val="00522BBC"/>
    <w:rsid w:val="0052367D"/>
    <w:rsid w:val="0052461E"/>
    <w:rsid w:val="00524B11"/>
    <w:rsid w:val="005253E8"/>
    <w:rsid w:val="00525F31"/>
    <w:rsid w:val="00526344"/>
    <w:rsid w:val="0052669A"/>
    <w:rsid w:val="005266DE"/>
    <w:rsid w:val="005268DB"/>
    <w:rsid w:val="00527261"/>
    <w:rsid w:val="00532221"/>
    <w:rsid w:val="00532E9B"/>
    <w:rsid w:val="0053306F"/>
    <w:rsid w:val="00533C7B"/>
    <w:rsid w:val="00534B31"/>
    <w:rsid w:val="00535DB5"/>
    <w:rsid w:val="00537B38"/>
    <w:rsid w:val="00541293"/>
    <w:rsid w:val="0054176B"/>
    <w:rsid w:val="00542453"/>
    <w:rsid w:val="00543D73"/>
    <w:rsid w:val="005447C1"/>
    <w:rsid w:val="00545203"/>
    <w:rsid w:val="00545EDE"/>
    <w:rsid w:val="00546B4F"/>
    <w:rsid w:val="0055142E"/>
    <w:rsid w:val="005520FE"/>
    <w:rsid w:val="005523C5"/>
    <w:rsid w:val="005528A4"/>
    <w:rsid w:val="005529CC"/>
    <w:rsid w:val="00554233"/>
    <w:rsid w:val="00554E1C"/>
    <w:rsid w:val="00555189"/>
    <w:rsid w:val="00555301"/>
    <w:rsid w:val="005567F5"/>
    <w:rsid w:val="00556F24"/>
    <w:rsid w:val="00560746"/>
    <w:rsid w:val="0056079F"/>
    <w:rsid w:val="00560CCF"/>
    <w:rsid w:val="00560E93"/>
    <w:rsid w:val="005617DF"/>
    <w:rsid w:val="00561CBE"/>
    <w:rsid w:val="00563B8C"/>
    <w:rsid w:val="00564445"/>
    <w:rsid w:val="00566FBA"/>
    <w:rsid w:val="005706C1"/>
    <w:rsid w:val="00570AA4"/>
    <w:rsid w:val="0057125F"/>
    <w:rsid w:val="00572318"/>
    <w:rsid w:val="00573110"/>
    <w:rsid w:val="00574207"/>
    <w:rsid w:val="005749CB"/>
    <w:rsid w:val="0057565A"/>
    <w:rsid w:val="00575AB2"/>
    <w:rsid w:val="00576F83"/>
    <w:rsid w:val="0057731C"/>
    <w:rsid w:val="00577A88"/>
    <w:rsid w:val="00577DCE"/>
    <w:rsid w:val="00580E4D"/>
    <w:rsid w:val="00581C56"/>
    <w:rsid w:val="005822CE"/>
    <w:rsid w:val="00582714"/>
    <w:rsid w:val="00582D47"/>
    <w:rsid w:val="0058368D"/>
    <w:rsid w:val="005852CE"/>
    <w:rsid w:val="005855DF"/>
    <w:rsid w:val="00585D58"/>
    <w:rsid w:val="00586059"/>
    <w:rsid w:val="0058784C"/>
    <w:rsid w:val="00590470"/>
    <w:rsid w:val="005906BA"/>
    <w:rsid w:val="00591268"/>
    <w:rsid w:val="005926DC"/>
    <w:rsid w:val="00592CBE"/>
    <w:rsid w:val="0059303C"/>
    <w:rsid w:val="005944ED"/>
    <w:rsid w:val="00594762"/>
    <w:rsid w:val="00595193"/>
    <w:rsid w:val="00596F98"/>
    <w:rsid w:val="005A0BD1"/>
    <w:rsid w:val="005A383E"/>
    <w:rsid w:val="005A4801"/>
    <w:rsid w:val="005A4FB7"/>
    <w:rsid w:val="005A6332"/>
    <w:rsid w:val="005A6969"/>
    <w:rsid w:val="005A6C81"/>
    <w:rsid w:val="005A7408"/>
    <w:rsid w:val="005A77E9"/>
    <w:rsid w:val="005A7918"/>
    <w:rsid w:val="005B1CCC"/>
    <w:rsid w:val="005B2501"/>
    <w:rsid w:val="005B3FAB"/>
    <w:rsid w:val="005B5142"/>
    <w:rsid w:val="005B5BA1"/>
    <w:rsid w:val="005B714A"/>
    <w:rsid w:val="005B7730"/>
    <w:rsid w:val="005C0338"/>
    <w:rsid w:val="005C0527"/>
    <w:rsid w:val="005C0F4B"/>
    <w:rsid w:val="005C148B"/>
    <w:rsid w:val="005C1893"/>
    <w:rsid w:val="005C1985"/>
    <w:rsid w:val="005C2A9A"/>
    <w:rsid w:val="005C2EF6"/>
    <w:rsid w:val="005C31C0"/>
    <w:rsid w:val="005C3750"/>
    <w:rsid w:val="005C3BFD"/>
    <w:rsid w:val="005C4390"/>
    <w:rsid w:val="005C4D83"/>
    <w:rsid w:val="005C7637"/>
    <w:rsid w:val="005C78ED"/>
    <w:rsid w:val="005C7C2D"/>
    <w:rsid w:val="005C7CD8"/>
    <w:rsid w:val="005D0ADE"/>
    <w:rsid w:val="005D1600"/>
    <w:rsid w:val="005D1B7A"/>
    <w:rsid w:val="005D1D03"/>
    <w:rsid w:val="005D250A"/>
    <w:rsid w:val="005D5B94"/>
    <w:rsid w:val="005D6DD6"/>
    <w:rsid w:val="005D7486"/>
    <w:rsid w:val="005E3972"/>
    <w:rsid w:val="005E3F5D"/>
    <w:rsid w:val="005E4335"/>
    <w:rsid w:val="005E43CE"/>
    <w:rsid w:val="005E451E"/>
    <w:rsid w:val="005E52CE"/>
    <w:rsid w:val="005E7DBF"/>
    <w:rsid w:val="005F0C8B"/>
    <w:rsid w:val="005F2430"/>
    <w:rsid w:val="005F2DB6"/>
    <w:rsid w:val="005F3EA7"/>
    <w:rsid w:val="005F4903"/>
    <w:rsid w:val="005F60EF"/>
    <w:rsid w:val="00600466"/>
    <w:rsid w:val="00601778"/>
    <w:rsid w:val="0060288F"/>
    <w:rsid w:val="00606EF5"/>
    <w:rsid w:val="00606F94"/>
    <w:rsid w:val="00610687"/>
    <w:rsid w:val="00611A12"/>
    <w:rsid w:val="006129DA"/>
    <w:rsid w:val="00613116"/>
    <w:rsid w:val="0061334A"/>
    <w:rsid w:val="00613600"/>
    <w:rsid w:val="00613C83"/>
    <w:rsid w:val="00616063"/>
    <w:rsid w:val="00616226"/>
    <w:rsid w:val="0061669A"/>
    <w:rsid w:val="00616D38"/>
    <w:rsid w:val="00617907"/>
    <w:rsid w:val="00621033"/>
    <w:rsid w:val="006227AA"/>
    <w:rsid w:val="0062287F"/>
    <w:rsid w:val="00622A51"/>
    <w:rsid w:val="006236A9"/>
    <w:rsid w:val="006245EA"/>
    <w:rsid w:val="006249B2"/>
    <w:rsid w:val="00624B75"/>
    <w:rsid w:val="00624B95"/>
    <w:rsid w:val="006264E7"/>
    <w:rsid w:val="00626955"/>
    <w:rsid w:val="00626C1B"/>
    <w:rsid w:val="00627020"/>
    <w:rsid w:val="00627D90"/>
    <w:rsid w:val="00634C99"/>
    <w:rsid w:val="00636906"/>
    <w:rsid w:val="00637644"/>
    <w:rsid w:val="00640D3B"/>
    <w:rsid w:val="006414FA"/>
    <w:rsid w:val="00642ECA"/>
    <w:rsid w:val="00643A33"/>
    <w:rsid w:val="006446B6"/>
    <w:rsid w:val="00644A71"/>
    <w:rsid w:val="00646025"/>
    <w:rsid w:val="00647359"/>
    <w:rsid w:val="00647F4B"/>
    <w:rsid w:val="00650631"/>
    <w:rsid w:val="00650A88"/>
    <w:rsid w:val="00650D14"/>
    <w:rsid w:val="00651534"/>
    <w:rsid w:val="006516A2"/>
    <w:rsid w:val="00651788"/>
    <w:rsid w:val="00652E70"/>
    <w:rsid w:val="00652F67"/>
    <w:rsid w:val="0065445E"/>
    <w:rsid w:val="00654A27"/>
    <w:rsid w:val="0065538F"/>
    <w:rsid w:val="00655C59"/>
    <w:rsid w:val="00655D42"/>
    <w:rsid w:val="006560A9"/>
    <w:rsid w:val="00660AFE"/>
    <w:rsid w:val="00661080"/>
    <w:rsid w:val="0066148F"/>
    <w:rsid w:val="00661B64"/>
    <w:rsid w:val="00662940"/>
    <w:rsid w:val="00663189"/>
    <w:rsid w:val="0066344B"/>
    <w:rsid w:val="006637FB"/>
    <w:rsid w:val="006650DC"/>
    <w:rsid w:val="00665A1D"/>
    <w:rsid w:val="00666C57"/>
    <w:rsid w:val="00667995"/>
    <w:rsid w:val="00670566"/>
    <w:rsid w:val="00671BC3"/>
    <w:rsid w:val="00672D0A"/>
    <w:rsid w:val="0067363B"/>
    <w:rsid w:val="00673694"/>
    <w:rsid w:val="00674843"/>
    <w:rsid w:val="00675743"/>
    <w:rsid w:val="00675FD7"/>
    <w:rsid w:val="006762AB"/>
    <w:rsid w:val="00676461"/>
    <w:rsid w:val="00683658"/>
    <w:rsid w:val="00684B84"/>
    <w:rsid w:val="00685AA5"/>
    <w:rsid w:val="00686D94"/>
    <w:rsid w:val="006873E5"/>
    <w:rsid w:val="00687446"/>
    <w:rsid w:val="00687595"/>
    <w:rsid w:val="00687E87"/>
    <w:rsid w:val="00687ECB"/>
    <w:rsid w:val="006900E5"/>
    <w:rsid w:val="0069394C"/>
    <w:rsid w:val="00694C39"/>
    <w:rsid w:val="00695055"/>
    <w:rsid w:val="006954C0"/>
    <w:rsid w:val="00695754"/>
    <w:rsid w:val="00695FF5"/>
    <w:rsid w:val="006962BE"/>
    <w:rsid w:val="0069694C"/>
    <w:rsid w:val="006A06B9"/>
    <w:rsid w:val="006A1D01"/>
    <w:rsid w:val="006A2360"/>
    <w:rsid w:val="006A450A"/>
    <w:rsid w:val="006A457C"/>
    <w:rsid w:val="006A4839"/>
    <w:rsid w:val="006A55AB"/>
    <w:rsid w:val="006A58DE"/>
    <w:rsid w:val="006A75BF"/>
    <w:rsid w:val="006B0C07"/>
    <w:rsid w:val="006B2E9C"/>
    <w:rsid w:val="006B385B"/>
    <w:rsid w:val="006B3B03"/>
    <w:rsid w:val="006B5874"/>
    <w:rsid w:val="006B5B4A"/>
    <w:rsid w:val="006B6682"/>
    <w:rsid w:val="006B7085"/>
    <w:rsid w:val="006B7087"/>
    <w:rsid w:val="006B7907"/>
    <w:rsid w:val="006C0490"/>
    <w:rsid w:val="006C0939"/>
    <w:rsid w:val="006C1C9C"/>
    <w:rsid w:val="006C2CA0"/>
    <w:rsid w:val="006C45F7"/>
    <w:rsid w:val="006C4E29"/>
    <w:rsid w:val="006C5C87"/>
    <w:rsid w:val="006C5E7C"/>
    <w:rsid w:val="006C5FB1"/>
    <w:rsid w:val="006C69FA"/>
    <w:rsid w:val="006C6BD9"/>
    <w:rsid w:val="006D04BA"/>
    <w:rsid w:val="006D0556"/>
    <w:rsid w:val="006D236F"/>
    <w:rsid w:val="006D56A2"/>
    <w:rsid w:val="006D6F3B"/>
    <w:rsid w:val="006E0BF6"/>
    <w:rsid w:val="006E0F70"/>
    <w:rsid w:val="006E1B7F"/>
    <w:rsid w:val="006E1DCB"/>
    <w:rsid w:val="006E3E3D"/>
    <w:rsid w:val="006E3E3E"/>
    <w:rsid w:val="006E41A4"/>
    <w:rsid w:val="006E4596"/>
    <w:rsid w:val="006E4CA3"/>
    <w:rsid w:val="006E57B2"/>
    <w:rsid w:val="006E584E"/>
    <w:rsid w:val="006E5BBC"/>
    <w:rsid w:val="006E6711"/>
    <w:rsid w:val="006E6F25"/>
    <w:rsid w:val="006E766F"/>
    <w:rsid w:val="006E789A"/>
    <w:rsid w:val="006F0D55"/>
    <w:rsid w:val="006F179D"/>
    <w:rsid w:val="006F1B5E"/>
    <w:rsid w:val="006F1C8B"/>
    <w:rsid w:val="006F3BAB"/>
    <w:rsid w:val="006F611B"/>
    <w:rsid w:val="006F7025"/>
    <w:rsid w:val="006F77A1"/>
    <w:rsid w:val="006F78EF"/>
    <w:rsid w:val="006F7CC8"/>
    <w:rsid w:val="006F7F3B"/>
    <w:rsid w:val="00700BFB"/>
    <w:rsid w:val="007016CD"/>
    <w:rsid w:val="007025BA"/>
    <w:rsid w:val="007036BC"/>
    <w:rsid w:val="00703730"/>
    <w:rsid w:val="0070432E"/>
    <w:rsid w:val="00704D5C"/>
    <w:rsid w:val="007056EA"/>
    <w:rsid w:val="0070625E"/>
    <w:rsid w:val="00706881"/>
    <w:rsid w:val="00706E86"/>
    <w:rsid w:val="007117B6"/>
    <w:rsid w:val="00711BD9"/>
    <w:rsid w:val="00711F19"/>
    <w:rsid w:val="0071224A"/>
    <w:rsid w:val="00712D5B"/>
    <w:rsid w:val="007144E3"/>
    <w:rsid w:val="007146DA"/>
    <w:rsid w:val="00714D72"/>
    <w:rsid w:val="007160EE"/>
    <w:rsid w:val="007177A2"/>
    <w:rsid w:val="00720B27"/>
    <w:rsid w:val="00720C76"/>
    <w:rsid w:val="00721EF2"/>
    <w:rsid w:val="00722C4E"/>
    <w:rsid w:val="007236D6"/>
    <w:rsid w:val="00723CE0"/>
    <w:rsid w:val="007253F8"/>
    <w:rsid w:val="0072555F"/>
    <w:rsid w:val="007257EE"/>
    <w:rsid w:val="00726199"/>
    <w:rsid w:val="00727B07"/>
    <w:rsid w:val="007314EC"/>
    <w:rsid w:val="007317BC"/>
    <w:rsid w:val="00732D9A"/>
    <w:rsid w:val="00733143"/>
    <w:rsid w:val="00733B32"/>
    <w:rsid w:val="007347C0"/>
    <w:rsid w:val="00735C75"/>
    <w:rsid w:val="00735E81"/>
    <w:rsid w:val="00736C96"/>
    <w:rsid w:val="00741079"/>
    <w:rsid w:val="00741DAC"/>
    <w:rsid w:val="007430E4"/>
    <w:rsid w:val="00744BBC"/>
    <w:rsid w:val="00746633"/>
    <w:rsid w:val="007474B5"/>
    <w:rsid w:val="0075017C"/>
    <w:rsid w:val="00750C6C"/>
    <w:rsid w:val="00750C91"/>
    <w:rsid w:val="00751079"/>
    <w:rsid w:val="00751D96"/>
    <w:rsid w:val="0075203E"/>
    <w:rsid w:val="00752401"/>
    <w:rsid w:val="00753774"/>
    <w:rsid w:val="00753778"/>
    <w:rsid w:val="0075559F"/>
    <w:rsid w:val="00755DDC"/>
    <w:rsid w:val="00756648"/>
    <w:rsid w:val="00760291"/>
    <w:rsid w:val="007618B7"/>
    <w:rsid w:val="0076197A"/>
    <w:rsid w:val="00762EF1"/>
    <w:rsid w:val="00763B00"/>
    <w:rsid w:val="00763FE7"/>
    <w:rsid w:val="0076465F"/>
    <w:rsid w:val="00765CEC"/>
    <w:rsid w:val="00766295"/>
    <w:rsid w:val="00767AD2"/>
    <w:rsid w:val="00770DBF"/>
    <w:rsid w:val="00772174"/>
    <w:rsid w:val="00772E25"/>
    <w:rsid w:val="00774A7C"/>
    <w:rsid w:val="00774B11"/>
    <w:rsid w:val="00775B77"/>
    <w:rsid w:val="00776C92"/>
    <w:rsid w:val="0077731D"/>
    <w:rsid w:val="00780AF1"/>
    <w:rsid w:val="007815B9"/>
    <w:rsid w:val="00781B29"/>
    <w:rsid w:val="007825A3"/>
    <w:rsid w:val="00782AC1"/>
    <w:rsid w:val="00782D06"/>
    <w:rsid w:val="0078565F"/>
    <w:rsid w:val="0078663C"/>
    <w:rsid w:val="00787740"/>
    <w:rsid w:val="007908E9"/>
    <w:rsid w:val="00792868"/>
    <w:rsid w:val="00792AF1"/>
    <w:rsid w:val="0079312D"/>
    <w:rsid w:val="007939C4"/>
    <w:rsid w:val="0079544F"/>
    <w:rsid w:val="0079693A"/>
    <w:rsid w:val="00796CB0"/>
    <w:rsid w:val="00796D36"/>
    <w:rsid w:val="00797A08"/>
    <w:rsid w:val="007A1C46"/>
    <w:rsid w:val="007A27B1"/>
    <w:rsid w:val="007A2BE9"/>
    <w:rsid w:val="007A2D87"/>
    <w:rsid w:val="007A3F97"/>
    <w:rsid w:val="007A44F3"/>
    <w:rsid w:val="007A4BB7"/>
    <w:rsid w:val="007A4DC9"/>
    <w:rsid w:val="007A5080"/>
    <w:rsid w:val="007A54EE"/>
    <w:rsid w:val="007A60FD"/>
    <w:rsid w:val="007B0F93"/>
    <w:rsid w:val="007B2913"/>
    <w:rsid w:val="007B2D21"/>
    <w:rsid w:val="007B3B9E"/>
    <w:rsid w:val="007B4526"/>
    <w:rsid w:val="007B5B7A"/>
    <w:rsid w:val="007B6A02"/>
    <w:rsid w:val="007B784B"/>
    <w:rsid w:val="007C1232"/>
    <w:rsid w:val="007C15A9"/>
    <w:rsid w:val="007C1989"/>
    <w:rsid w:val="007C3BF2"/>
    <w:rsid w:val="007C3E7A"/>
    <w:rsid w:val="007C4373"/>
    <w:rsid w:val="007C4FCF"/>
    <w:rsid w:val="007C6448"/>
    <w:rsid w:val="007C6628"/>
    <w:rsid w:val="007C6777"/>
    <w:rsid w:val="007C6DF4"/>
    <w:rsid w:val="007C6F01"/>
    <w:rsid w:val="007C74E5"/>
    <w:rsid w:val="007D0270"/>
    <w:rsid w:val="007D21E1"/>
    <w:rsid w:val="007D29B7"/>
    <w:rsid w:val="007D428C"/>
    <w:rsid w:val="007D686F"/>
    <w:rsid w:val="007D6C8C"/>
    <w:rsid w:val="007D73DD"/>
    <w:rsid w:val="007E0725"/>
    <w:rsid w:val="007E1220"/>
    <w:rsid w:val="007E1323"/>
    <w:rsid w:val="007E1D36"/>
    <w:rsid w:val="007E2D3D"/>
    <w:rsid w:val="007E3D6A"/>
    <w:rsid w:val="007E4930"/>
    <w:rsid w:val="007E4F9C"/>
    <w:rsid w:val="007E5AFF"/>
    <w:rsid w:val="007E6B98"/>
    <w:rsid w:val="007E797C"/>
    <w:rsid w:val="007F0055"/>
    <w:rsid w:val="007F0DE2"/>
    <w:rsid w:val="007F0E57"/>
    <w:rsid w:val="007F1CA7"/>
    <w:rsid w:val="007F22B5"/>
    <w:rsid w:val="007F3247"/>
    <w:rsid w:val="007F35E5"/>
    <w:rsid w:val="007F3CED"/>
    <w:rsid w:val="007F4FF2"/>
    <w:rsid w:val="007F51D6"/>
    <w:rsid w:val="007F58D6"/>
    <w:rsid w:val="007F5C6D"/>
    <w:rsid w:val="007F7144"/>
    <w:rsid w:val="007F766D"/>
    <w:rsid w:val="007F7B37"/>
    <w:rsid w:val="007F7C2A"/>
    <w:rsid w:val="00800277"/>
    <w:rsid w:val="00800564"/>
    <w:rsid w:val="00800754"/>
    <w:rsid w:val="00800C75"/>
    <w:rsid w:val="008020EE"/>
    <w:rsid w:val="00802C9E"/>
    <w:rsid w:val="00802EF3"/>
    <w:rsid w:val="00805805"/>
    <w:rsid w:val="0080597A"/>
    <w:rsid w:val="008065ED"/>
    <w:rsid w:val="00806948"/>
    <w:rsid w:val="00807548"/>
    <w:rsid w:val="00810AA3"/>
    <w:rsid w:val="008111E8"/>
    <w:rsid w:val="00812613"/>
    <w:rsid w:val="0081515A"/>
    <w:rsid w:val="008166F2"/>
    <w:rsid w:val="008169DF"/>
    <w:rsid w:val="00816D74"/>
    <w:rsid w:val="0082078C"/>
    <w:rsid w:val="008212E8"/>
    <w:rsid w:val="008219B1"/>
    <w:rsid w:val="00821BC0"/>
    <w:rsid w:val="0082218D"/>
    <w:rsid w:val="008239CD"/>
    <w:rsid w:val="00823EFF"/>
    <w:rsid w:val="00824432"/>
    <w:rsid w:val="00825407"/>
    <w:rsid w:val="00825775"/>
    <w:rsid w:val="008262B9"/>
    <w:rsid w:val="0082702A"/>
    <w:rsid w:val="0083034E"/>
    <w:rsid w:val="00830C8B"/>
    <w:rsid w:val="00832D28"/>
    <w:rsid w:val="008330E8"/>
    <w:rsid w:val="0083480D"/>
    <w:rsid w:val="008357D0"/>
    <w:rsid w:val="00836F5A"/>
    <w:rsid w:val="008407DA"/>
    <w:rsid w:val="00840DFA"/>
    <w:rsid w:val="00841D2E"/>
    <w:rsid w:val="0084259C"/>
    <w:rsid w:val="00842A2D"/>
    <w:rsid w:val="0084340F"/>
    <w:rsid w:val="00843B4A"/>
    <w:rsid w:val="00844C0D"/>
    <w:rsid w:val="00845BEC"/>
    <w:rsid w:val="008463ED"/>
    <w:rsid w:val="0084685C"/>
    <w:rsid w:val="008468A8"/>
    <w:rsid w:val="00846A44"/>
    <w:rsid w:val="00846B97"/>
    <w:rsid w:val="00846E3A"/>
    <w:rsid w:val="00847629"/>
    <w:rsid w:val="00847859"/>
    <w:rsid w:val="00847A94"/>
    <w:rsid w:val="00847F68"/>
    <w:rsid w:val="00851C0F"/>
    <w:rsid w:val="008521CD"/>
    <w:rsid w:val="00855F0D"/>
    <w:rsid w:val="00856621"/>
    <w:rsid w:val="008568EF"/>
    <w:rsid w:val="00857675"/>
    <w:rsid w:val="00857A66"/>
    <w:rsid w:val="00857B6B"/>
    <w:rsid w:val="00857E66"/>
    <w:rsid w:val="0086002D"/>
    <w:rsid w:val="00861F94"/>
    <w:rsid w:val="008627E8"/>
    <w:rsid w:val="00863D54"/>
    <w:rsid w:val="00863E7D"/>
    <w:rsid w:val="0086559F"/>
    <w:rsid w:val="008659B7"/>
    <w:rsid w:val="008666B4"/>
    <w:rsid w:val="0086761C"/>
    <w:rsid w:val="008679A0"/>
    <w:rsid w:val="00867C55"/>
    <w:rsid w:val="00871B09"/>
    <w:rsid w:val="0087205F"/>
    <w:rsid w:val="008731AD"/>
    <w:rsid w:val="0087368E"/>
    <w:rsid w:val="00874742"/>
    <w:rsid w:val="00874B94"/>
    <w:rsid w:val="00874E7F"/>
    <w:rsid w:val="0087655D"/>
    <w:rsid w:val="0087694B"/>
    <w:rsid w:val="00876B28"/>
    <w:rsid w:val="0087792C"/>
    <w:rsid w:val="00880A87"/>
    <w:rsid w:val="0088109E"/>
    <w:rsid w:val="00881E1F"/>
    <w:rsid w:val="00881EE2"/>
    <w:rsid w:val="00882BFF"/>
    <w:rsid w:val="00882D79"/>
    <w:rsid w:val="00882F12"/>
    <w:rsid w:val="00883215"/>
    <w:rsid w:val="00883B57"/>
    <w:rsid w:val="0088489D"/>
    <w:rsid w:val="008857FF"/>
    <w:rsid w:val="00886B73"/>
    <w:rsid w:val="00887131"/>
    <w:rsid w:val="0088737A"/>
    <w:rsid w:val="00890807"/>
    <w:rsid w:val="00890B9B"/>
    <w:rsid w:val="0089141F"/>
    <w:rsid w:val="00891468"/>
    <w:rsid w:val="00891EA2"/>
    <w:rsid w:val="00893604"/>
    <w:rsid w:val="008958E8"/>
    <w:rsid w:val="0089775D"/>
    <w:rsid w:val="008979BF"/>
    <w:rsid w:val="00897D29"/>
    <w:rsid w:val="008A0242"/>
    <w:rsid w:val="008A123D"/>
    <w:rsid w:val="008A13A6"/>
    <w:rsid w:val="008A2F19"/>
    <w:rsid w:val="008A3734"/>
    <w:rsid w:val="008A39E4"/>
    <w:rsid w:val="008A4067"/>
    <w:rsid w:val="008A57BC"/>
    <w:rsid w:val="008A595D"/>
    <w:rsid w:val="008A5F14"/>
    <w:rsid w:val="008A617B"/>
    <w:rsid w:val="008A6289"/>
    <w:rsid w:val="008A7021"/>
    <w:rsid w:val="008B0BF0"/>
    <w:rsid w:val="008B108D"/>
    <w:rsid w:val="008B347C"/>
    <w:rsid w:val="008B4208"/>
    <w:rsid w:val="008B577A"/>
    <w:rsid w:val="008B6637"/>
    <w:rsid w:val="008B719D"/>
    <w:rsid w:val="008B7A0D"/>
    <w:rsid w:val="008B7A6D"/>
    <w:rsid w:val="008C08F0"/>
    <w:rsid w:val="008C35BF"/>
    <w:rsid w:val="008C4889"/>
    <w:rsid w:val="008C4F4B"/>
    <w:rsid w:val="008C6195"/>
    <w:rsid w:val="008C7734"/>
    <w:rsid w:val="008D0862"/>
    <w:rsid w:val="008D0A33"/>
    <w:rsid w:val="008D14EF"/>
    <w:rsid w:val="008D1C1D"/>
    <w:rsid w:val="008D254E"/>
    <w:rsid w:val="008D2907"/>
    <w:rsid w:val="008D3435"/>
    <w:rsid w:val="008D4FFF"/>
    <w:rsid w:val="008D5931"/>
    <w:rsid w:val="008D77CA"/>
    <w:rsid w:val="008E1F90"/>
    <w:rsid w:val="008E2B73"/>
    <w:rsid w:val="008E2D0D"/>
    <w:rsid w:val="008E39A3"/>
    <w:rsid w:val="008E491E"/>
    <w:rsid w:val="008E527A"/>
    <w:rsid w:val="008E5816"/>
    <w:rsid w:val="008E6BA2"/>
    <w:rsid w:val="008E6E1C"/>
    <w:rsid w:val="008F1BD4"/>
    <w:rsid w:val="008F25C3"/>
    <w:rsid w:val="008F2735"/>
    <w:rsid w:val="008F3C26"/>
    <w:rsid w:val="008F425C"/>
    <w:rsid w:val="008F557A"/>
    <w:rsid w:val="009011E6"/>
    <w:rsid w:val="00901244"/>
    <w:rsid w:val="00901402"/>
    <w:rsid w:val="009021C7"/>
    <w:rsid w:val="00902923"/>
    <w:rsid w:val="00904178"/>
    <w:rsid w:val="00904EFA"/>
    <w:rsid w:val="009060AB"/>
    <w:rsid w:val="0090649B"/>
    <w:rsid w:val="00906EC5"/>
    <w:rsid w:val="00906FE8"/>
    <w:rsid w:val="00907434"/>
    <w:rsid w:val="009076E3"/>
    <w:rsid w:val="00910886"/>
    <w:rsid w:val="009113A2"/>
    <w:rsid w:val="00913403"/>
    <w:rsid w:val="009137F7"/>
    <w:rsid w:val="0091383B"/>
    <w:rsid w:val="0091706D"/>
    <w:rsid w:val="00920C7B"/>
    <w:rsid w:val="009222B2"/>
    <w:rsid w:val="0092268D"/>
    <w:rsid w:val="009226FB"/>
    <w:rsid w:val="00922B67"/>
    <w:rsid w:val="009230F7"/>
    <w:rsid w:val="00923943"/>
    <w:rsid w:val="0092551C"/>
    <w:rsid w:val="0092710E"/>
    <w:rsid w:val="00927760"/>
    <w:rsid w:val="00927C11"/>
    <w:rsid w:val="00930634"/>
    <w:rsid w:val="00931D8B"/>
    <w:rsid w:val="00932612"/>
    <w:rsid w:val="009331CF"/>
    <w:rsid w:val="0093341A"/>
    <w:rsid w:val="00933E5A"/>
    <w:rsid w:val="009347AD"/>
    <w:rsid w:val="00934817"/>
    <w:rsid w:val="00934C0D"/>
    <w:rsid w:val="00934D73"/>
    <w:rsid w:val="00934E1C"/>
    <w:rsid w:val="009357FE"/>
    <w:rsid w:val="00937828"/>
    <w:rsid w:val="00940247"/>
    <w:rsid w:val="00943780"/>
    <w:rsid w:val="00943FD1"/>
    <w:rsid w:val="00944A77"/>
    <w:rsid w:val="009456AF"/>
    <w:rsid w:val="009464F5"/>
    <w:rsid w:val="009465EB"/>
    <w:rsid w:val="0094663D"/>
    <w:rsid w:val="009471F7"/>
    <w:rsid w:val="00951ADB"/>
    <w:rsid w:val="00953781"/>
    <w:rsid w:val="009544A9"/>
    <w:rsid w:val="009546D1"/>
    <w:rsid w:val="00955621"/>
    <w:rsid w:val="00957658"/>
    <w:rsid w:val="00957D10"/>
    <w:rsid w:val="00962658"/>
    <w:rsid w:val="009629A2"/>
    <w:rsid w:val="00964604"/>
    <w:rsid w:val="009672F1"/>
    <w:rsid w:val="0097080F"/>
    <w:rsid w:val="00970C42"/>
    <w:rsid w:val="00971660"/>
    <w:rsid w:val="00972A7A"/>
    <w:rsid w:val="009755AD"/>
    <w:rsid w:val="00975A0D"/>
    <w:rsid w:val="00976B9E"/>
    <w:rsid w:val="00980698"/>
    <w:rsid w:val="00980992"/>
    <w:rsid w:val="00981B98"/>
    <w:rsid w:val="0098201B"/>
    <w:rsid w:val="00982F56"/>
    <w:rsid w:val="009830B4"/>
    <w:rsid w:val="00983FD2"/>
    <w:rsid w:val="00984A20"/>
    <w:rsid w:val="00984A3A"/>
    <w:rsid w:val="0098608F"/>
    <w:rsid w:val="0098749D"/>
    <w:rsid w:val="00987C51"/>
    <w:rsid w:val="00990F7B"/>
    <w:rsid w:val="00990F95"/>
    <w:rsid w:val="00992154"/>
    <w:rsid w:val="00992B2F"/>
    <w:rsid w:val="00993B4E"/>
    <w:rsid w:val="00993F74"/>
    <w:rsid w:val="00994916"/>
    <w:rsid w:val="00994CDE"/>
    <w:rsid w:val="009969AD"/>
    <w:rsid w:val="00997073"/>
    <w:rsid w:val="00997D1D"/>
    <w:rsid w:val="00997E4E"/>
    <w:rsid w:val="009A1AD9"/>
    <w:rsid w:val="009A2F4A"/>
    <w:rsid w:val="009A30B1"/>
    <w:rsid w:val="009A349F"/>
    <w:rsid w:val="009A420E"/>
    <w:rsid w:val="009A4481"/>
    <w:rsid w:val="009A4D6E"/>
    <w:rsid w:val="009A4E46"/>
    <w:rsid w:val="009A549A"/>
    <w:rsid w:val="009A5CFE"/>
    <w:rsid w:val="009A63D9"/>
    <w:rsid w:val="009A7171"/>
    <w:rsid w:val="009A76D2"/>
    <w:rsid w:val="009B106D"/>
    <w:rsid w:val="009B1812"/>
    <w:rsid w:val="009B1CA4"/>
    <w:rsid w:val="009B2463"/>
    <w:rsid w:val="009B2CE4"/>
    <w:rsid w:val="009B3B51"/>
    <w:rsid w:val="009B7832"/>
    <w:rsid w:val="009B79AA"/>
    <w:rsid w:val="009C2F19"/>
    <w:rsid w:val="009C3853"/>
    <w:rsid w:val="009C446C"/>
    <w:rsid w:val="009C47C0"/>
    <w:rsid w:val="009C4B6A"/>
    <w:rsid w:val="009C546B"/>
    <w:rsid w:val="009C5E60"/>
    <w:rsid w:val="009C5F49"/>
    <w:rsid w:val="009C7546"/>
    <w:rsid w:val="009C7C94"/>
    <w:rsid w:val="009D07FF"/>
    <w:rsid w:val="009D0CE5"/>
    <w:rsid w:val="009D0D39"/>
    <w:rsid w:val="009D1098"/>
    <w:rsid w:val="009D2B09"/>
    <w:rsid w:val="009D3538"/>
    <w:rsid w:val="009D3AE8"/>
    <w:rsid w:val="009D5E7F"/>
    <w:rsid w:val="009D6590"/>
    <w:rsid w:val="009D6EC0"/>
    <w:rsid w:val="009D7218"/>
    <w:rsid w:val="009D7879"/>
    <w:rsid w:val="009E0E34"/>
    <w:rsid w:val="009E1B31"/>
    <w:rsid w:val="009E1B3B"/>
    <w:rsid w:val="009E2B63"/>
    <w:rsid w:val="009E3206"/>
    <w:rsid w:val="009E5ADF"/>
    <w:rsid w:val="009E64D1"/>
    <w:rsid w:val="009E7E7E"/>
    <w:rsid w:val="009F033C"/>
    <w:rsid w:val="009F17D3"/>
    <w:rsid w:val="009F1DA1"/>
    <w:rsid w:val="009F2838"/>
    <w:rsid w:val="009F2D96"/>
    <w:rsid w:val="009F2DED"/>
    <w:rsid w:val="009F6138"/>
    <w:rsid w:val="009F677C"/>
    <w:rsid w:val="009F76C0"/>
    <w:rsid w:val="00A00E22"/>
    <w:rsid w:val="00A03009"/>
    <w:rsid w:val="00A03175"/>
    <w:rsid w:val="00A0339C"/>
    <w:rsid w:val="00A04A02"/>
    <w:rsid w:val="00A0556D"/>
    <w:rsid w:val="00A059FB"/>
    <w:rsid w:val="00A06211"/>
    <w:rsid w:val="00A06EFA"/>
    <w:rsid w:val="00A070A4"/>
    <w:rsid w:val="00A07996"/>
    <w:rsid w:val="00A1072F"/>
    <w:rsid w:val="00A128AC"/>
    <w:rsid w:val="00A12A29"/>
    <w:rsid w:val="00A12DB8"/>
    <w:rsid w:val="00A1417F"/>
    <w:rsid w:val="00A14FBC"/>
    <w:rsid w:val="00A15870"/>
    <w:rsid w:val="00A166E6"/>
    <w:rsid w:val="00A16B36"/>
    <w:rsid w:val="00A21490"/>
    <w:rsid w:val="00A223BF"/>
    <w:rsid w:val="00A23BB5"/>
    <w:rsid w:val="00A23D7E"/>
    <w:rsid w:val="00A24DC3"/>
    <w:rsid w:val="00A2544B"/>
    <w:rsid w:val="00A27BAD"/>
    <w:rsid w:val="00A27C3D"/>
    <w:rsid w:val="00A3024F"/>
    <w:rsid w:val="00A30697"/>
    <w:rsid w:val="00A309AC"/>
    <w:rsid w:val="00A310A3"/>
    <w:rsid w:val="00A31BF0"/>
    <w:rsid w:val="00A32089"/>
    <w:rsid w:val="00A33CF1"/>
    <w:rsid w:val="00A34AAD"/>
    <w:rsid w:val="00A35D56"/>
    <w:rsid w:val="00A37CF4"/>
    <w:rsid w:val="00A417E3"/>
    <w:rsid w:val="00A41DAF"/>
    <w:rsid w:val="00A4208C"/>
    <w:rsid w:val="00A42404"/>
    <w:rsid w:val="00A42669"/>
    <w:rsid w:val="00A42DB6"/>
    <w:rsid w:val="00A4337F"/>
    <w:rsid w:val="00A436C9"/>
    <w:rsid w:val="00A43AA9"/>
    <w:rsid w:val="00A43F68"/>
    <w:rsid w:val="00A45294"/>
    <w:rsid w:val="00A46989"/>
    <w:rsid w:val="00A47350"/>
    <w:rsid w:val="00A5186C"/>
    <w:rsid w:val="00A51A87"/>
    <w:rsid w:val="00A51C6B"/>
    <w:rsid w:val="00A51CAF"/>
    <w:rsid w:val="00A51F43"/>
    <w:rsid w:val="00A52480"/>
    <w:rsid w:val="00A52EDA"/>
    <w:rsid w:val="00A53A16"/>
    <w:rsid w:val="00A55EAB"/>
    <w:rsid w:val="00A56AB9"/>
    <w:rsid w:val="00A600EA"/>
    <w:rsid w:val="00A6138A"/>
    <w:rsid w:val="00A61416"/>
    <w:rsid w:val="00A61BF7"/>
    <w:rsid w:val="00A649FA"/>
    <w:rsid w:val="00A64BBB"/>
    <w:rsid w:val="00A64F64"/>
    <w:rsid w:val="00A64F7C"/>
    <w:rsid w:val="00A65998"/>
    <w:rsid w:val="00A67312"/>
    <w:rsid w:val="00A70152"/>
    <w:rsid w:val="00A71CD5"/>
    <w:rsid w:val="00A725C1"/>
    <w:rsid w:val="00A7264B"/>
    <w:rsid w:val="00A73508"/>
    <w:rsid w:val="00A75CEC"/>
    <w:rsid w:val="00A76B6D"/>
    <w:rsid w:val="00A77272"/>
    <w:rsid w:val="00A77C50"/>
    <w:rsid w:val="00A80E06"/>
    <w:rsid w:val="00A80F8C"/>
    <w:rsid w:val="00A81688"/>
    <w:rsid w:val="00A81F67"/>
    <w:rsid w:val="00A83B38"/>
    <w:rsid w:val="00A85495"/>
    <w:rsid w:val="00A859AF"/>
    <w:rsid w:val="00A86DE3"/>
    <w:rsid w:val="00A86FA3"/>
    <w:rsid w:val="00A9029A"/>
    <w:rsid w:val="00A90596"/>
    <w:rsid w:val="00A92B65"/>
    <w:rsid w:val="00A92D8C"/>
    <w:rsid w:val="00A92F1B"/>
    <w:rsid w:val="00A93A1E"/>
    <w:rsid w:val="00A94F55"/>
    <w:rsid w:val="00A95573"/>
    <w:rsid w:val="00A95DEE"/>
    <w:rsid w:val="00A9680F"/>
    <w:rsid w:val="00A96BD9"/>
    <w:rsid w:val="00A9724B"/>
    <w:rsid w:val="00A97419"/>
    <w:rsid w:val="00A97ED3"/>
    <w:rsid w:val="00AA0B2B"/>
    <w:rsid w:val="00AA1774"/>
    <w:rsid w:val="00AA1F60"/>
    <w:rsid w:val="00AA208C"/>
    <w:rsid w:val="00AA2462"/>
    <w:rsid w:val="00AA24A7"/>
    <w:rsid w:val="00AA25E7"/>
    <w:rsid w:val="00AA2EFF"/>
    <w:rsid w:val="00AA3F28"/>
    <w:rsid w:val="00AA4DF7"/>
    <w:rsid w:val="00AA51CC"/>
    <w:rsid w:val="00AA63B0"/>
    <w:rsid w:val="00AA661F"/>
    <w:rsid w:val="00AA6C33"/>
    <w:rsid w:val="00AA6F56"/>
    <w:rsid w:val="00AA7603"/>
    <w:rsid w:val="00AB00B2"/>
    <w:rsid w:val="00AB0928"/>
    <w:rsid w:val="00AB127D"/>
    <w:rsid w:val="00AB2458"/>
    <w:rsid w:val="00AB34E2"/>
    <w:rsid w:val="00AB3DAE"/>
    <w:rsid w:val="00AB42E0"/>
    <w:rsid w:val="00AB4BB3"/>
    <w:rsid w:val="00AB5748"/>
    <w:rsid w:val="00AB63A4"/>
    <w:rsid w:val="00AB6E6E"/>
    <w:rsid w:val="00AB7C3D"/>
    <w:rsid w:val="00AC0C60"/>
    <w:rsid w:val="00AC166E"/>
    <w:rsid w:val="00AC225F"/>
    <w:rsid w:val="00AC2470"/>
    <w:rsid w:val="00AC457D"/>
    <w:rsid w:val="00AC46D2"/>
    <w:rsid w:val="00AC51BF"/>
    <w:rsid w:val="00AC5278"/>
    <w:rsid w:val="00AC5D0E"/>
    <w:rsid w:val="00AC7D3E"/>
    <w:rsid w:val="00AD0931"/>
    <w:rsid w:val="00AD17BA"/>
    <w:rsid w:val="00AD2286"/>
    <w:rsid w:val="00AD5D81"/>
    <w:rsid w:val="00AD5F74"/>
    <w:rsid w:val="00AD7F40"/>
    <w:rsid w:val="00AE0B06"/>
    <w:rsid w:val="00AE3B1C"/>
    <w:rsid w:val="00AE406B"/>
    <w:rsid w:val="00AE4C2A"/>
    <w:rsid w:val="00AE5706"/>
    <w:rsid w:val="00AE5B44"/>
    <w:rsid w:val="00AE61C3"/>
    <w:rsid w:val="00AE6F73"/>
    <w:rsid w:val="00AE712B"/>
    <w:rsid w:val="00AE71B9"/>
    <w:rsid w:val="00AE73C2"/>
    <w:rsid w:val="00AE7F31"/>
    <w:rsid w:val="00AF0CF8"/>
    <w:rsid w:val="00AF26BD"/>
    <w:rsid w:val="00AF2738"/>
    <w:rsid w:val="00AF46A5"/>
    <w:rsid w:val="00AF5568"/>
    <w:rsid w:val="00AF57FB"/>
    <w:rsid w:val="00AF5C50"/>
    <w:rsid w:val="00B00F02"/>
    <w:rsid w:val="00B00F36"/>
    <w:rsid w:val="00B01D1D"/>
    <w:rsid w:val="00B01D70"/>
    <w:rsid w:val="00B02081"/>
    <w:rsid w:val="00B02970"/>
    <w:rsid w:val="00B02B78"/>
    <w:rsid w:val="00B06024"/>
    <w:rsid w:val="00B07CA4"/>
    <w:rsid w:val="00B137AA"/>
    <w:rsid w:val="00B13B25"/>
    <w:rsid w:val="00B13C1F"/>
    <w:rsid w:val="00B149C3"/>
    <w:rsid w:val="00B14FD9"/>
    <w:rsid w:val="00B157DF"/>
    <w:rsid w:val="00B15C7E"/>
    <w:rsid w:val="00B16DB9"/>
    <w:rsid w:val="00B17497"/>
    <w:rsid w:val="00B20F1A"/>
    <w:rsid w:val="00B21AF8"/>
    <w:rsid w:val="00B225A9"/>
    <w:rsid w:val="00B22FF5"/>
    <w:rsid w:val="00B231CC"/>
    <w:rsid w:val="00B237E6"/>
    <w:rsid w:val="00B2738E"/>
    <w:rsid w:val="00B274F5"/>
    <w:rsid w:val="00B3011A"/>
    <w:rsid w:val="00B30811"/>
    <w:rsid w:val="00B30D00"/>
    <w:rsid w:val="00B30F83"/>
    <w:rsid w:val="00B32203"/>
    <w:rsid w:val="00B324ED"/>
    <w:rsid w:val="00B32C31"/>
    <w:rsid w:val="00B333E3"/>
    <w:rsid w:val="00B33ABF"/>
    <w:rsid w:val="00B3513A"/>
    <w:rsid w:val="00B35885"/>
    <w:rsid w:val="00B36404"/>
    <w:rsid w:val="00B364D1"/>
    <w:rsid w:val="00B376E1"/>
    <w:rsid w:val="00B3792D"/>
    <w:rsid w:val="00B40E79"/>
    <w:rsid w:val="00B41490"/>
    <w:rsid w:val="00B41B30"/>
    <w:rsid w:val="00B41C3C"/>
    <w:rsid w:val="00B41E5A"/>
    <w:rsid w:val="00B43269"/>
    <w:rsid w:val="00B4347C"/>
    <w:rsid w:val="00B436E5"/>
    <w:rsid w:val="00B446DB"/>
    <w:rsid w:val="00B453C8"/>
    <w:rsid w:val="00B46191"/>
    <w:rsid w:val="00B47762"/>
    <w:rsid w:val="00B52D8F"/>
    <w:rsid w:val="00B56052"/>
    <w:rsid w:val="00B6009F"/>
    <w:rsid w:val="00B61D01"/>
    <w:rsid w:val="00B62DB3"/>
    <w:rsid w:val="00B6477D"/>
    <w:rsid w:val="00B658A7"/>
    <w:rsid w:val="00B65FF2"/>
    <w:rsid w:val="00B67660"/>
    <w:rsid w:val="00B679CE"/>
    <w:rsid w:val="00B70092"/>
    <w:rsid w:val="00B700D8"/>
    <w:rsid w:val="00B703C3"/>
    <w:rsid w:val="00B70E4A"/>
    <w:rsid w:val="00B71203"/>
    <w:rsid w:val="00B72228"/>
    <w:rsid w:val="00B73AF0"/>
    <w:rsid w:val="00B73D0D"/>
    <w:rsid w:val="00B7424B"/>
    <w:rsid w:val="00B74606"/>
    <w:rsid w:val="00B754FE"/>
    <w:rsid w:val="00B77FAA"/>
    <w:rsid w:val="00B81292"/>
    <w:rsid w:val="00B826AB"/>
    <w:rsid w:val="00B83096"/>
    <w:rsid w:val="00B837CE"/>
    <w:rsid w:val="00B83F19"/>
    <w:rsid w:val="00B8450C"/>
    <w:rsid w:val="00B850AD"/>
    <w:rsid w:val="00B87CC8"/>
    <w:rsid w:val="00B87F1D"/>
    <w:rsid w:val="00B9049F"/>
    <w:rsid w:val="00B91B67"/>
    <w:rsid w:val="00B9218E"/>
    <w:rsid w:val="00B95476"/>
    <w:rsid w:val="00B961A8"/>
    <w:rsid w:val="00B97216"/>
    <w:rsid w:val="00B97CF3"/>
    <w:rsid w:val="00BA01CD"/>
    <w:rsid w:val="00BA0FC5"/>
    <w:rsid w:val="00BA1517"/>
    <w:rsid w:val="00BA1B2A"/>
    <w:rsid w:val="00BA1FFB"/>
    <w:rsid w:val="00BA25C8"/>
    <w:rsid w:val="00BA2C95"/>
    <w:rsid w:val="00BA36EF"/>
    <w:rsid w:val="00BA4AB3"/>
    <w:rsid w:val="00BA669E"/>
    <w:rsid w:val="00BB086F"/>
    <w:rsid w:val="00BB31F9"/>
    <w:rsid w:val="00BB32D0"/>
    <w:rsid w:val="00BB3A3D"/>
    <w:rsid w:val="00BB3B37"/>
    <w:rsid w:val="00BB47ED"/>
    <w:rsid w:val="00BB48BB"/>
    <w:rsid w:val="00BC0937"/>
    <w:rsid w:val="00BC1694"/>
    <w:rsid w:val="00BC1904"/>
    <w:rsid w:val="00BC2134"/>
    <w:rsid w:val="00BC2F15"/>
    <w:rsid w:val="00BC332F"/>
    <w:rsid w:val="00BC34E4"/>
    <w:rsid w:val="00BC3D82"/>
    <w:rsid w:val="00BC50DF"/>
    <w:rsid w:val="00BC59AD"/>
    <w:rsid w:val="00BC5AB2"/>
    <w:rsid w:val="00BC6003"/>
    <w:rsid w:val="00BC6300"/>
    <w:rsid w:val="00BC6B76"/>
    <w:rsid w:val="00BD108A"/>
    <w:rsid w:val="00BD4A07"/>
    <w:rsid w:val="00BD5408"/>
    <w:rsid w:val="00BD597E"/>
    <w:rsid w:val="00BD695F"/>
    <w:rsid w:val="00BE0A0C"/>
    <w:rsid w:val="00BE1531"/>
    <w:rsid w:val="00BE2C26"/>
    <w:rsid w:val="00BE3173"/>
    <w:rsid w:val="00BE4C3D"/>
    <w:rsid w:val="00BE597F"/>
    <w:rsid w:val="00BE6733"/>
    <w:rsid w:val="00BE774A"/>
    <w:rsid w:val="00BE7C89"/>
    <w:rsid w:val="00BF04F7"/>
    <w:rsid w:val="00BF0641"/>
    <w:rsid w:val="00BF27B8"/>
    <w:rsid w:val="00BF299B"/>
    <w:rsid w:val="00BF37A8"/>
    <w:rsid w:val="00BF3EE1"/>
    <w:rsid w:val="00BF4BBA"/>
    <w:rsid w:val="00BF54F2"/>
    <w:rsid w:val="00BF6947"/>
    <w:rsid w:val="00BF7F36"/>
    <w:rsid w:val="00C00214"/>
    <w:rsid w:val="00C00ABA"/>
    <w:rsid w:val="00C00D52"/>
    <w:rsid w:val="00C01FBA"/>
    <w:rsid w:val="00C02B69"/>
    <w:rsid w:val="00C034E4"/>
    <w:rsid w:val="00C05534"/>
    <w:rsid w:val="00C05798"/>
    <w:rsid w:val="00C05F18"/>
    <w:rsid w:val="00C06FD3"/>
    <w:rsid w:val="00C07027"/>
    <w:rsid w:val="00C07799"/>
    <w:rsid w:val="00C10A9C"/>
    <w:rsid w:val="00C1108C"/>
    <w:rsid w:val="00C11638"/>
    <w:rsid w:val="00C1217F"/>
    <w:rsid w:val="00C1427D"/>
    <w:rsid w:val="00C150C2"/>
    <w:rsid w:val="00C1656C"/>
    <w:rsid w:val="00C16856"/>
    <w:rsid w:val="00C1693A"/>
    <w:rsid w:val="00C20DB5"/>
    <w:rsid w:val="00C21494"/>
    <w:rsid w:val="00C22A16"/>
    <w:rsid w:val="00C23D0B"/>
    <w:rsid w:val="00C25490"/>
    <w:rsid w:val="00C25573"/>
    <w:rsid w:val="00C26B7F"/>
    <w:rsid w:val="00C27548"/>
    <w:rsid w:val="00C302AF"/>
    <w:rsid w:val="00C30CCD"/>
    <w:rsid w:val="00C3148D"/>
    <w:rsid w:val="00C31657"/>
    <w:rsid w:val="00C32BD7"/>
    <w:rsid w:val="00C32E05"/>
    <w:rsid w:val="00C32E31"/>
    <w:rsid w:val="00C32F4F"/>
    <w:rsid w:val="00C33A68"/>
    <w:rsid w:val="00C3426E"/>
    <w:rsid w:val="00C34C17"/>
    <w:rsid w:val="00C34FEF"/>
    <w:rsid w:val="00C362C2"/>
    <w:rsid w:val="00C37EAA"/>
    <w:rsid w:val="00C403B9"/>
    <w:rsid w:val="00C41EAA"/>
    <w:rsid w:val="00C4205D"/>
    <w:rsid w:val="00C4222C"/>
    <w:rsid w:val="00C42442"/>
    <w:rsid w:val="00C43A9E"/>
    <w:rsid w:val="00C47473"/>
    <w:rsid w:val="00C474B4"/>
    <w:rsid w:val="00C5095A"/>
    <w:rsid w:val="00C51986"/>
    <w:rsid w:val="00C52A15"/>
    <w:rsid w:val="00C5377F"/>
    <w:rsid w:val="00C53DFF"/>
    <w:rsid w:val="00C53FC5"/>
    <w:rsid w:val="00C55CC1"/>
    <w:rsid w:val="00C55FFE"/>
    <w:rsid w:val="00C56103"/>
    <w:rsid w:val="00C57906"/>
    <w:rsid w:val="00C600D2"/>
    <w:rsid w:val="00C606D2"/>
    <w:rsid w:val="00C6074F"/>
    <w:rsid w:val="00C609E6"/>
    <w:rsid w:val="00C61AA0"/>
    <w:rsid w:val="00C61C1C"/>
    <w:rsid w:val="00C62B6B"/>
    <w:rsid w:val="00C62FC7"/>
    <w:rsid w:val="00C644FE"/>
    <w:rsid w:val="00C6540E"/>
    <w:rsid w:val="00C65A83"/>
    <w:rsid w:val="00C65EAC"/>
    <w:rsid w:val="00C66E4F"/>
    <w:rsid w:val="00C70302"/>
    <w:rsid w:val="00C720F8"/>
    <w:rsid w:val="00C74D2B"/>
    <w:rsid w:val="00C754C5"/>
    <w:rsid w:val="00C76162"/>
    <w:rsid w:val="00C762A1"/>
    <w:rsid w:val="00C762BD"/>
    <w:rsid w:val="00C763A5"/>
    <w:rsid w:val="00C771E0"/>
    <w:rsid w:val="00C771FD"/>
    <w:rsid w:val="00C772A3"/>
    <w:rsid w:val="00C773CB"/>
    <w:rsid w:val="00C80239"/>
    <w:rsid w:val="00C80AAD"/>
    <w:rsid w:val="00C80B18"/>
    <w:rsid w:val="00C817F5"/>
    <w:rsid w:val="00C824FB"/>
    <w:rsid w:val="00C8385F"/>
    <w:rsid w:val="00C8421A"/>
    <w:rsid w:val="00C84ED4"/>
    <w:rsid w:val="00C85B68"/>
    <w:rsid w:val="00C85F32"/>
    <w:rsid w:val="00C8619B"/>
    <w:rsid w:val="00C86EF7"/>
    <w:rsid w:val="00C8731D"/>
    <w:rsid w:val="00C903F7"/>
    <w:rsid w:val="00C905DE"/>
    <w:rsid w:val="00C91133"/>
    <w:rsid w:val="00C921B0"/>
    <w:rsid w:val="00C94EE5"/>
    <w:rsid w:val="00C95CCD"/>
    <w:rsid w:val="00C9653A"/>
    <w:rsid w:val="00C97541"/>
    <w:rsid w:val="00C97633"/>
    <w:rsid w:val="00C977DB"/>
    <w:rsid w:val="00C978F7"/>
    <w:rsid w:val="00C97A24"/>
    <w:rsid w:val="00C97D24"/>
    <w:rsid w:val="00CA063F"/>
    <w:rsid w:val="00CA2294"/>
    <w:rsid w:val="00CA3271"/>
    <w:rsid w:val="00CA3B16"/>
    <w:rsid w:val="00CA448E"/>
    <w:rsid w:val="00CA4719"/>
    <w:rsid w:val="00CA4917"/>
    <w:rsid w:val="00CA4930"/>
    <w:rsid w:val="00CA52DF"/>
    <w:rsid w:val="00CA5619"/>
    <w:rsid w:val="00CA5973"/>
    <w:rsid w:val="00CA5BAA"/>
    <w:rsid w:val="00CA5D52"/>
    <w:rsid w:val="00CA610E"/>
    <w:rsid w:val="00CA611A"/>
    <w:rsid w:val="00CA73C5"/>
    <w:rsid w:val="00CB002A"/>
    <w:rsid w:val="00CB0E2E"/>
    <w:rsid w:val="00CB154E"/>
    <w:rsid w:val="00CB32E2"/>
    <w:rsid w:val="00CB390B"/>
    <w:rsid w:val="00CB3ACF"/>
    <w:rsid w:val="00CB3D5B"/>
    <w:rsid w:val="00CB3EA9"/>
    <w:rsid w:val="00CB63A2"/>
    <w:rsid w:val="00CB6B0D"/>
    <w:rsid w:val="00CC0E40"/>
    <w:rsid w:val="00CC12BB"/>
    <w:rsid w:val="00CC253B"/>
    <w:rsid w:val="00CC2E06"/>
    <w:rsid w:val="00CC3CB0"/>
    <w:rsid w:val="00CC5122"/>
    <w:rsid w:val="00CC6072"/>
    <w:rsid w:val="00CC61A3"/>
    <w:rsid w:val="00CC73AB"/>
    <w:rsid w:val="00CD1C48"/>
    <w:rsid w:val="00CD4608"/>
    <w:rsid w:val="00CD5F35"/>
    <w:rsid w:val="00CD60DB"/>
    <w:rsid w:val="00CD6154"/>
    <w:rsid w:val="00CD6491"/>
    <w:rsid w:val="00CE006C"/>
    <w:rsid w:val="00CE024C"/>
    <w:rsid w:val="00CE03F6"/>
    <w:rsid w:val="00CE0F6B"/>
    <w:rsid w:val="00CE1437"/>
    <w:rsid w:val="00CE14AF"/>
    <w:rsid w:val="00CE687A"/>
    <w:rsid w:val="00CE736F"/>
    <w:rsid w:val="00CE738D"/>
    <w:rsid w:val="00CF1132"/>
    <w:rsid w:val="00CF12F6"/>
    <w:rsid w:val="00CF1EC2"/>
    <w:rsid w:val="00CF3052"/>
    <w:rsid w:val="00CF39B7"/>
    <w:rsid w:val="00CF5174"/>
    <w:rsid w:val="00CF5545"/>
    <w:rsid w:val="00CF63A5"/>
    <w:rsid w:val="00CF6C5A"/>
    <w:rsid w:val="00CF7908"/>
    <w:rsid w:val="00CF7C84"/>
    <w:rsid w:val="00CF7ED3"/>
    <w:rsid w:val="00D01B66"/>
    <w:rsid w:val="00D024AE"/>
    <w:rsid w:val="00D03441"/>
    <w:rsid w:val="00D03850"/>
    <w:rsid w:val="00D0483D"/>
    <w:rsid w:val="00D04BE7"/>
    <w:rsid w:val="00D04FE7"/>
    <w:rsid w:val="00D051DE"/>
    <w:rsid w:val="00D05CFD"/>
    <w:rsid w:val="00D05DDF"/>
    <w:rsid w:val="00D0665D"/>
    <w:rsid w:val="00D06AAC"/>
    <w:rsid w:val="00D07C90"/>
    <w:rsid w:val="00D11318"/>
    <w:rsid w:val="00D116A4"/>
    <w:rsid w:val="00D122BA"/>
    <w:rsid w:val="00D13371"/>
    <w:rsid w:val="00D14181"/>
    <w:rsid w:val="00D14D71"/>
    <w:rsid w:val="00D14D84"/>
    <w:rsid w:val="00D1504B"/>
    <w:rsid w:val="00D1697E"/>
    <w:rsid w:val="00D1714E"/>
    <w:rsid w:val="00D17630"/>
    <w:rsid w:val="00D20DAA"/>
    <w:rsid w:val="00D21142"/>
    <w:rsid w:val="00D228BE"/>
    <w:rsid w:val="00D2328D"/>
    <w:rsid w:val="00D24430"/>
    <w:rsid w:val="00D25ADC"/>
    <w:rsid w:val="00D26BD5"/>
    <w:rsid w:val="00D27124"/>
    <w:rsid w:val="00D27A2F"/>
    <w:rsid w:val="00D3023A"/>
    <w:rsid w:val="00D30AC5"/>
    <w:rsid w:val="00D31329"/>
    <w:rsid w:val="00D315B3"/>
    <w:rsid w:val="00D33BC1"/>
    <w:rsid w:val="00D33E80"/>
    <w:rsid w:val="00D3445A"/>
    <w:rsid w:val="00D34E3B"/>
    <w:rsid w:val="00D351C3"/>
    <w:rsid w:val="00D35521"/>
    <w:rsid w:val="00D35890"/>
    <w:rsid w:val="00D363AD"/>
    <w:rsid w:val="00D36A89"/>
    <w:rsid w:val="00D36CE2"/>
    <w:rsid w:val="00D3760B"/>
    <w:rsid w:val="00D401A7"/>
    <w:rsid w:val="00D41823"/>
    <w:rsid w:val="00D4471C"/>
    <w:rsid w:val="00D44904"/>
    <w:rsid w:val="00D45385"/>
    <w:rsid w:val="00D456D2"/>
    <w:rsid w:val="00D459B2"/>
    <w:rsid w:val="00D5033B"/>
    <w:rsid w:val="00D5175E"/>
    <w:rsid w:val="00D5180C"/>
    <w:rsid w:val="00D51DD6"/>
    <w:rsid w:val="00D5268C"/>
    <w:rsid w:val="00D52D5A"/>
    <w:rsid w:val="00D547AC"/>
    <w:rsid w:val="00D55208"/>
    <w:rsid w:val="00D55D4F"/>
    <w:rsid w:val="00D5752B"/>
    <w:rsid w:val="00D57F45"/>
    <w:rsid w:val="00D601F1"/>
    <w:rsid w:val="00D612BD"/>
    <w:rsid w:val="00D6156B"/>
    <w:rsid w:val="00D61908"/>
    <w:rsid w:val="00D61A62"/>
    <w:rsid w:val="00D61F02"/>
    <w:rsid w:val="00D620F8"/>
    <w:rsid w:val="00D63D1E"/>
    <w:rsid w:val="00D64122"/>
    <w:rsid w:val="00D65556"/>
    <w:rsid w:val="00D66F06"/>
    <w:rsid w:val="00D67AA1"/>
    <w:rsid w:val="00D67BE3"/>
    <w:rsid w:val="00D7141F"/>
    <w:rsid w:val="00D717DA"/>
    <w:rsid w:val="00D72AD3"/>
    <w:rsid w:val="00D72FCB"/>
    <w:rsid w:val="00D7551A"/>
    <w:rsid w:val="00D77FC2"/>
    <w:rsid w:val="00D801E7"/>
    <w:rsid w:val="00D81642"/>
    <w:rsid w:val="00D823B8"/>
    <w:rsid w:val="00D82A55"/>
    <w:rsid w:val="00D83364"/>
    <w:rsid w:val="00D848BC"/>
    <w:rsid w:val="00D84E06"/>
    <w:rsid w:val="00D854A1"/>
    <w:rsid w:val="00D856AE"/>
    <w:rsid w:val="00D858B6"/>
    <w:rsid w:val="00D85CAB"/>
    <w:rsid w:val="00D87503"/>
    <w:rsid w:val="00D878D0"/>
    <w:rsid w:val="00D90A92"/>
    <w:rsid w:val="00D90F8F"/>
    <w:rsid w:val="00D91602"/>
    <w:rsid w:val="00D91BA0"/>
    <w:rsid w:val="00D92DC8"/>
    <w:rsid w:val="00D92FC4"/>
    <w:rsid w:val="00D9424D"/>
    <w:rsid w:val="00D949B2"/>
    <w:rsid w:val="00D96530"/>
    <w:rsid w:val="00D97058"/>
    <w:rsid w:val="00D97CB9"/>
    <w:rsid w:val="00DA0662"/>
    <w:rsid w:val="00DA0A6C"/>
    <w:rsid w:val="00DA0D93"/>
    <w:rsid w:val="00DA229B"/>
    <w:rsid w:val="00DA2BAF"/>
    <w:rsid w:val="00DA4B68"/>
    <w:rsid w:val="00DA4C14"/>
    <w:rsid w:val="00DA5A43"/>
    <w:rsid w:val="00DA614B"/>
    <w:rsid w:val="00DA6D6B"/>
    <w:rsid w:val="00DA7F70"/>
    <w:rsid w:val="00DB165B"/>
    <w:rsid w:val="00DB3B57"/>
    <w:rsid w:val="00DB406D"/>
    <w:rsid w:val="00DB46DB"/>
    <w:rsid w:val="00DB4724"/>
    <w:rsid w:val="00DB52EF"/>
    <w:rsid w:val="00DB5491"/>
    <w:rsid w:val="00DB679A"/>
    <w:rsid w:val="00DB7C29"/>
    <w:rsid w:val="00DC0DD5"/>
    <w:rsid w:val="00DC1051"/>
    <w:rsid w:val="00DC1D72"/>
    <w:rsid w:val="00DC56B6"/>
    <w:rsid w:val="00DC75F4"/>
    <w:rsid w:val="00DD3A7F"/>
    <w:rsid w:val="00DD48A0"/>
    <w:rsid w:val="00DD602A"/>
    <w:rsid w:val="00DD7A82"/>
    <w:rsid w:val="00DD7E99"/>
    <w:rsid w:val="00DE001A"/>
    <w:rsid w:val="00DE0ABE"/>
    <w:rsid w:val="00DE0BE0"/>
    <w:rsid w:val="00DE0E10"/>
    <w:rsid w:val="00DE1B39"/>
    <w:rsid w:val="00DE2E0B"/>
    <w:rsid w:val="00DE40D4"/>
    <w:rsid w:val="00DE45BB"/>
    <w:rsid w:val="00DE6B5F"/>
    <w:rsid w:val="00DE6C17"/>
    <w:rsid w:val="00DF15E1"/>
    <w:rsid w:val="00DF1A62"/>
    <w:rsid w:val="00DF24F6"/>
    <w:rsid w:val="00DF317D"/>
    <w:rsid w:val="00DF404C"/>
    <w:rsid w:val="00DF434B"/>
    <w:rsid w:val="00DF43EB"/>
    <w:rsid w:val="00DF47BF"/>
    <w:rsid w:val="00DF53B5"/>
    <w:rsid w:val="00E01113"/>
    <w:rsid w:val="00E0199B"/>
    <w:rsid w:val="00E01E92"/>
    <w:rsid w:val="00E03C20"/>
    <w:rsid w:val="00E04245"/>
    <w:rsid w:val="00E04A36"/>
    <w:rsid w:val="00E051F6"/>
    <w:rsid w:val="00E06673"/>
    <w:rsid w:val="00E122B2"/>
    <w:rsid w:val="00E12BD9"/>
    <w:rsid w:val="00E12F57"/>
    <w:rsid w:val="00E13265"/>
    <w:rsid w:val="00E1396A"/>
    <w:rsid w:val="00E14770"/>
    <w:rsid w:val="00E158F2"/>
    <w:rsid w:val="00E16AB9"/>
    <w:rsid w:val="00E16E3F"/>
    <w:rsid w:val="00E17F01"/>
    <w:rsid w:val="00E20159"/>
    <w:rsid w:val="00E21867"/>
    <w:rsid w:val="00E22677"/>
    <w:rsid w:val="00E22C2C"/>
    <w:rsid w:val="00E22E61"/>
    <w:rsid w:val="00E24AB3"/>
    <w:rsid w:val="00E24D88"/>
    <w:rsid w:val="00E253A5"/>
    <w:rsid w:val="00E3019A"/>
    <w:rsid w:val="00E312E6"/>
    <w:rsid w:val="00E318BA"/>
    <w:rsid w:val="00E338E8"/>
    <w:rsid w:val="00E3399F"/>
    <w:rsid w:val="00E34965"/>
    <w:rsid w:val="00E35E69"/>
    <w:rsid w:val="00E367B4"/>
    <w:rsid w:val="00E36C2A"/>
    <w:rsid w:val="00E406F1"/>
    <w:rsid w:val="00E41976"/>
    <w:rsid w:val="00E41A75"/>
    <w:rsid w:val="00E427F5"/>
    <w:rsid w:val="00E42B4B"/>
    <w:rsid w:val="00E42BAF"/>
    <w:rsid w:val="00E44076"/>
    <w:rsid w:val="00E4472E"/>
    <w:rsid w:val="00E44C3D"/>
    <w:rsid w:val="00E452B9"/>
    <w:rsid w:val="00E460A7"/>
    <w:rsid w:val="00E464AC"/>
    <w:rsid w:val="00E46820"/>
    <w:rsid w:val="00E47067"/>
    <w:rsid w:val="00E4750C"/>
    <w:rsid w:val="00E47AD0"/>
    <w:rsid w:val="00E50285"/>
    <w:rsid w:val="00E503A5"/>
    <w:rsid w:val="00E5074C"/>
    <w:rsid w:val="00E51218"/>
    <w:rsid w:val="00E5319E"/>
    <w:rsid w:val="00E531AD"/>
    <w:rsid w:val="00E54134"/>
    <w:rsid w:val="00E543EE"/>
    <w:rsid w:val="00E55826"/>
    <w:rsid w:val="00E55E9A"/>
    <w:rsid w:val="00E56AF6"/>
    <w:rsid w:val="00E56E9E"/>
    <w:rsid w:val="00E57C34"/>
    <w:rsid w:val="00E57DBD"/>
    <w:rsid w:val="00E57F24"/>
    <w:rsid w:val="00E60466"/>
    <w:rsid w:val="00E60A4C"/>
    <w:rsid w:val="00E62F2A"/>
    <w:rsid w:val="00E62FCB"/>
    <w:rsid w:val="00E637D2"/>
    <w:rsid w:val="00E63C66"/>
    <w:rsid w:val="00E6429B"/>
    <w:rsid w:val="00E64712"/>
    <w:rsid w:val="00E64954"/>
    <w:rsid w:val="00E65267"/>
    <w:rsid w:val="00E66704"/>
    <w:rsid w:val="00E66A9D"/>
    <w:rsid w:val="00E671D5"/>
    <w:rsid w:val="00E67A63"/>
    <w:rsid w:val="00E70B18"/>
    <w:rsid w:val="00E70C7E"/>
    <w:rsid w:val="00E7255F"/>
    <w:rsid w:val="00E7368D"/>
    <w:rsid w:val="00E73D51"/>
    <w:rsid w:val="00E73D5E"/>
    <w:rsid w:val="00E745A2"/>
    <w:rsid w:val="00E745DB"/>
    <w:rsid w:val="00E753D1"/>
    <w:rsid w:val="00E76012"/>
    <w:rsid w:val="00E76497"/>
    <w:rsid w:val="00E77C27"/>
    <w:rsid w:val="00E77C7D"/>
    <w:rsid w:val="00E809FB"/>
    <w:rsid w:val="00E80C55"/>
    <w:rsid w:val="00E80F44"/>
    <w:rsid w:val="00E81247"/>
    <w:rsid w:val="00E81396"/>
    <w:rsid w:val="00E82512"/>
    <w:rsid w:val="00E832D6"/>
    <w:rsid w:val="00E83FA9"/>
    <w:rsid w:val="00E840C7"/>
    <w:rsid w:val="00E84BDC"/>
    <w:rsid w:val="00E865F2"/>
    <w:rsid w:val="00E8705D"/>
    <w:rsid w:val="00E873FA"/>
    <w:rsid w:val="00E875E5"/>
    <w:rsid w:val="00E903C5"/>
    <w:rsid w:val="00E915CC"/>
    <w:rsid w:val="00E91A1B"/>
    <w:rsid w:val="00E91EA8"/>
    <w:rsid w:val="00E92E66"/>
    <w:rsid w:val="00E931C0"/>
    <w:rsid w:val="00E9432D"/>
    <w:rsid w:val="00E959D9"/>
    <w:rsid w:val="00E96275"/>
    <w:rsid w:val="00E971B0"/>
    <w:rsid w:val="00E9764C"/>
    <w:rsid w:val="00EA0CC3"/>
    <w:rsid w:val="00EA22D6"/>
    <w:rsid w:val="00EA2559"/>
    <w:rsid w:val="00EA2766"/>
    <w:rsid w:val="00EA297C"/>
    <w:rsid w:val="00EA3E55"/>
    <w:rsid w:val="00EA44C7"/>
    <w:rsid w:val="00EA5C26"/>
    <w:rsid w:val="00EA7457"/>
    <w:rsid w:val="00EA75AF"/>
    <w:rsid w:val="00EB1505"/>
    <w:rsid w:val="00EB2666"/>
    <w:rsid w:val="00EB3807"/>
    <w:rsid w:val="00EB43CB"/>
    <w:rsid w:val="00EB6897"/>
    <w:rsid w:val="00EB6EA4"/>
    <w:rsid w:val="00EB7279"/>
    <w:rsid w:val="00EB76EB"/>
    <w:rsid w:val="00EC0258"/>
    <w:rsid w:val="00EC0350"/>
    <w:rsid w:val="00EC145E"/>
    <w:rsid w:val="00EC3AC4"/>
    <w:rsid w:val="00EC51AE"/>
    <w:rsid w:val="00EC617A"/>
    <w:rsid w:val="00ED022C"/>
    <w:rsid w:val="00ED0CC0"/>
    <w:rsid w:val="00ED0F59"/>
    <w:rsid w:val="00ED17BB"/>
    <w:rsid w:val="00ED1E97"/>
    <w:rsid w:val="00ED28C7"/>
    <w:rsid w:val="00ED2C41"/>
    <w:rsid w:val="00ED474B"/>
    <w:rsid w:val="00ED4C46"/>
    <w:rsid w:val="00ED4DAC"/>
    <w:rsid w:val="00ED5719"/>
    <w:rsid w:val="00ED65E1"/>
    <w:rsid w:val="00EE00A3"/>
    <w:rsid w:val="00EE12A1"/>
    <w:rsid w:val="00EE17CE"/>
    <w:rsid w:val="00EE1CE3"/>
    <w:rsid w:val="00EE2776"/>
    <w:rsid w:val="00EE35E2"/>
    <w:rsid w:val="00EE3A6A"/>
    <w:rsid w:val="00EE48F3"/>
    <w:rsid w:val="00EE496C"/>
    <w:rsid w:val="00EE4D21"/>
    <w:rsid w:val="00EE512C"/>
    <w:rsid w:val="00EE51DD"/>
    <w:rsid w:val="00EE55FE"/>
    <w:rsid w:val="00EE7B00"/>
    <w:rsid w:val="00EF0286"/>
    <w:rsid w:val="00EF061B"/>
    <w:rsid w:val="00EF069A"/>
    <w:rsid w:val="00EF2469"/>
    <w:rsid w:val="00EF3349"/>
    <w:rsid w:val="00EF4D46"/>
    <w:rsid w:val="00EF58C2"/>
    <w:rsid w:val="00EF6FFF"/>
    <w:rsid w:val="00F00BED"/>
    <w:rsid w:val="00F00E9F"/>
    <w:rsid w:val="00F021DD"/>
    <w:rsid w:val="00F022BA"/>
    <w:rsid w:val="00F029BA"/>
    <w:rsid w:val="00F02C65"/>
    <w:rsid w:val="00F03805"/>
    <w:rsid w:val="00F0389F"/>
    <w:rsid w:val="00F039C4"/>
    <w:rsid w:val="00F03A97"/>
    <w:rsid w:val="00F04990"/>
    <w:rsid w:val="00F04999"/>
    <w:rsid w:val="00F04BCF"/>
    <w:rsid w:val="00F04BF0"/>
    <w:rsid w:val="00F0512E"/>
    <w:rsid w:val="00F06218"/>
    <w:rsid w:val="00F06370"/>
    <w:rsid w:val="00F067A4"/>
    <w:rsid w:val="00F06C6C"/>
    <w:rsid w:val="00F07C6E"/>
    <w:rsid w:val="00F13279"/>
    <w:rsid w:val="00F132B7"/>
    <w:rsid w:val="00F138ED"/>
    <w:rsid w:val="00F13A49"/>
    <w:rsid w:val="00F14D5F"/>
    <w:rsid w:val="00F14F5A"/>
    <w:rsid w:val="00F15724"/>
    <w:rsid w:val="00F1587E"/>
    <w:rsid w:val="00F15A9A"/>
    <w:rsid w:val="00F15D86"/>
    <w:rsid w:val="00F16B90"/>
    <w:rsid w:val="00F1723B"/>
    <w:rsid w:val="00F17836"/>
    <w:rsid w:val="00F17CDF"/>
    <w:rsid w:val="00F22560"/>
    <w:rsid w:val="00F22D9A"/>
    <w:rsid w:val="00F22FEF"/>
    <w:rsid w:val="00F2317F"/>
    <w:rsid w:val="00F2349C"/>
    <w:rsid w:val="00F238DF"/>
    <w:rsid w:val="00F241E3"/>
    <w:rsid w:val="00F24E69"/>
    <w:rsid w:val="00F25AD9"/>
    <w:rsid w:val="00F26096"/>
    <w:rsid w:val="00F265C0"/>
    <w:rsid w:val="00F271EA"/>
    <w:rsid w:val="00F27219"/>
    <w:rsid w:val="00F2731D"/>
    <w:rsid w:val="00F308C9"/>
    <w:rsid w:val="00F311DE"/>
    <w:rsid w:val="00F32562"/>
    <w:rsid w:val="00F344D1"/>
    <w:rsid w:val="00F36748"/>
    <w:rsid w:val="00F36853"/>
    <w:rsid w:val="00F36C6B"/>
    <w:rsid w:val="00F36DDA"/>
    <w:rsid w:val="00F37075"/>
    <w:rsid w:val="00F41E21"/>
    <w:rsid w:val="00F42E31"/>
    <w:rsid w:val="00F43BE9"/>
    <w:rsid w:val="00F45171"/>
    <w:rsid w:val="00F45DFF"/>
    <w:rsid w:val="00F472D5"/>
    <w:rsid w:val="00F507CB"/>
    <w:rsid w:val="00F52CE4"/>
    <w:rsid w:val="00F530C8"/>
    <w:rsid w:val="00F539D4"/>
    <w:rsid w:val="00F53D43"/>
    <w:rsid w:val="00F541FB"/>
    <w:rsid w:val="00F54B3E"/>
    <w:rsid w:val="00F54FCD"/>
    <w:rsid w:val="00F564F8"/>
    <w:rsid w:val="00F56BB6"/>
    <w:rsid w:val="00F56E08"/>
    <w:rsid w:val="00F574CF"/>
    <w:rsid w:val="00F57E03"/>
    <w:rsid w:val="00F629B1"/>
    <w:rsid w:val="00F62CE9"/>
    <w:rsid w:val="00F632D5"/>
    <w:rsid w:val="00F6362B"/>
    <w:rsid w:val="00F6391C"/>
    <w:rsid w:val="00F64A5D"/>
    <w:rsid w:val="00F64F6B"/>
    <w:rsid w:val="00F65FAC"/>
    <w:rsid w:val="00F66475"/>
    <w:rsid w:val="00F716E2"/>
    <w:rsid w:val="00F74A14"/>
    <w:rsid w:val="00F75E50"/>
    <w:rsid w:val="00F76183"/>
    <w:rsid w:val="00F76EA2"/>
    <w:rsid w:val="00F77B3F"/>
    <w:rsid w:val="00F80E47"/>
    <w:rsid w:val="00F818A7"/>
    <w:rsid w:val="00F832BB"/>
    <w:rsid w:val="00F832FD"/>
    <w:rsid w:val="00F84CF3"/>
    <w:rsid w:val="00F8512B"/>
    <w:rsid w:val="00F87624"/>
    <w:rsid w:val="00F87D43"/>
    <w:rsid w:val="00F87E91"/>
    <w:rsid w:val="00F87F74"/>
    <w:rsid w:val="00F923F2"/>
    <w:rsid w:val="00F9388B"/>
    <w:rsid w:val="00F9603A"/>
    <w:rsid w:val="00F969B7"/>
    <w:rsid w:val="00F9738A"/>
    <w:rsid w:val="00FA0B19"/>
    <w:rsid w:val="00FA0F80"/>
    <w:rsid w:val="00FA1393"/>
    <w:rsid w:val="00FA1424"/>
    <w:rsid w:val="00FA41F2"/>
    <w:rsid w:val="00FA5717"/>
    <w:rsid w:val="00FA5840"/>
    <w:rsid w:val="00FA5959"/>
    <w:rsid w:val="00FA67CC"/>
    <w:rsid w:val="00FA6C6B"/>
    <w:rsid w:val="00FA6DD8"/>
    <w:rsid w:val="00FA777E"/>
    <w:rsid w:val="00FB02C1"/>
    <w:rsid w:val="00FB064A"/>
    <w:rsid w:val="00FB0A12"/>
    <w:rsid w:val="00FB1C38"/>
    <w:rsid w:val="00FB1FB5"/>
    <w:rsid w:val="00FB1FCE"/>
    <w:rsid w:val="00FB3645"/>
    <w:rsid w:val="00FB640E"/>
    <w:rsid w:val="00FB658F"/>
    <w:rsid w:val="00FB6693"/>
    <w:rsid w:val="00FB76F0"/>
    <w:rsid w:val="00FB7F33"/>
    <w:rsid w:val="00FC2D9B"/>
    <w:rsid w:val="00FC3A3F"/>
    <w:rsid w:val="00FC3B2F"/>
    <w:rsid w:val="00FC55C4"/>
    <w:rsid w:val="00FC683E"/>
    <w:rsid w:val="00FC709B"/>
    <w:rsid w:val="00FC73F5"/>
    <w:rsid w:val="00FD088E"/>
    <w:rsid w:val="00FD12F9"/>
    <w:rsid w:val="00FD16B8"/>
    <w:rsid w:val="00FD1C37"/>
    <w:rsid w:val="00FD22B0"/>
    <w:rsid w:val="00FD2351"/>
    <w:rsid w:val="00FD2655"/>
    <w:rsid w:val="00FD306E"/>
    <w:rsid w:val="00FD3F85"/>
    <w:rsid w:val="00FD5461"/>
    <w:rsid w:val="00FD6E0F"/>
    <w:rsid w:val="00FD743E"/>
    <w:rsid w:val="00FE063A"/>
    <w:rsid w:val="00FE0B75"/>
    <w:rsid w:val="00FE1714"/>
    <w:rsid w:val="00FE1B2A"/>
    <w:rsid w:val="00FE5DAD"/>
    <w:rsid w:val="00FE5DD9"/>
    <w:rsid w:val="00FF04D3"/>
    <w:rsid w:val="00FF1D75"/>
    <w:rsid w:val="00FF2CFA"/>
    <w:rsid w:val="00FF303D"/>
    <w:rsid w:val="00FF393E"/>
    <w:rsid w:val="00FF3AFC"/>
    <w:rsid w:val="00FF41E2"/>
    <w:rsid w:val="00FF48BC"/>
    <w:rsid w:val="00FF62D8"/>
    <w:rsid w:val="00FF73AC"/>
    <w:rsid w:val="259223B6"/>
    <w:rsid w:val="3B232FA9"/>
    <w:rsid w:val="47266765"/>
    <w:rsid w:val="6E286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E7B8D2"/>
  <w15:docId w15:val="{F630C7F4-EB32-4878-A59A-BCAB0F8DE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iPriority="0" w:unhideWhenUsed="1" w:qFormat="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qFormat="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0" w:qFormat="1"/>
    <w:lsdException w:name="Table Theme" w:semiHidden="1" w:uiPriority="0"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lang w:val="zh-CN"/>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zh-CN"/>
    </w:rPr>
  </w:style>
  <w:style w:type="paragraph" w:styleId="3">
    <w:name w:val="heading 3"/>
    <w:basedOn w:val="a0"/>
    <w:next w:val="a0"/>
    <w:link w:val="30"/>
    <w:qFormat/>
    <w:pPr>
      <w:keepNext/>
      <w:keepLines/>
      <w:spacing w:before="260" w:after="260" w:line="416" w:lineRule="auto"/>
      <w:outlineLvl w:val="2"/>
    </w:pPr>
    <w:rPr>
      <w:b/>
      <w:bCs/>
      <w:kern w:val="0"/>
      <w:sz w:val="20"/>
      <w:szCs w:val="32"/>
      <w:lang w:val="zh-CN"/>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zh-CN"/>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lang w:val="zh-CN"/>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zh-CN"/>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lang w:val="zh-CN"/>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zh-CN"/>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a6"/>
    <w:rPr>
      <w:b/>
      <w:bCs/>
    </w:rPr>
  </w:style>
  <w:style w:type="paragraph" w:styleId="a5">
    <w:name w:val="annotation text"/>
    <w:basedOn w:val="a0"/>
    <w:link w:val="a7"/>
    <w:uiPriority w:val="99"/>
    <w:qFormat/>
    <w:pPr>
      <w:jc w:val="left"/>
    </w:pPr>
    <w:rPr>
      <w:kern w:val="0"/>
      <w:sz w:val="20"/>
      <w:lang w:val="zh-CN"/>
    </w:rPr>
  </w:style>
  <w:style w:type="paragraph" w:styleId="TOC7">
    <w:name w:val="toc 7"/>
    <w:basedOn w:val="a0"/>
    <w:next w:val="a0"/>
    <w:pPr>
      <w:spacing w:after="120" w:line="360" w:lineRule="auto"/>
      <w:ind w:left="2520" w:firstLine="480"/>
    </w:pPr>
    <w:rPr>
      <w:rFonts w:ascii="宋体" w:hAnsi="宋体" w:cs="Arial"/>
      <w:bCs/>
      <w:color w:val="000000"/>
      <w:kern w:val="0"/>
      <w:szCs w:val="21"/>
      <w:lang w:val="zh-CN"/>
    </w:rPr>
  </w:style>
  <w:style w:type="paragraph" w:styleId="a8">
    <w:name w:val="Body Text First Indent"/>
    <w:basedOn w:val="a9"/>
    <w:link w:val="aa"/>
    <w:pPr>
      <w:spacing w:after="120"/>
      <w:ind w:firstLineChars="100" w:firstLine="420"/>
    </w:pPr>
    <w:rPr>
      <w:rFonts w:ascii="Times New Roman" w:hAnsi="Times New Roman"/>
      <w:szCs w:val="24"/>
    </w:rPr>
  </w:style>
  <w:style w:type="paragraph" w:styleId="a9">
    <w:name w:val="Body Text"/>
    <w:basedOn w:val="a0"/>
    <w:link w:val="ab"/>
    <w:qFormat/>
    <w:rPr>
      <w:rFonts w:ascii="宋体" w:hAnsi="宋体"/>
      <w:kern w:val="0"/>
      <w:sz w:val="24"/>
      <w:szCs w:val="21"/>
      <w:lang w:val="zh-CN"/>
    </w:rPr>
  </w:style>
  <w:style w:type="paragraph" w:styleId="ac">
    <w:name w:val="Normal Indent"/>
    <w:basedOn w:val="a0"/>
    <w:qFormat/>
    <w:pPr>
      <w:ind w:firstLine="420"/>
    </w:pPr>
    <w:rPr>
      <w:szCs w:val="20"/>
    </w:rPr>
  </w:style>
  <w:style w:type="paragraph" w:styleId="ad">
    <w:name w:val="caption"/>
    <w:basedOn w:val="a0"/>
    <w:next w:val="a0"/>
    <w:unhideWhenUsed/>
    <w:qFormat/>
    <w:pPr>
      <w:spacing w:line="360" w:lineRule="auto"/>
      <w:ind w:firstLineChars="200" w:firstLine="200"/>
    </w:pPr>
    <w:rPr>
      <w:rFonts w:ascii="Cambria" w:eastAsia="黑体" w:hAnsi="Cambria"/>
      <w:sz w:val="20"/>
      <w:szCs w:val="20"/>
    </w:rPr>
  </w:style>
  <w:style w:type="paragraph" w:styleId="ae">
    <w:name w:val="List Bullet"/>
    <w:basedOn w:val="a0"/>
    <w:qFormat/>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f">
    <w:name w:val="Document Map"/>
    <w:basedOn w:val="a0"/>
    <w:link w:val="af0"/>
    <w:pPr>
      <w:shd w:val="clear" w:color="auto" w:fill="000080"/>
      <w:spacing w:after="120" w:line="360" w:lineRule="auto"/>
      <w:ind w:firstLine="480"/>
    </w:pPr>
    <w:rPr>
      <w:rFonts w:ascii="宋体" w:hAnsi="宋体"/>
      <w:bCs/>
      <w:color w:val="000000"/>
      <w:kern w:val="0"/>
      <w:sz w:val="20"/>
      <w:szCs w:val="21"/>
      <w:lang w:val="zh-CN"/>
    </w:rPr>
  </w:style>
  <w:style w:type="paragraph" w:styleId="af1">
    <w:name w:val="Body Text Indent"/>
    <w:basedOn w:val="a0"/>
    <w:link w:val="af2"/>
    <w:qFormat/>
    <w:pPr>
      <w:ind w:firstLine="540"/>
    </w:pPr>
    <w:rPr>
      <w:kern w:val="0"/>
      <w:sz w:val="24"/>
      <w:szCs w:val="20"/>
      <w:lang w:val="zh-CN"/>
    </w:rPr>
  </w:style>
  <w:style w:type="paragraph" w:styleId="TOC5">
    <w:name w:val="toc 5"/>
    <w:basedOn w:val="a0"/>
    <w:next w:val="a0"/>
    <w:pPr>
      <w:spacing w:after="120" w:line="360" w:lineRule="auto"/>
      <w:ind w:left="1680" w:firstLine="480"/>
    </w:pPr>
    <w:rPr>
      <w:rFonts w:ascii="宋体" w:hAnsi="宋体" w:cs="Arial"/>
      <w:bCs/>
      <w:color w:val="000000"/>
      <w:kern w:val="0"/>
      <w:szCs w:val="21"/>
      <w:lang w:val="zh-CN"/>
    </w:rPr>
  </w:style>
  <w:style w:type="paragraph" w:styleId="TOC3">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3">
    <w:name w:val="Plain Text"/>
    <w:basedOn w:val="a0"/>
    <w:link w:val="af4"/>
    <w:qFormat/>
    <w:pPr>
      <w:widowControl/>
      <w:spacing w:before="100" w:beforeAutospacing="1" w:after="100" w:afterAutospacing="1"/>
      <w:jc w:val="left"/>
    </w:pPr>
    <w:rPr>
      <w:rFonts w:ascii="Arial Unicode MS" w:eastAsia="Arial Unicode MS" w:hAnsi="Arial Unicode MS"/>
      <w:kern w:val="0"/>
      <w:sz w:val="24"/>
      <w:lang w:val="zh-CN"/>
    </w:rPr>
  </w:style>
  <w:style w:type="paragraph" w:styleId="TOC8">
    <w:name w:val="toc 8"/>
    <w:basedOn w:val="a0"/>
    <w:next w:val="a0"/>
    <w:pPr>
      <w:spacing w:after="120" w:line="360" w:lineRule="auto"/>
      <w:ind w:left="2940" w:firstLine="480"/>
    </w:pPr>
    <w:rPr>
      <w:rFonts w:ascii="宋体" w:hAnsi="宋体" w:cs="Arial"/>
      <w:bCs/>
      <w:color w:val="000000"/>
      <w:kern w:val="0"/>
      <w:szCs w:val="21"/>
      <w:lang w:val="zh-CN"/>
    </w:rPr>
  </w:style>
  <w:style w:type="paragraph" w:styleId="af5">
    <w:name w:val="Date"/>
    <w:basedOn w:val="a0"/>
    <w:next w:val="a0"/>
    <w:link w:val="af6"/>
    <w:qFormat/>
    <w:pPr>
      <w:ind w:leftChars="2500" w:left="100"/>
    </w:pPr>
    <w:rPr>
      <w:rFonts w:ascii="宋体" w:hAnsi="宋体"/>
      <w:kern w:val="0"/>
      <w:sz w:val="24"/>
      <w:szCs w:val="21"/>
      <w:lang w:val="zh-CN"/>
    </w:rPr>
  </w:style>
  <w:style w:type="paragraph" w:styleId="22">
    <w:name w:val="Body Text Indent 2"/>
    <w:basedOn w:val="a0"/>
    <w:link w:val="23"/>
    <w:pPr>
      <w:tabs>
        <w:tab w:val="left" w:pos="1110"/>
      </w:tabs>
      <w:spacing w:line="360" w:lineRule="auto"/>
      <w:ind w:firstLineChars="200" w:firstLine="420"/>
    </w:pPr>
    <w:rPr>
      <w:rFonts w:ascii="宋体" w:hAnsi="宋体"/>
      <w:color w:val="FF0000"/>
      <w:kern w:val="0"/>
      <w:sz w:val="20"/>
      <w:lang w:val="zh-CN"/>
    </w:rPr>
  </w:style>
  <w:style w:type="paragraph" w:styleId="af7">
    <w:name w:val="endnote text"/>
    <w:basedOn w:val="a0"/>
    <w:link w:val="af8"/>
    <w:pPr>
      <w:snapToGrid w:val="0"/>
      <w:jc w:val="left"/>
    </w:pPr>
    <w:rPr>
      <w:kern w:val="0"/>
      <w:sz w:val="20"/>
      <w:szCs w:val="20"/>
      <w:lang w:val="zh-CN"/>
    </w:rPr>
  </w:style>
  <w:style w:type="paragraph" w:styleId="af9">
    <w:name w:val="Balloon Text"/>
    <w:basedOn w:val="a0"/>
    <w:link w:val="afa"/>
    <w:semiHidden/>
    <w:rPr>
      <w:kern w:val="0"/>
      <w:sz w:val="18"/>
      <w:szCs w:val="18"/>
      <w:lang w:val="zh-CN"/>
    </w:rPr>
  </w:style>
  <w:style w:type="paragraph" w:styleId="afb">
    <w:name w:val="footer"/>
    <w:basedOn w:val="a0"/>
    <w:link w:val="afc"/>
    <w:uiPriority w:val="99"/>
    <w:pPr>
      <w:tabs>
        <w:tab w:val="center" w:pos="4153"/>
        <w:tab w:val="right" w:pos="8306"/>
      </w:tabs>
      <w:snapToGrid w:val="0"/>
      <w:jc w:val="left"/>
    </w:pPr>
    <w:rPr>
      <w:kern w:val="0"/>
      <w:sz w:val="18"/>
      <w:szCs w:val="18"/>
      <w:lang w:val="zh-CN"/>
    </w:rPr>
  </w:style>
  <w:style w:type="paragraph" w:styleId="afd">
    <w:name w:val="header"/>
    <w:basedOn w:val="a0"/>
    <w:link w:val="afe"/>
    <w:uiPriority w:val="99"/>
    <w:qFormat/>
    <w:pPr>
      <w:pBdr>
        <w:bottom w:val="single" w:sz="6" w:space="1" w:color="auto"/>
      </w:pBdr>
      <w:tabs>
        <w:tab w:val="center" w:pos="4153"/>
        <w:tab w:val="right" w:pos="8306"/>
      </w:tabs>
      <w:snapToGrid w:val="0"/>
      <w:jc w:val="center"/>
    </w:pPr>
    <w:rPr>
      <w:kern w:val="0"/>
      <w:sz w:val="18"/>
      <w:szCs w:val="18"/>
      <w:lang w:val="zh-CN"/>
    </w:rPr>
  </w:style>
  <w:style w:type="paragraph" w:styleId="TOC1">
    <w:name w:val="toc 1"/>
    <w:basedOn w:val="a0"/>
    <w:next w:val="a0"/>
    <w:uiPriority w:val="39"/>
    <w:pPr>
      <w:tabs>
        <w:tab w:val="right" w:leader="dot" w:pos="8295"/>
      </w:tabs>
      <w:snapToGrid w:val="0"/>
      <w:spacing w:line="360" w:lineRule="auto"/>
    </w:pPr>
    <w:rPr>
      <w:rFonts w:ascii="宋体" w:hAnsi="宋体"/>
      <w:caps/>
      <w:sz w:val="24"/>
    </w:rPr>
  </w:style>
  <w:style w:type="paragraph" w:styleId="TOC4">
    <w:name w:val="toc 4"/>
    <w:basedOn w:val="a0"/>
    <w:next w:val="a0"/>
    <w:pPr>
      <w:spacing w:after="120" w:line="360" w:lineRule="auto"/>
      <w:ind w:left="1260" w:firstLine="480"/>
    </w:pPr>
    <w:rPr>
      <w:rFonts w:ascii="宋体" w:hAnsi="宋体" w:cs="Arial"/>
      <w:bCs/>
      <w:color w:val="000000"/>
      <w:kern w:val="0"/>
      <w:szCs w:val="21"/>
      <w:lang w:val="zh-CN"/>
    </w:rPr>
  </w:style>
  <w:style w:type="paragraph" w:styleId="aff">
    <w:name w:val="footnote text"/>
    <w:basedOn w:val="a0"/>
    <w:link w:val="aff0"/>
    <w:qFormat/>
    <w:pPr>
      <w:snapToGrid w:val="0"/>
      <w:jc w:val="left"/>
    </w:pPr>
    <w:rPr>
      <w:kern w:val="0"/>
      <w:sz w:val="18"/>
      <w:szCs w:val="18"/>
      <w:lang w:val="zh-CN"/>
    </w:rPr>
  </w:style>
  <w:style w:type="paragraph" w:styleId="TOC6">
    <w:name w:val="toc 6"/>
    <w:basedOn w:val="a0"/>
    <w:next w:val="a0"/>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2"/>
    <w:qFormat/>
    <w:pPr>
      <w:spacing w:line="360" w:lineRule="auto"/>
      <w:ind w:firstLine="425"/>
    </w:pPr>
    <w:rPr>
      <w:rFonts w:ascii="宋体"/>
      <w:kern w:val="0"/>
      <w:sz w:val="20"/>
      <w:lang w:val="zh-CN"/>
    </w:rPr>
  </w:style>
  <w:style w:type="paragraph" w:styleId="TOC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TOC9">
    <w:name w:val="toc 9"/>
    <w:basedOn w:val="a0"/>
    <w:next w:val="a0"/>
    <w:pPr>
      <w:spacing w:after="120" w:line="360" w:lineRule="auto"/>
      <w:ind w:left="3360" w:firstLine="480"/>
    </w:pPr>
    <w:rPr>
      <w:rFonts w:ascii="宋体" w:hAnsi="宋体" w:cs="Arial"/>
      <w:bCs/>
      <w:color w:val="000000"/>
      <w:kern w:val="0"/>
      <w:szCs w:val="21"/>
      <w:lang w:val="zh-CN"/>
    </w:rPr>
  </w:style>
  <w:style w:type="paragraph" w:styleId="24">
    <w:name w:val="Body Text 2"/>
    <w:basedOn w:val="a0"/>
    <w:link w:val="25"/>
    <w:qFormat/>
    <w:rPr>
      <w:kern w:val="0"/>
      <w:sz w:val="28"/>
      <w:szCs w:val="20"/>
      <w:lang w:val="zh-CN"/>
    </w:rPr>
  </w:style>
  <w:style w:type="paragraph" w:styleId="aff1">
    <w:name w:val="Normal (Web)"/>
    <w:basedOn w:val="a0"/>
    <w:uiPriority w:val="99"/>
    <w:pPr>
      <w:widowControl/>
      <w:spacing w:before="100" w:beforeAutospacing="1" w:after="100" w:afterAutospacing="1"/>
      <w:jc w:val="left"/>
    </w:pPr>
    <w:rPr>
      <w:rFonts w:ascii="宋体" w:hAnsi="宋体"/>
      <w:kern w:val="0"/>
      <w:sz w:val="24"/>
    </w:rPr>
  </w:style>
  <w:style w:type="paragraph" w:styleId="aff2">
    <w:name w:val="Title"/>
    <w:basedOn w:val="a0"/>
    <w:link w:val="aff3"/>
    <w:qFormat/>
    <w:pPr>
      <w:autoSpaceDE w:val="0"/>
      <w:autoSpaceDN w:val="0"/>
      <w:adjustRightInd w:val="0"/>
      <w:spacing w:before="240" w:after="60"/>
      <w:jc w:val="center"/>
      <w:textAlignment w:val="baseline"/>
      <w:outlineLvl w:val="0"/>
    </w:pPr>
    <w:rPr>
      <w:rFonts w:ascii="Arial" w:hAnsi="Arial"/>
      <w:b/>
      <w:bCs/>
      <w:kern w:val="0"/>
      <w:sz w:val="32"/>
      <w:szCs w:val="32"/>
      <w:lang w:val="zh-CN"/>
    </w:rPr>
  </w:style>
  <w:style w:type="character" w:styleId="aff4">
    <w:name w:val="Strong"/>
    <w:uiPriority w:val="22"/>
    <w:qFormat/>
    <w:rPr>
      <w:b/>
      <w:bCs/>
    </w:rPr>
  </w:style>
  <w:style w:type="character" w:styleId="aff5">
    <w:name w:val="endnote reference"/>
    <w:qFormat/>
    <w:rPr>
      <w:vertAlign w:val="superscript"/>
    </w:rPr>
  </w:style>
  <w:style w:type="character" w:styleId="aff6">
    <w:name w:val="page number"/>
    <w:basedOn w:val="a1"/>
    <w:qFormat/>
  </w:style>
  <w:style w:type="character" w:styleId="aff7">
    <w:name w:val="FollowedHyperlink"/>
    <w:rPr>
      <w:color w:val="800080"/>
      <w:u w:val="single"/>
    </w:rPr>
  </w:style>
  <w:style w:type="character" w:styleId="aff8">
    <w:name w:val="Emphasis"/>
    <w:uiPriority w:val="20"/>
    <w:qFormat/>
    <w:rPr>
      <w:i/>
      <w:iCs/>
    </w:rPr>
  </w:style>
  <w:style w:type="character" w:styleId="aff9">
    <w:name w:val="Hyperlink"/>
    <w:uiPriority w:val="99"/>
    <w:qFormat/>
    <w:rPr>
      <w:color w:val="0000FF"/>
      <w:u w:val="single"/>
    </w:rPr>
  </w:style>
  <w:style w:type="character" w:styleId="affa">
    <w:name w:val="annotation reference"/>
    <w:uiPriority w:val="99"/>
    <w:rPr>
      <w:sz w:val="21"/>
      <w:szCs w:val="21"/>
    </w:rPr>
  </w:style>
  <w:style w:type="character" w:styleId="affb">
    <w:name w:val="footnote reference"/>
    <w:rPr>
      <w:vertAlign w:val="superscript"/>
    </w:rPr>
  </w:style>
  <w:style w:type="table" w:styleId="affc">
    <w:name w:val="Table Grid"/>
    <w:basedOn w:val="a2"/>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d">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qFormat/>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customStyle="1" w:styleId="12">
    <w:name w:val="标题 1 字符"/>
    <w:link w:val="11"/>
    <w:rPr>
      <w:rFonts w:ascii="宋体" w:eastAsia="黑体" w:hAnsi="Times New Roman" w:cs="Times New Roman"/>
      <w:kern w:val="0"/>
      <w:sz w:val="24"/>
      <w:szCs w:val="20"/>
    </w:rPr>
  </w:style>
  <w:style w:type="character" w:customStyle="1" w:styleId="21">
    <w:name w:val="标题 2 字符"/>
    <w:link w:val="20"/>
    <w:uiPriority w:val="9"/>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lang w:val="zh-CN" w:eastAsia="zh-CN"/>
    </w:rPr>
  </w:style>
  <w:style w:type="character" w:customStyle="1" w:styleId="40">
    <w:name w:val="标题 4 字符"/>
    <w:link w:val="4"/>
    <w:rPr>
      <w:rFonts w:ascii="Arial" w:eastAsia="黑体" w:hAnsi="Arial" w:cs="Times New Roman"/>
      <w:b/>
      <w:kern w:val="0"/>
      <w:sz w:val="28"/>
      <w:szCs w:val="20"/>
    </w:rPr>
  </w:style>
  <w:style w:type="character" w:customStyle="1" w:styleId="50">
    <w:name w:val="标题 5 字符"/>
    <w:link w:val="5"/>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rPr>
      <w:rFonts w:ascii="Arial" w:eastAsia="黑体" w:hAnsi="Arial"/>
      <w:lang w:val="zh-CN" w:eastAsia="zh-CN"/>
    </w:rPr>
  </w:style>
  <w:style w:type="paragraph" w:customStyle="1" w:styleId="Char">
    <w:name w:val="Char"/>
    <w:basedOn w:val="a0"/>
    <w:pPr>
      <w:widowControl/>
      <w:spacing w:after="160" w:line="240" w:lineRule="exact"/>
      <w:jc w:val="left"/>
    </w:pPr>
    <w:rPr>
      <w:rFonts w:ascii="Verdana" w:hAnsi="Verdana"/>
      <w:kern w:val="0"/>
      <w:sz w:val="20"/>
      <w:szCs w:val="20"/>
      <w:lang w:eastAsia="en-US"/>
    </w:rPr>
  </w:style>
  <w:style w:type="character" w:customStyle="1" w:styleId="afe">
    <w:name w:val="页眉 字符"/>
    <w:link w:val="afd"/>
    <w:uiPriority w:val="99"/>
    <w:qFormat/>
    <w:rPr>
      <w:rFonts w:ascii="Times New Roman" w:hAnsi="Times New Roman"/>
      <w:sz w:val="18"/>
      <w:szCs w:val="18"/>
      <w:lang w:val="zh-CN" w:eastAsia="zh-CN"/>
    </w:rPr>
  </w:style>
  <w:style w:type="character" w:customStyle="1" w:styleId="afc">
    <w:name w:val="页脚 字符"/>
    <w:link w:val="afb"/>
    <w:uiPriority w:val="99"/>
    <w:qFormat/>
    <w:rPr>
      <w:rFonts w:ascii="Times New Roman" w:hAnsi="Times New Roman"/>
      <w:sz w:val="18"/>
      <w:szCs w:val="18"/>
      <w:lang w:val="zh-CN" w:eastAsia="zh-CN"/>
    </w:rPr>
  </w:style>
  <w:style w:type="character" w:customStyle="1" w:styleId="af6">
    <w:name w:val="日期 字符"/>
    <w:link w:val="af5"/>
    <w:qFormat/>
    <w:rPr>
      <w:rFonts w:ascii="宋体" w:eastAsia="宋体" w:hAnsi="宋体" w:cs="Times New Roman"/>
      <w:kern w:val="0"/>
      <w:sz w:val="24"/>
      <w:szCs w:val="21"/>
    </w:rPr>
  </w:style>
  <w:style w:type="character" w:customStyle="1" w:styleId="ab">
    <w:name w:val="正文文本 字符"/>
    <w:link w:val="a9"/>
    <w:qFormat/>
    <w:rPr>
      <w:rFonts w:ascii="宋体" w:eastAsia="宋体" w:hAnsi="宋体" w:cs="Times New Roman"/>
      <w:kern w:val="0"/>
      <w:sz w:val="24"/>
      <w:szCs w:val="21"/>
    </w:rPr>
  </w:style>
  <w:style w:type="character" w:customStyle="1" w:styleId="af2">
    <w:name w:val="正文文本缩进 字符"/>
    <w:link w:val="af1"/>
    <w:qFormat/>
    <w:rPr>
      <w:rFonts w:ascii="Times New Roman" w:hAnsi="Times New Roman"/>
      <w:sz w:val="24"/>
      <w:lang w:val="zh-CN" w:eastAsia="zh-CN"/>
    </w:rPr>
  </w:style>
  <w:style w:type="character" w:customStyle="1" w:styleId="25">
    <w:name w:val="正文文本 2 字符"/>
    <w:link w:val="24"/>
    <w:rPr>
      <w:rFonts w:ascii="Times New Roman" w:hAnsi="Times New Roman"/>
      <w:sz w:val="28"/>
      <w:lang w:val="zh-CN" w:eastAsia="zh-CN"/>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lang w:val="zh-CN" w:eastAsia="zh-CN"/>
    </w:rPr>
  </w:style>
  <w:style w:type="character" w:customStyle="1" w:styleId="c">
    <w:name w:val="c"/>
    <w:basedOn w:val="a1"/>
    <w:qFormat/>
  </w:style>
  <w:style w:type="character" w:customStyle="1" w:styleId="32">
    <w:name w:val="正文文本缩进 3 字符"/>
    <w:link w:val="31"/>
    <w:rPr>
      <w:rFonts w:ascii="宋体" w:hAnsi="Times New Roman"/>
      <w:szCs w:val="24"/>
      <w:lang w:val="zh-CN" w:eastAsia="zh-CN"/>
    </w:rPr>
  </w:style>
  <w:style w:type="character" w:customStyle="1" w:styleId="read">
    <w:name w:val="read"/>
    <w:basedOn w:val="a1"/>
    <w:qFormat/>
  </w:style>
  <w:style w:type="character" w:customStyle="1" w:styleId="read1">
    <w:name w:val="read1"/>
    <w:rPr>
      <w:rFonts w:hint="default"/>
      <w:color w:val="000000"/>
      <w:spacing w:val="450"/>
      <w:u w:val="none"/>
    </w:rPr>
  </w:style>
  <w:style w:type="paragraph" w:customStyle="1" w:styleId="2">
    <w:name w:val="列表2"/>
    <w:basedOn w:val="a0"/>
    <w:next w:val="aff2"/>
    <w:qFormat/>
    <w:pPr>
      <w:numPr>
        <w:numId w:val="1"/>
      </w:numPr>
      <w:spacing w:line="360" w:lineRule="auto"/>
    </w:pPr>
    <w:rPr>
      <w:rFonts w:ascii="宋体"/>
      <w:szCs w:val="20"/>
    </w:rPr>
  </w:style>
  <w:style w:type="character" w:customStyle="1" w:styleId="aff3">
    <w:name w:val="标题 字符"/>
    <w:link w:val="aff2"/>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qForma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qFormat/>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f1"/>
    <w:qFormat/>
    <w:pPr>
      <w:spacing w:line="360" w:lineRule="auto"/>
      <w:ind w:firstLine="0"/>
    </w:pPr>
    <w:rPr>
      <w:szCs w:val="24"/>
    </w:rPr>
  </w:style>
  <w:style w:type="character" w:customStyle="1" w:styleId="af4">
    <w:name w:val="纯文本 字符"/>
    <w:link w:val="af3"/>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qFormat/>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f0">
    <w:name w:val="脚注文本 字符"/>
    <w:link w:val="aff"/>
    <w:qFormat/>
    <w:rPr>
      <w:rFonts w:ascii="Times New Roman" w:hAnsi="Times New Roman"/>
      <w:sz w:val="18"/>
      <w:szCs w:val="18"/>
      <w:lang w:val="zh-CN" w:eastAsia="zh-CN"/>
    </w:rPr>
  </w:style>
  <w:style w:type="paragraph" w:customStyle="1" w:styleId="Char2">
    <w:name w:val="Char2"/>
    <w:basedOn w:val="a0"/>
    <w:qFormat/>
  </w:style>
  <w:style w:type="paragraph" w:customStyle="1" w:styleId="Char1CharCharCharChar">
    <w:name w:val="Char1 Char Char Char Char"/>
    <w:basedOn w:val="a0"/>
    <w:pPr>
      <w:widowControl/>
      <w:spacing w:after="160" w:line="240" w:lineRule="exact"/>
      <w:jc w:val="left"/>
    </w:pPr>
    <w:rPr>
      <w:rFonts w:ascii="Verdana" w:hAnsi="Verdana" w:cs="Verdana"/>
      <w:kern w:val="0"/>
      <w:sz w:val="20"/>
      <w:szCs w:val="20"/>
      <w:lang w:eastAsia="en-US"/>
    </w:rPr>
  </w:style>
  <w:style w:type="character" w:customStyle="1" w:styleId="afa">
    <w:name w:val="批注框文本 字符"/>
    <w:link w:val="af9"/>
    <w:semiHidden/>
    <w:rPr>
      <w:rFonts w:ascii="Times New Roman" w:hAnsi="Times New Roman"/>
      <w:sz w:val="18"/>
      <w:szCs w:val="18"/>
      <w:lang w:val="zh-CN" w:eastAsia="zh-CN"/>
    </w:rPr>
  </w:style>
  <w:style w:type="paragraph" w:customStyle="1" w:styleId="ParaChar">
    <w:name w:val="默认段落字体 Para Char"/>
    <w:basedOn w:val="a0"/>
    <w:pPr>
      <w:tabs>
        <w:tab w:val="left" w:pos="757"/>
      </w:tabs>
      <w:ind w:firstLine="397"/>
    </w:pPr>
    <w:rPr>
      <w:sz w:val="24"/>
    </w:rPr>
  </w:style>
  <w:style w:type="character" w:customStyle="1" w:styleId="msoins0">
    <w:name w:val="msoins"/>
    <w:basedOn w:val="a1"/>
  </w:style>
  <w:style w:type="character" w:customStyle="1" w:styleId="a7">
    <w:name w:val="批注文字 字符"/>
    <w:link w:val="a5"/>
    <w:uiPriority w:val="99"/>
    <w:rPr>
      <w:rFonts w:ascii="Times New Roman" w:hAnsi="Times New Roman"/>
      <w:szCs w:val="24"/>
      <w:lang w:val="zh-CN" w:eastAsia="zh-CN"/>
    </w:rPr>
  </w:style>
  <w:style w:type="character" w:customStyle="1" w:styleId="a6">
    <w:name w:val="批注主题 字符"/>
    <w:link w:val="a4"/>
    <w:qFormat/>
    <w:rPr>
      <w:rFonts w:ascii="Times New Roman" w:hAnsi="Times New Roman"/>
      <w:b/>
      <w:bCs/>
      <w:szCs w:val="24"/>
      <w:lang w:val="zh-CN" w:eastAsia="zh-CN"/>
    </w:rPr>
  </w:style>
  <w:style w:type="character" w:customStyle="1" w:styleId="unnamed11">
    <w:name w:val="unnamed11"/>
    <w:rPr>
      <w:rFonts w:ascii="宋体" w:eastAsia="宋体" w:hAnsi="宋体" w:hint="eastAsia"/>
      <w:sz w:val="18"/>
      <w:szCs w:val="18"/>
    </w:rPr>
  </w:style>
  <w:style w:type="character" w:customStyle="1" w:styleId="aa">
    <w:name w:val="正文文本首行缩进 字符"/>
    <w:link w:val="a8"/>
    <w:rPr>
      <w:rFonts w:ascii="Times New Roman" w:hAnsi="Times New Roman"/>
      <w:sz w:val="24"/>
      <w:szCs w:val="24"/>
      <w:lang w:val="zh-CN" w:eastAsia="zh-CN"/>
    </w:rPr>
  </w:style>
  <w:style w:type="paragraph" w:customStyle="1" w:styleId="BS8">
    <w:name w:val="BS标题8"/>
    <w:basedOn w:val="20"/>
    <w:link w:val="BS8Char"/>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Pr>
      <w:rFonts w:ascii="Times New Roman" w:hAnsi="Times New Roman"/>
      <w:szCs w:val="32"/>
      <w:lang w:val="zh-CN" w:eastAsia="zh-CN"/>
    </w:rPr>
  </w:style>
  <w:style w:type="paragraph" w:customStyle="1" w:styleId="14">
    <w:name w:val="修订1"/>
    <w:hidden/>
    <w:uiPriority w:val="99"/>
    <w:semiHidden/>
    <w:rPr>
      <w:rFonts w:ascii="Times New Roman" w:hAnsi="Times New Roman"/>
      <w:kern w:val="2"/>
      <w:sz w:val="21"/>
      <w:szCs w:val="24"/>
    </w:rPr>
  </w:style>
  <w:style w:type="character" w:customStyle="1" w:styleId="af0">
    <w:name w:val="文档结构图 字符"/>
    <w:link w:val="af"/>
    <w:rPr>
      <w:rFonts w:ascii="宋体" w:hAnsi="宋体"/>
      <w:bCs/>
      <w:color w:val="000000"/>
      <w:szCs w:val="21"/>
      <w:shd w:val="clear" w:color="auto" w:fill="000080"/>
      <w:lang w:val="zh-CN" w:eastAsia="zh-CN"/>
    </w:rPr>
  </w:style>
  <w:style w:type="paragraph" w:customStyle="1" w:styleId="26">
    <w:name w:val="编号正文2"/>
    <w:basedOn w:val="a0"/>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af8">
    <w:name w:val="尾注文本 字符"/>
    <w:link w:val="af7"/>
    <w:qFormat/>
    <w:rPr>
      <w:rFonts w:ascii="Times New Roman" w:hAnsi="Times New Roman"/>
      <w:lang w:val="zh-CN" w:eastAsia="zh-C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
    <w:name w:val="Char1"/>
    <w:basedOn w:val="a0"/>
    <w:qFormat/>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
    <w:name w:val="Char3"/>
    <w:basedOn w:val="a0"/>
    <w:pPr>
      <w:tabs>
        <w:tab w:val="left" w:pos="360"/>
      </w:tabs>
    </w:pPr>
    <w:rPr>
      <w:sz w:val="24"/>
    </w:rPr>
  </w:style>
  <w:style w:type="paragraph" w:customStyle="1" w:styleId="CharCharCharChar12">
    <w:name w:val="Char Char Char Char12"/>
    <w:basedOn w:val="a0"/>
    <w:qFormat/>
    <w:rPr>
      <w:szCs w:val="20"/>
    </w:rPr>
  </w:style>
  <w:style w:type="character" w:customStyle="1" w:styleId="Char10">
    <w:name w:val="批注文字 Char1"/>
    <w:basedOn w:val="a1"/>
    <w:semiHidden/>
    <w:qFormat/>
    <w:locked/>
    <w:rPr>
      <w:rFonts w:ascii="Times New Roman" w:eastAsia="宋体" w:hAnsi="Times New Roman" w:cs="Times New Roman"/>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dazhangjie">
    <w:name w:val="dazhangjie"/>
    <w:basedOn w:val="a0"/>
    <w:qFormat/>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apple-converted-space">
    <w:name w:val="apple-converted-space"/>
    <w:basedOn w:val="a1"/>
    <w:qFormat/>
  </w:style>
  <w:style w:type="paragraph" w:customStyle="1" w:styleId="27">
    <w:name w:val="修订2"/>
    <w:hidden/>
    <w:uiPriority w:val="99"/>
    <w:semiHidden/>
    <w:qFormat/>
    <w:rPr>
      <w:rFonts w:ascii="Times New Roman" w:hAnsi="Times New Roman"/>
      <w:kern w:val="2"/>
      <w:sz w:val="21"/>
      <w:szCs w:val="24"/>
    </w:rPr>
  </w:style>
  <w:style w:type="paragraph" w:customStyle="1" w:styleId="33">
    <w:name w:val="修订3"/>
    <w:hidden/>
    <w:uiPriority w:val="99"/>
    <w:unhideWhenUsed/>
    <w:rPr>
      <w:rFonts w:ascii="Times New Roman" w:hAnsi="Times New Roman"/>
      <w:kern w:val="2"/>
      <w:sz w:val="21"/>
      <w:szCs w:val="24"/>
    </w:rPr>
  </w:style>
  <w:style w:type="paragraph" w:styleId="afff1">
    <w:name w:val="Revision"/>
    <w:hidden/>
    <w:uiPriority w:val="99"/>
    <w:unhideWhenUsed/>
    <w:rsid w:val="00A70152"/>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zlfund.cn" TargetMode="External"/><Relationship Id="rId26" Type="http://schemas.openxmlformats.org/officeDocument/2006/relationships/footer" Target="footer9.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www.wacaijijin.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7.xm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image" Target="media/image2.jpeg"/><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www.jjmmw.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image" Target="media/image1.jpe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CEFAFA-A52D-4486-8A3C-A6534797815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9B871679-FC98-42DE-A80B-0058963BA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TotalTime>
  <Pages>118</Pages>
  <Words>14022</Words>
  <Characters>79926</Characters>
  <Application>Microsoft Office Word</Application>
  <DocSecurity>0</DocSecurity>
  <Lines>666</Lines>
  <Paragraphs>187</Paragraphs>
  <ScaleCrop>false</ScaleCrop>
  <Company>Microsoft</Company>
  <LinksUpToDate>false</LinksUpToDate>
  <CharactersWithSpaces>93761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徐铮</cp:lastModifiedBy>
  <cp:revision>41</cp:revision>
  <cp:lastPrinted>2019-02-19T02:21:00Z</cp:lastPrinted>
  <dcterms:created xsi:type="dcterms:W3CDTF">2020-05-18T02:10:00Z</dcterms:created>
  <dcterms:modified xsi:type="dcterms:W3CDTF">2020-12-11T08:59:00Z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